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老年医学中心污水站MBR膜清洗</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3240"/>
      <w:bookmarkStart w:id="2" w:name="_Toc62832406"/>
      <w:bookmarkStart w:id="3" w:name="_Toc21919"/>
      <w:bookmarkStart w:id="4" w:name="_Toc20358"/>
      <w:bookmarkStart w:id="5" w:name="_Toc1907"/>
      <w:r>
        <w:rPr>
          <w:rFonts w:ascii="Times New Roman" w:hAnsi="Times New Roman" w:cs="Times New Roman"/>
        </w:rPr>
        <w:t>谈判邀请</w:t>
      </w:r>
      <w:bookmarkEnd w:id="0"/>
      <w:bookmarkEnd w:id="1"/>
      <w:bookmarkEnd w:id="2"/>
      <w:bookmarkEnd w:id="3"/>
      <w:bookmarkEnd w:id="4"/>
      <w:bookmarkEnd w:id="5"/>
    </w:p>
    <w:tbl>
      <w:tblPr>
        <w:tblStyle w:val="19"/>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9"/>
        <w:gridCol w:w="1883"/>
        <w:gridCol w:w="725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rPr>
              <w:t>老年医学中心污水站MBR膜清</w:t>
            </w:r>
            <w:r>
              <w:rPr>
                <w:rFonts w:hint="eastAsia" w:ascii="Times New Roman" w:hAnsi="Times New Roman" w:eastAsia="仿宋" w:cs="Times New Roman"/>
                <w:sz w:val="22"/>
                <w:lang w:val="en-US" w:eastAsia="zh-CN"/>
              </w:rPr>
              <w:t>洗</w:t>
            </w:r>
            <w:r>
              <w:rPr>
                <w:rFonts w:ascii="Times New Roman" w:hAnsi="Times New Roman" w:eastAsia="仿宋" w:cs="Times New Roman"/>
                <w:sz w:val="22"/>
              </w:rPr>
              <w:t>采购项目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CGZX-HQB20261134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5EA359D1">
            <w:pPr>
              <w:spacing w:line="360" w:lineRule="auto"/>
              <w:ind w:left="210" w:leftChars="100"/>
              <w:rPr>
                <w:rFonts w:hint="eastAsia" w:ascii="Times New Roman" w:hAnsi="Times New Roman" w:eastAsia="仿宋" w:cs="Times New Roman"/>
                <w:color w:val="auto"/>
                <w:sz w:val="22"/>
                <w:lang w:val="en-US" w:eastAsia="zh-CN"/>
              </w:rPr>
            </w:pPr>
            <w:r>
              <w:rPr>
                <w:rFonts w:hint="eastAsia" w:ascii="Times New Roman" w:hAnsi="Times New Roman" w:eastAsia="仿宋" w:cs="Times New Roman"/>
                <w:color w:val="auto"/>
                <w:sz w:val="22"/>
                <w:lang w:val="en-US" w:eastAsia="zh-CN"/>
              </w:rPr>
              <w:t>本项目总限高价</w:t>
            </w:r>
            <w:r>
              <w:rPr>
                <w:rFonts w:ascii="Times New Roman" w:hAnsi="Times New Roman" w:eastAsia="仿宋" w:cs="Times New Roman"/>
                <w:color w:val="auto"/>
                <w:sz w:val="22"/>
              </w:rPr>
              <w:t>人民币</w:t>
            </w:r>
            <w:r>
              <w:rPr>
                <w:rFonts w:hint="eastAsia" w:ascii="Times New Roman" w:hAnsi="Times New Roman" w:eastAsia="仿宋" w:cs="Times New Roman"/>
                <w:color w:val="auto"/>
                <w:sz w:val="22"/>
                <w:lang w:val="en-US" w:eastAsia="zh-CN"/>
              </w:rPr>
              <w:t>75000元</w:t>
            </w:r>
          </w:p>
          <w:p w14:paraId="700B880E">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color w:val="auto"/>
                <w:sz w:val="22"/>
                <w:lang w:val="en-US" w:eastAsia="zh-CN"/>
              </w:rPr>
              <w:t>其中</w:t>
            </w:r>
            <w:r>
              <w:rPr>
                <w:rFonts w:hint="eastAsia" w:ascii="Times New Roman" w:hAnsi="Times New Roman" w:eastAsia="仿宋" w:cs="Times New Roman"/>
                <w:sz w:val="22"/>
              </w:rPr>
              <w:t>整装清洗</w:t>
            </w:r>
            <w:r>
              <w:rPr>
                <w:rFonts w:hint="eastAsia" w:ascii="Times New Roman" w:hAnsi="Times New Roman" w:eastAsia="仿宋" w:cs="Times New Roman"/>
                <w:sz w:val="22"/>
                <w:lang w:eastAsia="zh-CN"/>
              </w:rPr>
              <w:t>：</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25000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p>
          <w:p w14:paraId="3AB3BBDB">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rPr>
              <w:t>深度拆卸清洗</w:t>
            </w:r>
            <w:r>
              <w:rPr>
                <w:rFonts w:hint="eastAsia" w:ascii="Times New Roman" w:hAnsi="Times New Roman" w:eastAsia="仿宋" w:cs="Times New Roman"/>
                <w:sz w:val="22"/>
                <w:lang w:eastAsia="zh-CN"/>
              </w:rPr>
              <w:t>：</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50000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p>
          <w:p w14:paraId="3BE7C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9"/>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金额为合同</w:t>
            </w:r>
            <w:r>
              <w:rPr>
                <w:rFonts w:hint="eastAsia" w:ascii="Times New Roman" w:hAnsi="Times New Roman" w:eastAsia="仿宋" w:cs="Times New Roman"/>
                <w:sz w:val="22"/>
                <w:szCs w:val="22"/>
                <w:lang w:val="en-US" w:eastAsia="zh-CN"/>
              </w:rPr>
              <w:t>总价</w:t>
            </w:r>
            <w:r>
              <w:rPr>
                <w:rFonts w:hint="eastAsia" w:ascii="Times New Roman" w:hAnsi="Times New Roman" w:eastAsia="仿宋" w:cs="Times New Roman"/>
                <w:sz w:val="22"/>
                <w:szCs w:val="22"/>
                <w:lang w:val="zh-CN" w:eastAsia="zh-CN"/>
              </w:rPr>
              <w:t>的5%</w:t>
            </w:r>
          </w:p>
          <w:p w14:paraId="00EA646A">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90F4AE6">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供应商拒绝履行与采购人订立的合同。</w:t>
            </w:r>
          </w:p>
          <w:p w14:paraId="41F40A99">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 xml:space="preserve"> 因供应商严重违约或其它违法违规行为等情形，导致双方无法继续履约。</w:t>
            </w:r>
          </w:p>
          <w:p w14:paraId="7A45648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 xml:space="preserve"> 其它情形：无。</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费</w:t>
            </w:r>
            <w:r>
              <w:rPr>
                <w:rFonts w:ascii="Times New Roman" w:hAnsi="Times New Roman" w:eastAsia="仿宋" w:cs="Times New Roman"/>
                <w:sz w:val="22"/>
                <w:u w:val="none"/>
              </w:rPr>
              <w:t>老师028-</w:t>
            </w:r>
            <w:r>
              <w:rPr>
                <w:rFonts w:hint="eastAsia" w:ascii="Times New Roman" w:hAnsi="Times New Roman" w:eastAsia="仿宋" w:cs="Times New Roman"/>
                <w:sz w:val="22"/>
                <w:u w:val="none"/>
                <w:lang w:val="en-US" w:eastAsia="zh-CN"/>
              </w:rPr>
              <w:t>87394783</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none"/>
                <w:lang w:val="en-US" w:eastAsia="zh-CN"/>
              </w:rPr>
              <w:t>后勤保障</w:t>
            </w:r>
            <w:r>
              <w:rPr>
                <w:rFonts w:ascii="Times New Roman" w:hAnsi="Times New Roman" w:eastAsia="仿宋" w:cs="Times New Roman"/>
                <w:sz w:val="22"/>
                <w:u w:val="none"/>
              </w:rPr>
              <w:t>部门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kern w:val="0"/>
                <w:sz w:val="22"/>
              </w:rPr>
              <w:t>李</w:t>
            </w:r>
            <w:r>
              <w:rPr>
                <w:rFonts w:ascii="Times New Roman" w:hAnsi="Times New Roman" w:eastAsia="仿宋" w:cs="Times New Roman"/>
                <w:kern w:val="0"/>
                <w:sz w:val="22"/>
              </w:rPr>
              <w:t>老师028-</w:t>
            </w:r>
            <w:r>
              <w:rPr>
                <w:rFonts w:hint="eastAsia" w:ascii="Times New Roman" w:hAnsi="Times New Roman" w:eastAsia="仿宋" w:cs="Times New Roman"/>
                <w:kern w:val="0"/>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8"/>
        <w:gridCol w:w="2018"/>
        <w:gridCol w:w="7090"/>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8"/>
        <w:rPr>
          <w:rFonts w:ascii="Times New Roman" w:hAnsi="Times New Roman" w:eastAsia="黑体" w:cs="Times New Roman"/>
          <w:b/>
          <w:sz w:val="36"/>
          <w:szCs w:val="32"/>
        </w:rPr>
      </w:pP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3227"/>
        <w:gridCol w:w="5628"/>
      </w:tblGrid>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tc>
        <w:tc>
          <w:tcPr>
            <w:tcW w:w="2849" w:type="pct"/>
            <w:vAlign w:val="center"/>
          </w:tcPr>
          <w:p w14:paraId="7D3D2FEC">
            <w:pPr>
              <w:rPr>
                <w:rFonts w:hint="eastAsia" w:ascii="Times New Roman" w:hAnsi="Times New Roman" w:eastAsia="仿宋" w:cs="Times New Roman"/>
                <w:sz w:val="22"/>
                <w:u w:val="single"/>
                <w:lang w:eastAsia="zh-CN"/>
              </w:rPr>
            </w:pPr>
            <w:r>
              <w:rPr>
                <w:rFonts w:hint="eastAsia" w:ascii="Times New Roman" w:hAnsi="Times New Roman" w:eastAsia="仿宋" w:cs="Times New Roman"/>
                <w:sz w:val="22"/>
                <w:lang w:val="en-US" w:eastAsia="zh-CN"/>
              </w:rPr>
              <w:t>无</w:t>
            </w:r>
          </w:p>
        </w:tc>
      </w:tr>
    </w:tbl>
    <w:p w14:paraId="379FCCB3">
      <w:pPr>
        <w:rPr>
          <w:rFonts w:ascii="Times New Roman" w:hAnsi="Times New Roman" w:cs="Times New Roman"/>
        </w:rPr>
      </w:pPr>
      <w:r>
        <w:rPr>
          <w:rFonts w:ascii="Times New Roman" w:hAnsi="Times New Roman" w:cs="Times New Roman"/>
        </w:rPr>
        <w:br w:type="page"/>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2627"/>
        <w:gridCol w:w="6228"/>
      </w:tblGrid>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3"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3"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3"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3"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3"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3"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06050C6F">
      <w:pPr>
        <w:pStyle w:val="15"/>
        <w:keepNext w:val="0"/>
        <w:keepLines w:val="0"/>
        <w:widowControl/>
        <w:suppressLineNumbers w:val="0"/>
        <w:rPr>
          <w:rFonts w:hint="eastAsia" w:ascii="仿宋" w:hAnsi="仿宋" w:eastAsia="仿宋" w:cs="仿宋"/>
          <w:sz w:val="28"/>
          <w:szCs w:val="28"/>
        </w:rPr>
      </w:pPr>
      <w:r>
        <w:rPr>
          <w:rFonts w:hint="eastAsia" w:ascii="仿宋" w:hAnsi="仿宋" w:eastAsia="仿宋" w:cs="仿宋"/>
          <w:b/>
          <w:bCs/>
          <w:sz w:val="24"/>
          <w:szCs w:val="24"/>
          <w:lang w:val="en-US" w:eastAsia="zh-CN"/>
        </w:rPr>
        <w:t>一、</w:t>
      </w:r>
      <w:r>
        <w:rPr>
          <w:rFonts w:hint="eastAsia" w:ascii="仿宋" w:hAnsi="仿宋" w:eastAsia="仿宋" w:cs="仿宋"/>
          <w:b/>
          <w:bCs/>
          <w:sz w:val="28"/>
          <w:szCs w:val="28"/>
        </w:rPr>
        <w:t>项目简介</w:t>
      </w:r>
      <w:r>
        <w:rPr>
          <w:rFonts w:hint="eastAsia" w:ascii="仿宋" w:hAnsi="仿宋" w:eastAsia="仿宋" w:cs="仿宋"/>
          <w:sz w:val="28"/>
          <w:szCs w:val="28"/>
        </w:rPr>
        <w:cr/>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本项目拟采用谈判采购的方式确定一名供应商</w:t>
      </w:r>
      <w:r>
        <w:rPr>
          <w:rFonts w:hint="eastAsia" w:ascii="仿宋" w:hAnsi="仿宋" w:eastAsia="仿宋" w:cs="仿宋"/>
          <w:sz w:val="28"/>
          <w:szCs w:val="28"/>
          <w:lang w:val="en-US" w:eastAsia="zh-CN"/>
        </w:rPr>
        <w:t>为老年医学中心污水处理站提供MBR膜清洗服务。包含</w:t>
      </w:r>
      <w:r>
        <w:rPr>
          <w:rFonts w:hint="eastAsia" w:ascii="仿宋" w:hAnsi="仿宋" w:eastAsia="仿宋" w:cs="仿宋"/>
          <w:sz w:val="28"/>
          <w:szCs w:val="28"/>
        </w:rPr>
        <w:t>年中整装清洗，年末深度拆卸清洗</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w:t>
      </w:r>
      <w:r>
        <w:rPr>
          <w:rFonts w:hint="eastAsia" w:ascii="仿宋" w:hAnsi="仿宋" w:eastAsia="仿宋" w:cs="仿宋"/>
          <w:sz w:val="28"/>
          <w:szCs w:val="28"/>
        </w:rPr>
        <w:t>延长MBR膜的使用寿命，保障污水站稳定正常运行。</w:t>
      </w:r>
      <w:r>
        <w:rPr>
          <w:rFonts w:hint="eastAsia" w:ascii="仿宋" w:hAnsi="仿宋" w:eastAsia="仿宋" w:cs="仿宋"/>
          <w:sz w:val="28"/>
          <w:szCs w:val="28"/>
        </w:rPr>
        <w:cr/>
      </w:r>
      <w:r>
        <w:rPr>
          <w:rFonts w:hint="eastAsia" w:ascii="仿宋" w:hAnsi="仿宋" w:eastAsia="仿宋" w:cs="仿宋"/>
          <w:b/>
          <w:bCs/>
          <w:sz w:val="28"/>
          <w:szCs w:val="28"/>
        </w:rPr>
        <w:t>二、</w:t>
      </w:r>
      <w:r>
        <w:rPr>
          <w:rFonts w:hint="eastAsia" w:ascii="仿宋" w:hAnsi="仿宋" w:eastAsia="仿宋" w:cs="仿宋"/>
          <w:color w:val="0D0D0D"/>
          <w:kern w:val="2"/>
          <w:sz w:val="28"/>
          <w:szCs w:val="28"/>
        </w:rPr>
        <w:t>★</w:t>
      </w:r>
      <w:r>
        <w:rPr>
          <w:rFonts w:hint="eastAsia" w:ascii="仿宋" w:hAnsi="仿宋" w:eastAsia="仿宋" w:cs="仿宋"/>
          <w:b/>
          <w:bCs/>
          <w:sz w:val="28"/>
          <w:szCs w:val="28"/>
          <w:lang w:val="en-US" w:eastAsia="zh-CN"/>
        </w:rPr>
        <w:t>服务内容</w:t>
      </w:r>
      <w:r>
        <w:rPr>
          <w:rFonts w:hint="eastAsia" w:ascii="仿宋" w:hAnsi="仿宋" w:eastAsia="仿宋" w:cs="仿宋"/>
          <w:sz w:val="28"/>
          <w:szCs w:val="28"/>
        </w:rPr>
        <w:cr/>
      </w:r>
      <w:r>
        <w:rPr>
          <w:rFonts w:hint="eastAsia" w:ascii="仿宋" w:hAnsi="仿宋" w:eastAsia="仿宋" w:cs="仿宋"/>
          <w:kern w:val="2"/>
          <w:sz w:val="28"/>
          <w:szCs w:val="28"/>
        </w:rPr>
        <w:t>1.整装清洗：</w:t>
      </w:r>
    </w:p>
    <w:tbl>
      <w:tblPr>
        <w:tblStyle w:val="19"/>
        <w:tblW w:w="50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0"/>
        <w:gridCol w:w="953"/>
        <w:gridCol w:w="3736"/>
        <w:gridCol w:w="722"/>
        <w:gridCol w:w="1186"/>
        <w:gridCol w:w="1186"/>
        <w:gridCol w:w="1418"/>
      </w:tblGrid>
      <w:tr w14:paraId="5C442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10" w:hRule="atLeast"/>
        </w:trPr>
        <w:tc>
          <w:tcPr>
            <w:tcW w:w="489"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AA4355F">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清洗方式</w:t>
            </w:r>
          </w:p>
        </w:tc>
        <w:tc>
          <w:tcPr>
            <w:tcW w:w="952"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2312F6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名称</w:t>
            </w:r>
          </w:p>
        </w:tc>
        <w:tc>
          <w:tcPr>
            <w:tcW w:w="37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9AC374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膜组件尺寸L*B*H= 3.2*1.42*1.915，两组膜总面积为2520</w:t>
            </w:r>
            <w:r>
              <w:rPr>
                <w:rFonts w:hint="eastAsia" w:ascii="仿宋" w:hAnsi="仿宋" w:eastAsia="仿宋" w:cs="仿宋"/>
                <w:sz w:val="24"/>
                <w:szCs w:val="24"/>
                <w:lang w:val="en-US" w:eastAsia="zh-CN"/>
              </w:rPr>
              <w:t>平方米</w:t>
            </w:r>
          </w:p>
        </w:tc>
        <w:tc>
          <w:tcPr>
            <w:tcW w:w="721"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642E143">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药剂浓度</w:t>
            </w:r>
          </w:p>
        </w:tc>
        <w:tc>
          <w:tcPr>
            <w:tcW w:w="1184"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A4101A8">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14:paraId="5CFBB13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耗药量</w:t>
            </w:r>
          </w:p>
        </w:tc>
        <w:tc>
          <w:tcPr>
            <w:tcW w:w="1184"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22055C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14:paraId="198F3DF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药剂</w:t>
            </w:r>
            <w:r>
              <w:rPr>
                <w:rFonts w:hint="eastAsia" w:ascii="仿宋" w:hAnsi="仿宋" w:eastAsia="仿宋" w:cs="仿宋"/>
                <w:sz w:val="24"/>
                <w:szCs w:val="24"/>
                <w:lang w:val="en-US" w:eastAsia="zh-CN"/>
              </w:rPr>
              <w:t>限高</w:t>
            </w:r>
            <w:r>
              <w:rPr>
                <w:rFonts w:hint="eastAsia" w:ascii="仿宋" w:hAnsi="仿宋" w:eastAsia="仿宋" w:cs="仿宋"/>
                <w:sz w:val="24"/>
                <w:szCs w:val="24"/>
              </w:rPr>
              <w:t>单价</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元/kg</w:t>
            </w:r>
            <w:r>
              <w:rPr>
                <w:rFonts w:hint="eastAsia" w:ascii="仿宋" w:hAnsi="仿宋" w:eastAsia="仿宋" w:cs="仿宋"/>
                <w:sz w:val="24"/>
                <w:szCs w:val="24"/>
                <w:lang w:eastAsia="zh-CN"/>
              </w:rPr>
              <w:t>）</w:t>
            </w:r>
          </w:p>
        </w:tc>
        <w:tc>
          <w:tcPr>
            <w:tcW w:w="1416"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E0FC1F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14:paraId="08F065A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限高价</w:t>
            </w:r>
            <w:r>
              <w:rPr>
                <w:rFonts w:hint="eastAsia" w:ascii="仿宋" w:hAnsi="仿宋" w:eastAsia="仿宋" w:cs="仿宋"/>
                <w:sz w:val="24"/>
                <w:szCs w:val="24"/>
              </w:rPr>
              <w:t>（元）</w:t>
            </w:r>
          </w:p>
        </w:tc>
      </w:tr>
      <w:tr w14:paraId="3A198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75" w:hRule="atLeast"/>
        </w:trPr>
        <w:tc>
          <w:tcPr>
            <w:tcW w:w="489" w:type="dxa"/>
            <w:vMerge w:val="restart"/>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0515645">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离线清洗药剂</w:t>
            </w: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E3D0D6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酸性清洗剂</w:t>
            </w:r>
          </w:p>
        </w:tc>
        <w:tc>
          <w:tcPr>
            <w:tcW w:w="373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9610382">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用稀释后的柠檬酸（1～2%）对MBR膜清洗</w:t>
            </w:r>
          </w:p>
        </w:tc>
        <w:tc>
          <w:tcPr>
            <w:tcW w:w="72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6BDEF6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99%</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AD6B9C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250kg</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B14962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8.5</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51048DA">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2125</w:t>
            </w:r>
          </w:p>
        </w:tc>
      </w:tr>
      <w:tr w14:paraId="7D5EE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95" w:hRule="atLeast"/>
        </w:trPr>
        <w:tc>
          <w:tcPr>
            <w:tcW w:w="489"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6AD1C90">
            <w:pPr>
              <w:rPr>
                <w:rFonts w:hint="eastAsia" w:ascii="仿宋" w:hAnsi="仿宋" w:eastAsia="仿宋" w:cs="仿宋"/>
                <w:sz w:val="24"/>
                <w:szCs w:val="24"/>
              </w:rPr>
            </w:pP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2BC7274">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碱性清洗剂</w:t>
            </w:r>
          </w:p>
        </w:tc>
        <w:tc>
          <w:tcPr>
            <w:tcW w:w="373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B7F2EF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用稀释后的碱（0.1～0.4%）对MBR膜清洗</w:t>
            </w:r>
          </w:p>
        </w:tc>
        <w:tc>
          <w:tcPr>
            <w:tcW w:w="72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BC26992">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98%</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81C0CD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150kg</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BA768D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CF6F9F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900</w:t>
            </w:r>
          </w:p>
        </w:tc>
      </w:tr>
      <w:tr w14:paraId="102B6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50" w:hRule="atLeast"/>
        </w:trPr>
        <w:tc>
          <w:tcPr>
            <w:tcW w:w="489"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24030B4">
            <w:pPr>
              <w:rPr>
                <w:rFonts w:hint="eastAsia" w:ascii="仿宋" w:hAnsi="仿宋" w:eastAsia="仿宋" w:cs="仿宋"/>
                <w:sz w:val="24"/>
                <w:szCs w:val="24"/>
              </w:rPr>
            </w:pP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78682F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次氯酸钠清洗剂</w:t>
            </w:r>
          </w:p>
        </w:tc>
        <w:tc>
          <w:tcPr>
            <w:tcW w:w="373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EB140B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用稀释后的次氯酸钠（0.3～0.5%）对MBR膜清洗</w:t>
            </w:r>
          </w:p>
        </w:tc>
        <w:tc>
          <w:tcPr>
            <w:tcW w:w="72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C8159A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C9C4D77">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225kg</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23ECF6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AF2745A">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1125</w:t>
            </w:r>
          </w:p>
        </w:tc>
      </w:tr>
      <w:tr w14:paraId="79051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25" w:hRule="atLeast"/>
        </w:trPr>
        <w:tc>
          <w:tcPr>
            <w:tcW w:w="489"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9824971">
            <w:pPr>
              <w:rPr>
                <w:rFonts w:hint="eastAsia" w:ascii="仿宋" w:hAnsi="仿宋" w:eastAsia="仿宋" w:cs="仿宋"/>
                <w:sz w:val="24"/>
                <w:szCs w:val="24"/>
              </w:rPr>
            </w:pP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2C4F012">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硫代硫酸钠</w:t>
            </w:r>
          </w:p>
        </w:tc>
        <w:tc>
          <w:tcPr>
            <w:tcW w:w="373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3925644">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将次氯酸钠还原后，排入污水站处理</w:t>
            </w:r>
          </w:p>
        </w:tc>
        <w:tc>
          <w:tcPr>
            <w:tcW w:w="72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F6EDEE4">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98%</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3F9900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50kg</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964C5E5">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3F5EDF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250</w:t>
            </w:r>
          </w:p>
        </w:tc>
      </w:tr>
      <w:tr w14:paraId="3EBF5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20" w:hRule="atLeast"/>
        </w:trPr>
        <w:tc>
          <w:tcPr>
            <w:tcW w:w="489" w:type="dxa"/>
            <w:vMerge w:val="restart"/>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B4DE8F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人工费</w:t>
            </w: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6FA889F">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技术人员（1名）</w:t>
            </w:r>
          </w:p>
        </w:tc>
        <w:tc>
          <w:tcPr>
            <w:tcW w:w="6819"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4A57023">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两组膜总面积为2520</w:t>
            </w:r>
            <w:r>
              <w:rPr>
                <w:rFonts w:hint="eastAsia" w:ascii="仿宋" w:hAnsi="仿宋" w:eastAsia="仿宋" w:cs="仿宋"/>
                <w:sz w:val="24"/>
                <w:szCs w:val="24"/>
                <w:lang w:val="en-US" w:eastAsia="zh-CN"/>
              </w:rPr>
              <w:t>平方米</w:t>
            </w:r>
            <w:r>
              <w:rPr>
                <w:rFonts w:hint="eastAsia" w:ascii="仿宋" w:hAnsi="仿宋" w:eastAsia="仿宋" w:cs="仿宋"/>
                <w:sz w:val="24"/>
                <w:szCs w:val="24"/>
              </w:rPr>
              <w:t>，为确保离线清洗效果，离线清洗时，技术人员需驻场3天技术指导</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07407F3">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3600</w:t>
            </w:r>
          </w:p>
        </w:tc>
      </w:tr>
      <w:tr w14:paraId="6AEB8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70" w:hRule="atLeast"/>
        </w:trPr>
        <w:tc>
          <w:tcPr>
            <w:tcW w:w="489"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F71342F">
            <w:pPr>
              <w:rPr>
                <w:rFonts w:hint="eastAsia" w:ascii="仿宋" w:hAnsi="仿宋" w:eastAsia="仿宋" w:cs="仿宋"/>
                <w:sz w:val="24"/>
                <w:szCs w:val="24"/>
              </w:rPr>
            </w:pP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4D67C08">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工人（3名）</w:t>
            </w:r>
          </w:p>
        </w:tc>
        <w:tc>
          <w:tcPr>
            <w:tcW w:w="6819"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BB21CBF">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两组膜总面积为2520</w:t>
            </w:r>
            <w:r>
              <w:rPr>
                <w:rFonts w:hint="eastAsia" w:ascii="仿宋" w:hAnsi="仿宋" w:eastAsia="仿宋" w:cs="仿宋"/>
                <w:sz w:val="24"/>
                <w:szCs w:val="24"/>
                <w:lang w:val="en-US" w:eastAsia="zh-CN"/>
              </w:rPr>
              <w:t>平方米</w:t>
            </w:r>
            <w:r>
              <w:rPr>
                <w:rFonts w:hint="eastAsia" w:ascii="仿宋" w:hAnsi="仿宋" w:eastAsia="仿宋" w:cs="仿宋"/>
                <w:sz w:val="24"/>
                <w:szCs w:val="24"/>
              </w:rPr>
              <w:t>，为确保离线清洗效果，离线清洗时，工人需驻场3天现场清洗</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BD16B72">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7500</w:t>
            </w:r>
          </w:p>
        </w:tc>
      </w:tr>
      <w:tr w14:paraId="140E0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489"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E6984A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设备租赁费</w:t>
            </w: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7FD517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6819"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2C3A81F">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租赁洗膜池及高压水抢等洗膜设备</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6F113F5">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2000</w:t>
            </w:r>
          </w:p>
        </w:tc>
      </w:tr>
      <w:tr w14:paraId="653A7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489"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B5777B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吊车费用</w:t>
            </w: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FAA670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50T</w:t>
            </w:r>
          </w:p>
        </w:tc>
        <w:tc>
          <w:tcPr>
            <w:tcW w:w="6819"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5F77AB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2次（拆除MBR膜及安装MBR膜各一次），结合现场实际情况，需要考虑50吨吊车进行膜架吊装</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76ED06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3000</w:t>
            </w:r>
          </w:p>
        </w:tc>
      </w:tr>
      <w:tr w14:paraId="4E97F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35" w:hRule="atLeast"/>
        </w:trPr>
        <w:tc>
          <w:tcPr>
            <w:tcW w:w="489"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FB2BE5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施工措施</w:t>
            </w: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86AB03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6819"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3DB2442">
            <w:pPr>
              <w:pStyle w:val="15"/>
              <w:keepNext w:val="0"/>
              <w:keepLines w:val="0"/>
              <w:widowControl/>
              <w:suppressLineNumbers w:val="0"/>
              <w:jc w:val="both"/>
              <w:rPr>
                <w:rFonts w:hint="eastAsia" w:ascii="仿宋" w:hAnsi="仿宋" w:eastAsia="仿宋" w:cs="仿宋"/>
                <w:sz w:val="24"/>
                <w:szCs w:val="24"/>
              </w:rPr>
            </w:pPr>
            <w:r>
              <w:rPr>
                <w:rFonts w:hint="eastAsia" w:ascii="仿宋" w:hAnsi="仿宋" w:eastAsia="仿宋" w:cs="仿宋"/>
                <w:sz w:val="24"/>
                <w:szCs w:val="24"/>
              </w:rPr>
              <w:t>施工打围、池内降水、有限空间作业审批、有限空间作业防护、现场警戒、协助业主进行施工期间临时排污等</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829BBC3">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4500</w:t>
            </w:r>
          </w:p>
        </w:tc>
      </w:tr>
      <w:tr w14:paraId="6D351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8260" w:type="dxa"/>
            <w:gridSpan w:val="6"/>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64CF65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单次MBR膜整装清洗费用总计</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E94BAF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25000</w:t>
            </w:r>
          </w:p>
        </w:tc>
      </w:tr>
    </w:tbl>
    <w:p w14:paraId="2ADE3064">
      <w:pPr>
        <w:pStyle w:val="15"/>
        <w:keepNext w:val="0"/>
        <w:keepLines w:val="0"/>
        <w:widowControl/>
        <w:suppressLineNumbers w:val="0"/>
        <w:rPr>
          <w:rFonts w:hint="eastAsia" w:ascii="仿宋" w:hAnsi="仿宋" w:eastAsia="仿宋" w:cs="仿宋"/>
          <w:sz w:val="28"/>
          <w:szCs w:val="28"/>
        </w:rPr>
      </w:pPr>
      <w:r>
        <w:rPr>
          <w:rFonts w:hint="eastAsia" w:ascii="仿宋" w:hAnsi="仿宋" w:eastAsia="仿宋" w:cs="仿宋"/>
          <w:kern w:val="2"/>
          <w:sz w:val="28"/>
          <w:szCs w:val="28"/>
        </w:rPr>
        <w:t>2.深度拆卸清洗：</w:t>
      </w:r>
    </w:p>
    <w:tbl>
      <w:tblPr>
        <w:tblStyle w:val="19"/>
        <w:tblW w:w="502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2"/>
        <w:gridCol w:w="956"/>
        <w:gridCol w:w="3748"/>
        <w:gridCol w:w="724"/>
        <w:gridCol w:w="1190"/>
        <w:gridCol w:w="1194"/>
        <w:gridCol w:w="1418"/>
      </w:tblGrid>
      <w:tr w14:paraId="5F740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10" w:hRule="atLeast"/>
        </w:trPr>
        <w:tc>
          <w:tcPr>
            <w:tcW w:w="491"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8FEF58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清洗方式</w:t>
            </w:r>
          </w:p>
        </w:tc>
        <w:tc>
          <w:tcPr>
            <w:tcW w:w="95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4F168C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名称</w:t>
            </w:r>
          </w:p>
        </w:tc>
        <w:tc>
          <w:tcPr>
            <w:tcW w:w="3742"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66A5A8F">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膜组件尺寸L*B*H= 3.2*1.42*1.915，两组膜总面积为2520</w:t>
            </w:r>
            <w:r>
              <w:rPr>
                <w:rFonts w:hint="eastAsia" w:ascii="仿宋" w:hAnsi="仿宋" w:eastAsia="仿宋" w:cs="仿宋"/>
                <w:sz w:val="24"/>
                <w:szCs w:val="24"/>
                <w:lang w:val="en-US" w:eastAsia="zh-CN"/>
              </w:rPr>
              <w:t>平方米</w:t>
            </w:r>
          </w:p>
        </w:tc>
        <w:tc>
          <w:tcPr>
            <w:tcW w:w="723"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A2CC87A">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药剂浓度</w:t>
            </w:r>
          </w:p>
        </w:tc>
        <w:tc>
          <w:tcPr>
            <w:tcW w:w="1188"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AB5E28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14:paraId="16F10194">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耗药量</w:t>
            </w:r>
          </w:p>
        </w:tc>
        <w:tc>
          <w:tcPr>
            <w:tcW w:w="1192"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E02ABA4">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14:paraId="4302606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药剂单价</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元/kg</w:t>
            </w:r>
            <w:r>
              <w:rPr>
                <w:rFonts w:hint="eastAsia" w:ascii="仿宋" w:hAnsi="仿宋" w:eastAsia="仿宋" w:cs="仿宋"/>
                <w:sz w:val="24"/>
                <w:szCs w:val="24"/>
                <w:lang w:eastAsia="zh-CN"/>
              </w:rPr>
              <w:t>）</w:t>
            </w:r>
          </w:p>
        </w:tc>
        <w:tc>
          <w:tcPr>
            <w:tcW w:w="1416"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A3E3F3A">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14:paraId="21B60A28">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限高价</w:t>
            </w:r>
            <w:r>
              <w:rPr>
                <w:rFonts w:hint="eastAsia" w:ascii="仿宋" w:hAnsi="仿宋" w:eastAsia="仿宋" w:cs="仿宋"/>
                <w:sz w:val="24"/>
                <w:szCs w:val="24"/>
              </w:rPr>
              <w:t>（元）</w:t>
            </w:r>
          </w:p>
        </w:tc>
      </w:tr>
      <w:tr w14:paraId="325FD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75" w:hRule="atLeast"/>
        </w:trPr>
        <w:tc>
          <w:tcPr>
            <w:tcW w:w="491" w:type="dxa"/>
            <w:vMerge w:val="restart"/>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DFBCF5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离线清洗药剂</w:t>
            </w: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AEFEB5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酸性清洗剂</w:t>
            </w:r>
          </w:p>
        </w:tc>
        <w:tc>
          <w:tcPr>
            <w:tcW w:w="374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3B6F262">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用稀释后的柠檬酸（1～2%）对MBR膜清洗</w:t>
            </w:r>
          </w:p>
        </w:tc>
        <w:tc>
          <w:tcPr>
            <w:tcW w:w="723"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BE8AE17">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99%</w:t>
            </w:r>
          </w:p>
        </w:tc>
        <w:tc>
          <w:tcPr>
            <w:tcW w:w="1188"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148E78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250kg</w:t>
            </w:r>
          </w:p>
        </w:tc>
        <w:tc>
          <w:tcPr>
            <w:tcW w:w="119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141D4E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8.5</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B46826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2125</w:t>
            </w:r>
          </w:p>
        </w:tc>
      </w:tr>
      <w:tr w14:paraId="32442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95" w:hRule="atLeast"/>
        </w:trPr>
        <w:tc>
          <w:tcPr>
            <w:tcW w:w="491"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9568C7B">
            <w:pPr>
              <w:rPr>
                <w:rFonts w:hint="eastAsia" w:ascii="仿宋" w:hAnsi="仿宋" w:eastAsia="仿宋" w:cs="仿宋"/>
                <w:sz w:val="24"/>
                <w:szCs w:val="24"/>
              </w:rPr>
            </w:pP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CE362C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碱性清洗剂</w:t>
            </w:r>
          </w:p>
        </w:tc>
        <w:tc>
          <w:tcPr>
            <w:tcW w:w="374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DACFDF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用稀释后的碱（0.1～0.4%）对MBR膜清洗</w:t>
            </w:r>
          </w:p>
        </w:tc>
        <w:tc>
          <w:tcPr>
            <w:tcW w:w="723"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9A95E6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98%</w:t>
            </w:r>
          </w:p>
        </w:tc>
        <w:tc>
          <w:tcPr>
            <w:tcW w:w="1188"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5A7D43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150kg</w:t>
            </w:r>
          </w:p>
        </w:tc>
        <w:tc>
          <w:tcPr>
            <w:tcW w:w="119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B0D0EF3">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33549C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900</w:t>
            </w:r>
          </w:p>
        </w:tc>
      </w:tr>
      <w:tr w14:paraId="343EB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50" w:hRule="atLeast"/>
        </w:trPr>
        <w:tc>
          <w:tcPr>
            <w:tcW w:w="491"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6517938">
            <w:pPr>
              <w:rPr>
                <w:rFonts w:hint="eastAsia" w:ascii="仿宋" w:hAnsi="仿宋" w:eastAsia="仿宋" w:cs="仿宋"/>
                <w:sz w:val="24"/>
                <w:szCs w:val="24"/>
              </w:rPr>
            </w:pP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AD12B1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次氯酸钠清洗剂</w:t>
            </w:r>
          </w:p>
        </w:tc>
        <w:tc>
          <w:tcPr>
            <w:tcW w:w="374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F538C65">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用稀释后的次氯酸钠（0.3～0.5%）对MBR膜清洗</w:t>
            </w:r>
          </w:p>
        </w:tc>
        <w:tc>
          <w:tcPr>
            <w:tcW w:w="723"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02F989A">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w:t>
            </w:r>
          </w:p>
        </w:tc>
        <w:tc>
          <w:tcPr>
            <w:tcW w:w="1188"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2D91A0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225kg</w:t>
            </w:r>
          </w:p>
        </w:tc>
        <w:tc>
          <w:tcPr>
            <w:tcW w:w="119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ACBAF8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4CDDBC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1125</w:t>
            </w:r>
          </w:p>
        </w:tc>
      </w:tr>
      <w:tr w14:paraId="21E56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25" w:hRule="atLeast"/>
        </w:trPr>
        <w:tc>
          <w:tcPr>
            <w:tcW w:w="491"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7EE2E19">
            <w:pPr>
              <w:rPr>
                <w:rFonts w:hint="eastAsia" w:ascii="仿宋" w:hAnsi="仿宋" w:eastAsia="仿宋" w:cs="仿宋"/>
                <w:sz w:val="24"/>
                <w:szCs w:val="24"/>
              </w:rPr>
            </w:pP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D09C44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硫代硫酸钠</w:t>
            </w:r>
          </w:p>
        </w:tc>
        <w:tc>
          <w:tcPr>
            <w:tcW w:w="374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ED3316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将次氯酸钠还原后，排入污水站处理</w:t>
            </w:r>
          </w:p>
        </w:tc>
        <w:tc>
          <w:tcPr>
            <w:tcW w:w="723"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12289D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98%</w:t>
            </w:r>
          </w:p>
        </w:tc>
        <w:tc>
          <w:tcPr>
            <w:tcW w:w="1188"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57AF2D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50kg</w:t>
            </w:r>
          </w:p>
        </w:tc>
        <w:tc>
          <w:tcPr>
            <w:tcW w:w="119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5A6EFD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74A2DD7">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250</w:t>
            </w:r>
          </w:p>
        </w:tc>
      </w:tr>
      <w:tr w14:paraId="1DFD9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20" w:hRule="atLeast"/>
        </w:trPr>
        <w:tc>
          <w:tcPr>
            <w:tcW w:w="491" w:type="dxa"/>
            <w:vMerge w:val="restart"/>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359BC85">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人工费</w:t>
            </w: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1C8CEC8">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技术人员（1名）</w:t>
            </w:r>
          </w:p>
        </w:tc>
        <w:tc>
          <w:tcPr>
            <w:tcW w:w="6845"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2945743">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两组膜总面积为2520</w:t>
            </w:r>
            <w:r>
              <w:rPr>
                <w:rFonts w:hint="eastAsia" w:ascii="仿宋" w:hAnsi="仿宋" w:eastAsia="仿宋" w:cs="仿宋"/>
                <w:sz w:val="24"/>
                <w:szCs w:val="24"/>
                <w:lang w:val="en-US" w:eastAsia="zh-CN"/>
              </w:rPr>
              <w:t>平方米</w:t>
            </w:r>
            <w:r>
              <w:rPr>
                <w:rFonts w:hint="eastAsia" w:ascii="仿宋" w:hAnsi="仿宋" w:eastAsia="仿宋" w:cs="仿宋"/>
                <w:sz w:val="24"/>
                <w:szCs w:val="24"/>
              </w:rPr>
              <w:t>，为确保离线清洗效果，离线清洗时，技术人员需驻场8天技术指导</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09741A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9600</w:t>
            </w:r>
          </w:p>
        </w:tc>
      </w:tr>
      <w:tr w14:paraId="2EF85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70" w:hRule="atLeast"/>
        </w:trPr>
        <w:tc>
          <w:tcPr>
            <w:tcW w:w="491"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72DE9D5">
            <w:pPr>
              <w:rPr>
                <w:rFonts w:hint="eastAsia" w:ascii="仿宋" w:hAnsi="仿宋" w:eastAsia="仿宋" w:cs="仿宋"/>
                <w:sz w:val="24"/>
                <w:szCs w:val="24"/>
              </w:rPr>
            </w:pP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6C3C16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工人（5名）</w:t>
            </w:r>
          </w:p>
        </w:tc>
        <w:tc>
          <w:tcPr>
            <w:tcW w:w="6845"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4E57F34">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两组膜总面积为2520</w:t>
            </w:r>
            <w:r>
              <w:rPr>
                <w:rFonts w:hint="eastAsia" w:ascii="仿宋" w:hAnsi="仿宋" w:eastAsia="仿宋" w:cs="仿宋"/>
                <w:sz w:val="24"/>
                <w:szCs w:val="24"/>
                <w:lang w:val="en-US" w:eastAsia="zh-CN"/>
              </w:rPr>
              <w:t>平方米</w:t>
            </w:r>
            <w:r>
              <w:rPr>
                <w:rFonts w:hint="eastAsia" w:ascii="仿宋" w:hAnsi="仿宋" w:eastAsia="仿宋" w:cs="仿宋"/>
                <w:sz w:val="24"/>
                <w:szCs w:val="24"/>
              </w:rPr>
              <w:t>，为确保离线清洗效果，离线清洗时，工人需驻场8天现场清洗</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93C6F5F">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24500</w:t>
            </w:r>
          </w:p>
        </w:tc>
      </w:tr>
      <w:tr w14:paraId="112DA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49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FCE9298">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设备租赁费</w:t>
            </w: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3B7293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6845"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557A47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租赁洗膜池及高压水抢等洗膜设备</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5F2B52F">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3000</w:t>
            </w:r>
          </w:p>
        </w:tc>
      </w:tr>
      <w:tr w14:paraId="49949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49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5BB866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吊车费用</w:t>
            </w: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B9049CA">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50T</w:t>
            </w:r>
          </w:p>
        </w:tc>
        <w:tc>
          <w:tcPr>
            <w:tcW w:w="6845"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BD963C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2次（拆除MBR膜及安装MBR膜各一次），结合现场实际情况，需要考虑50吨吊车进行膜架吊装</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F287D58">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3000</w:t>
            </w:r>
          </w:p>
        </w:tc>
      </w:tr>
      <w:tr w14:paraId="47C19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35" w:hRule="atLeast"/>
        </w:trPr>
        <w:tc>
          <w:tcPr>
            <w:tcW w:w="49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6D4C94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施工措施</w:t>
            </w: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5EF3D37">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6845"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12E92F0">
            <w:pPr>
              <w:pStyle w:val="15"/>
              <w:keepNext w:val="0"/>
              <w:keepLines w:val="0"/>
              <w:widowControl/>
              <w:suppressLineNumbers w:val="0"/>
              <w:jc w:val="both"/>
              <w:rPr>
                <w:rFonts w:hint="eastAsia" w:ascii="仿宋" w:hAnsi="仿宋" w:eastAsia="仿宋" w:cs="仿宋"/>
                <w:sz w:val="24"/>
                <w:szCs w:val="24"/>
              </w:rPr>
            </w:pPr>
            <w:r>
              <w:rPr>
                <w:rFonts w:hint="eastAsia" w:ascii="仿宋" w:hAnsi="仿宋" w:eastAsia="仿宋" w:cs="仿宋"/>
                <w:sz w:val="24"/>
                <w:szCs w:val="24"/>
              </w:rPr>
              <w:t>施工打围、池内降水、有限空间作业审批、有限空间作业防护、现场警戒、协助业主进行施工期间临时排污等</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2917E37">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5500</w:t>
            </w:r>
          </w:p>
        </w:tc>
      </w:tr>
      <w:tr w14:paraId="1D659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8291" w:type="dxa"/>
            <w:gridSpan w:val="6"/>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F216EE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单次MBR膜清洗费用总计</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BB1BAA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50000</w:t>
            </w:r>
          </w:p>
        </w:tc>
      </w:tr>
    </w:tbl>
    <w:p w14:paraId="3040A512">
      <w:pPr>
        <w:pStyle w:val="15"/>
        <w:keepNext w:val="0"/>
        <w:keepLines w:val="0"/>
        <w:widowControl/>
        <w:numPr>
          <w:ilvl w:val="0"/>
          <w:numId w:val="0"/>
        </w:numPr>
        <w:suppressLineNumbers w:val="0"/>
        <w:spacing w:beforeAutospacing="0" w:afterAutospacing="0"/>
        <w:ind w:leftChars="0" w:right="0" w:right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0070C468">
      <w:pPr>
        <w:pStyle w:val="15"/>
        <w:keepNext w:val="0"/>
        <w:keepLines w:val="0"/>
        <w:pageBreakBefore w:val="0"/>
        <w:widowControl/>
        <w:numPr>
          <w:ilvl w:val="0"/>
          <w:numId w:val="0"/>
        </w:numPr>
        <w:suppressLineNumbers w:val="0"/>
        <w:kinsoku/>
        <w:wordWrap/>
        <w:overflowPunct/>
        <w:topLinePunct w:val="0"/>
        <w:autoSpaceDN/>
        <w:bidi w:val="0"/>
        <w:adjustRightInd/>
        <w:snapToGrid/>
        <w:spacing w:beforeAutospacing="0" w:afterAutospacing="0" w:line="560" w:lineRule="exact"/>
        <w:ind w:leftChars="0" w:right="0" w:right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注：本项目为全包，施工用临电、自来水由医院提供，供应商按照整装清洗和深度拆卸清洗分别按次进行全包报价。</w:t>
      </w:r>
    </w:p>
    <w:p w14:paraId="4805626C">
      <w:pPr>
        <w:pStyle w:val="4"/>
        <w:keepNext w:val="0"/>
        <w:keepLines w:val="0"/>
        <w:pageBreakBefore w:val="0"/>
        <w:widowControl/>
        <w:numPr>
          <w:ilvl w:val="0"/>
          <w:numId w:val="12"/>
        </w:numPr>
        <w:suppressLineNumbers w:val="0"/>
        <w:kinsoku/>
        <w:wordWrap/>
        <w:overflowPunct/>
        <w:topLinePunct w:val="0"/>
        <w:autoSpaceDN/>
        <w:bidi w:val="0"/>
        <w:adjustRightInd/>
        <w:snapToGrid/>
        <w:spacing w:line="560" w:lineRule="exact"/>
        <w:textAlignment w:val="auto"/>
        <w:rPr>
          <w:rFonts w:hint="eastAsia" w:ascii="仿宋" w:hAnsi="仿宋" w:eastAsia="仿宋" w:cs="仿宋"/>
          <w:b/>
          <w:bCs/>
          <w:kern w:val="0"/>
          <w:sz w:val="28"/>
          <w:szCs w:val="28"/>
          <w:lang w:val="en-US" w:eastAsia="zh-CN" w:bidi="ar"/>
        </w:rPr>
      </w:pPr>
      <w:r>
        <w:rPr>
          <w:rFonts w:hint="eastAsia" w:ascii="仿宋" w:hAnsi="仿宋" w:eastAsia="仿宋" w:cs="仿宋"/>
          <w:color w:val="0D0D0D"/>
          <w:kern w:val="2"/>
          <w:sz w:val="28"/>
          <w:szCs w:val="28"/>
        </w:rPr>
        <w:t>★</w:t>
      </w:r>
      <w:r>
        <w:rPr>
          <w:rFonts w:hint="eastAsia" w:ascii="仿宋" w:hAnsi="仿宋" w:eastAsia="仿宋" w:cs="仿宋"/>
          <w:b/>
          <w:bCs/>
          <w:kern w:val="0"/>
          <w:sz w:val="28"/>
          <w:szCs w:val="28"/>
          <w:lang w:val="en-US" w:eastAsia="zh-CN" w:bidi="ar"/>
        </w:rPr>
        <w:t>服务要求</w:t>
      </w:r>
    </w:p>
    <w:p w14:paraId="6A211EB1">
      <w:pPr>
        <w:pStyle w:val="4"/>
        <w:keepNext w:val="0"/>
        <w:keepLines w:val="0"/>
        <w:pageBreakBefore w:val="0"/>
        <w:widowControl/>
        <w:numPr>
          <w:ilvl w:val="0"/>
          <w:numId w:val="0"/>
        </w:numPr>
        <w:suppressLineNumbers w:val="0"/>
        <w:kinsoku/>
        <w:wordWrap/>
        <w:overflowPunct/>
        <w:topLinePunct w:val="0"/>
        <w:autoSpaceDN/>
        <w:bidi w:val="0"/>
        <w:adjustRightInd/>
        <w:snapToGrid/>
        <w:spacing w:line="560" w:lineRule="exact"/>
        <w:textAlignment w:val="auto"/>
        <w:rPr>
          <w:rFonts w:hint="eastAsia" w:ascii="仿宋" w:hAnsi="仿宋" w:eastAsia="仿宋" w:cs="仿宋"/>
          <w:b/>
          <w:bCs/>
          <w:kern w:val="0"/>
          <w:sz w:val="28"/>
          <w:szCs w:val="28"/>
          <w:lang w:val="en-US" w:eastAsia="zh-CN" w:bidi="ar"/>
        </w:rPr>
      </w:pPr>
      <w:r>
        <w:rPr>
          <w:rFonts w:hint="eastAsia" w:ascii="仿宋" w:hAnsi="仿宋" w:eastAsia="仿宋" w:cs="仿宋"/>
          <w:b/>
          <w:bCs/>
          <w:kern w:val="0"/>
          <w:sz w:val="28"/>
          <w:szCs w:val="28"/>
          <w:lang w:val="en-US" w:eastAsia="zh-CN" w:bidi="ar"/>
        </w:rPr>
        <w:t>（一）整装清洗（1次）</w:t>
      </w:r>
    </w:p>
    <w:p w14:paraId="003429ED">
      <w:pPr>
        <w:pStyle w:val="4"/>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此项服务为年度常规清洗，旨在恢复MBR膜的基本通量。整个过程由供应商组织专业团队完成，周期约为3天。</w:t>
      </w:r>
    </w:p>
    <w:p w14:paraId="33824D82">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1.施工准备</w:t>
      </w:r>
    </w:p>
    <w:p w14:paraId="4BB30B27">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（1）供应商负责办理有限空间作业审批，并进行现场打围、设置警戒。</w:t>
      </w:r>
    </w:p>
    <w:p w14:paraId="3EA44D41">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（2）对膜池进行降水处理，为后续作业创造条件。</w:t>
      </w:r>
    </w:p>
    <w:p w14:paraId="43D20367">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（3）租赁50吨吊车，将两组MBR膜组件（总面积2520平方米）从池中吊出。</w:t>
      </w:r>
    </w:p>
    <w:p w14:paraId="2417B925">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2.离线清洗作业</w:t>
      </w:r>
    </w:p>
    <w:p w14:paraId="730F611C">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（1）酸性清洗： 使用稀释后的柠檬酸（浓度1~2%）。</w:t>
      </w:r>
    </w:p>
    <w:p w14:paraId="4C81809E">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（2）碱性清洗： 使用稀释后的碱液（浓度0.1~0.4%）。</w:t>
      </w:r>
    </w:p>
    <w:p w14:paraId="494AF170">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（3）氧化清洗： 使用稀释后的次氯酸钠（浓度0.3~0.5%）。</w:t>
      </w:r>
    </w:p>
    <w:p w14:paraId="3758A924">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4）将吊出的膜组件转移至租赁的专业清洗池内。使用高压水枪等设备进行初步冲洗。依次使用三种专业药剂进行化学清洗，清洗完成后，使用硫代硫酸钠将残留的次氯酸钠还原，确保安全后方可排入污水站处理。</w:t>
      </w:r>
    </w:p>
    <w:p w14:paraId="6BED950D">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3.收尾与恢复</w:t>
      </w:r>
    </w:p>
    <w:p w14:paraId="2B7C9C95">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（1）清洗并检查完毕后，使用吊车将MBR膜组件重新安装回膜池。清理现场，撤除警戒和围挡。</w:t>
      </w:r>
    </w:p>
    <w:p w14:paraId="6BB45509">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（2）整个过程中，供应商需派遣1名技术人员和3名工人驻场3天进行指导和操作。</w:t>
      </w:r>
    </w:p>
    <w:p w14:paraId="19AD9386">
      <w:pPr>
        <w:pStyle w:val="4"/>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bCs/>
          <w:kern w:val="0"/>
          <w:sz w:val="28"/>
          <w:szCs w:val="28"/>
          <w:lang w:val="en-US" w:eastAsia="zh-CN" w:bidi="ar"/>
        </w:rPr>
      </w:pPr>
      <w:r>
        <w:rPr>
          <w:rFonts w:hint="eastAsia" w:ascii="仿宋" w:hAnsi="仿宋" w:eastAsia="仿宋" w:cs="仿宋"/>
          <w:b/>
          <w:bCs/>
          <w:kern w:val="0"/>
          <w:sz w:val="28"/>
          <w:szCs w:val="28"/>
          <w:lang w:val="en-US" w:eastAsia="zh-CN" w:bidi="ar"/>
        </w:rPr>
        <w:t>（二）深度拆卸清洗（1次）</w:t>
      </w:r>
    </w:p>
    <w:p w14:paraId="52217AE4">
      <w:pPr>
        <w:pStyle w:val="15"/>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此项服务为年度深度维护，比整装清洗更为彻底，涉及膜组件的拆卸，工作周期约为8天。</w:t>
      </w:r>
    </w:p>
    <w:p w14:paraId="7F7B81BF">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1.施工准备与拆卸</w:t>
      </w:r>
    </w:p>
    <w:p w14:paraId="5E1B3BDC">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(1)与整装清洗类似，首先完成现场安全准备、膜池降水及吊车租赁。</w:t>
      </w:r>
    </w:p>
    <w:p w14:paraId="3F919A63">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(2)使用50吨吊车将两组MBR膜组件吊出。</w:t>
      </w:r>
    </w:p>
    <w:p w14:paraId="5C0756B0">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关键区别： 对吊出的膜组件进行深度拆卸，以便对每个单元进行更精细化的处理。</w:t>
      </w:r>
    </w:p>
    <w:p w14:paraId="423147AE">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2.深度清洗作业</w:t>
      </w:r>
    </w:p>
    <w:p w14:paraId="32DFC7CC">
      <w:pPr>
        <w:pStyle w:val="15"/>
        <w:keepNext w:val="0"/>
        <w:keepLines w:val="0"/>
        <w:pageBreakBefore w:val="0"/>
        <w:widowControl/>
        <w:numPr>
          <w:ilvl w:val="0"/>
          <w:numId w:val="13"/>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酸性清洗： 使用稀释后的柠檬酸（浓度1~2%）。</w:t>
      </w:r>
    </w:p>
    <w:p w14:paraId="645840E3">
      <w:pPr>
        <w:pStyle w:val="15"/>
        <w:keepNext w:val="0"/>
        <w:keepLines w:val="0"/>
        <w:pageBreakBefore w:val="0"/>
        <w:widowControl/>
        <w:numPr>
          <w:ilvl w:val="0"/>
          <w:numId w:val="13"/>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碱性清洗： 使用稀释后的碱液（浓度0.1~0.4%）。</w:t>
      </w:r>
    </w:p>
    <w:p w14:paraId="3D73973F">
      <w:pPr>
        <w:pStyle w:val="15"/>
        <w:keepNext w:val="0"/>
        <w:keepLines w:val="0"/>
        <w:pageBreakBefore w:val="0"/>
        <w:widowControl/>
        <w:numPr>
          <w:ilvl w:val="0"/>
          <w:numId w:val="13"/>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氧化清洗： 使用稀释后的次氯酸钠（浓度0.3~0.5%）。</w:t>
      </w:r>
    </w:p>
    <w:p w14:paraId="5518507E">
      <w:pPr>
        <w:pStyle w:val="15"/>
        <w:keepNext w:val="0"/>
        <w:keepLines w:val="0"/>
        <w:pageBreakBefore w:val="0"/>
        <w:widowControl/>
        <w:numPr>
          <w:ilvl w:val="0"/>
          <w:numId w:val="13"/>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将拆卸后的膜元件放入租赁的清洗池中，使用高压水枪进行更彻底的物理冲洗。采用与整装清洗相同的药剂配方和用量进行化学清洗，清洗结束后，同样使用硫代硫酸钠进行还原中和处理。</w:t>
      </w:r>
    </w:p>
    <w:p w14:paraId="6D0A3023">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3.回装与收尾</w:t>
      </w:r>
    </w:p>
    <w:p w14:paraId="6446ED05">
      <w:pPr>
        <w:pStyle w:val="15"/>
        <w:keepNext w:val="0"/>
        <w:keepLines w:val="0"/>
        <w:pageBreakBefore w:val="0"/>
        <w:widowControl/>
        <w:numPr>
          <w:ilvl w:val="0"/>
          <w:numId w:val="14"/>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深度清洗并检查合格后，将膜组件重新组装。使用吊车将组装好的MBR膜组件吊装回膜池并安装到位。清理现场，恢复原状。</w:t>
      </w:r>
    </w:p>
    <w:p w14:paraId="5125312D">
      <w:pPr>
        <w:pStyle w:val="15"/>
        <w:keepNext w:val="0"/>
        <w:keepLines w:val="0"/>
        <w:pageBreakBefore w:val="0"/>
        <w:widowControl/>
        <w:numPr>
          <w:ilvl w:val="0"/>
          <w:numId w:val="14"/>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由于工序更复杂，此项工作需要供应商派遣1名技术人员和5名工人驻场8天。</w:t>
      </w:r>
    </w:p>
    <w:p w14:paraId="46FF8A54">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bCs/>
          <w:kern w:val="0"/>
          <w:sz w:val="28"/>
          <w:szCs w:val="28"/>
          <w:lang w:val="en-US" w:eastAsia="zh-CN" w:bidi="ar"/>
        </w:rPr>
      </w:pPr>
      <w:r>
        <w:rPr>
          <w:rFonts w:hint="eastAsia" w:ascii="仿宋" w:hAnsi="仿宋" w:eastAsia="仿宋" w:cs="仿宋"/>
          <w:b/>
          <w:bCs/>
          <w:kern w:val="0"/>
          <w:sz w:val="28"/>
          <w:szCs w:val="28"/>
          <w:lang w:val="en-US" w:eastAsia="zh-CN" w:bidi="ar"/>
        </w:rPr>
        <w:t>（三）安全作业及事故责任划分</w:t>
      </w:r>
    </w:p>
    <w:p w14:paraId="5509DA2F">
      <w:pPr>
        <w:pStyle w:val="15"/>
        <w:keepNext w:val="0"/>
        <w:keepLines w:val="0"/>
        <w:pageBreakBefore w:val="0"/>
        <w:widowControl/>
        <w:suppressLineNumbers w:val="0"/>
        <w:kinsoku/>
        <w:wordWrap/>
        <w:overflowPunct/>
        <w:topLinePunct w:val="0"/>
        <w:autoSpaceDN/>
        <w:bidi w:val="0"/>
        <w:adjustRightInd/>
        <w:snapToGrid/>
        <w:spacing w:line="560" w:lineRule="exact"/>
        <w:ind w:firstLine="560" w:firstLineChars="20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MBR膜清洗过程中，供应商应合理组织专业技术人员，严格按有限空间作业技术规范要求，做好施工过程的安全措施。若施工过程中人员、设备出现安全事故，由供应商承担全部安全责任。</w:t>
      </w:r>
    </w:p>
    <w:p w14:paraId="308E7E6E">
      <w:pPr>
        <w:pStyle w:val="15"/>
        <w:keepNext w:val="0"/>
        <w:keepLines w:val="0"/>
        <w:pageBreakBefore w:val="0"/>
        <w:widowControl/>
        <w:numPr>
          <w:ilvl w:val="0"/>
          <w:numId w:val="15"/>
        </w:numPr>
        <w:suppressLineNumbers w:val="0"/>
        <w:kinsoku/>
        <w:wordWrap/>
        <w:overflowPunct/>
        <w:topLinePunct w:val="0"/>
        <w:autoSpaceDN/>
        <w:bidi w:val="0"/>
        <w:adjustRightInd/>
        <w:snapToGrid/>
        <w:spacing w:line="560" w:lineRule="exact"/>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b/>
          <w:bCs/>
          <w:kern w:val="0"/>
          <w:sz w:val="28"/>
          <w:szCs w:val="28"/>
          <w:lang w:val="en-US" w:eastAsia="zh-CN" w:bidi="ar"/>
        </w:rPr>
        <w:t>详细施工流程与计划：</w:t>
      </w:r>
    </w:p>
    <w:p w14:paraId="6BE8A94F">
      <w:pPr>
        <w:pStyle w:val="15"/>
        <w:keepNext w:val="0"/>
        <w:keepLines w:val="0"/>
        <w:pageBreakBefore w:val="0"/>
        <w:widowControl/>
        <w:numPr>
          <w:ilvl w:val="0"/>
          <w:numId w:val="16"/>
        </w:numPr>
        <w:suppressLineNumbers w:val="0"/>
        <w:kinsoku/>
        <w:wordWrap/>
        <w:overflowPunct/>
        <w:topLinePunct w:val="0"/>
        <w:autoSpaceDE w:val="0"/>
        <w:autoSpaceDN/>
        <w:bidi w:val="0"/>
        <w:adjustRightInd/>
        <w:snapToGrid/>
        <w:spacing w:before="0" w:beforeAutospacing="0" w:after="0" w:afterAutospacing="0" w:line="560" w:lineRule="exact"/>
        <w:ind w:left="425" w:leftChars="0" w:right="0" w:rightChars="0" w:hanging="425" w:firstLineChars="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整装清洗（3天）：提供详细的每日工作计划，包括膜组件起吊、清洗、还原、回装等各环节的时间节点和操作流程。</w:t>
      </w:r>
    </w:p>
    <w:p w14:paraId="5B12A5FE">
      <w:pPr>
        <w:pStyle w:val="15"/>
        <w:keepNext w:val="0"/>
        <w:keepLines w:val="0"/>
        <w:pageBreakBefore w:val="0"/>
        <w:widowControl/>
        <w:numPr>
          <w:ilvl w:val="0"/>
          <w:numId w:val="16"/>
        </w:numPr>
        <w:suppressLineNumbers w:val="0"/>
        <w:kinsoku/>
        <w:wordWrap/>
        <w:overflowPunct/>
        <w:topLinePunct w:val="0"/>
        <w:autoSpaceDE w:val="0"/>
        <w:autoSpaceDN/>
        <w:bidi w:val="0"/>
        <w:adjustRightInd/>
        <w:snapToGrid/>
        <w:spacing w:before="0" w:beforeAutospacing="0" w:after="0" w:afterAutospacing="0" w:line="560" w:lineRule="exact"/>
        <w:ind w:left="425" w:leftChars="0" w:right="0" w:rightChars="0" w:hanging="425" w:firstLineChars="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深度拆卸清洗（8天）：提供详细的每日工作计划，包括膜片的拆卸、分类、清洗、检测、重新组装、回装等各环节的时间节点和操作流程。</w:t>
      </w:r>
    </w:p>
    <w:p w14:paraId="3A24BF8A">
      <w:pPr>
        <w:pStyle w:val="15"/>
        <w:keepNext w:val="0"/>
        <w:keepLines w:val="0"/>
        <w:pageBreakBefore w:val="0"/>
        <w:widowControl/>
        <w:numPr>
          <w:ilvl w:val="0"/>
          <w:numId w:val="16"/>
        </w:numPr>
        <w:suppressLineNumbers w:val="0"/>
        <w:kinsoku/>
        <w:wordWrap/>
        <w:overflowPunct/>
        <w:topLinePunct w:val="0"/>
        <w:autoSpaceDE w:val="0"/>
        <w:autoSpaceDN/>
        <w:bidi w:val="0"/>
        <w:adjustRightInd/>
        <w:snapToGrid/>
        <w:spacing w:before="0" w:beforeAutospacing="0" w:after="0" w:afterAutospacing="0" w:line="560" w:lineRule="exact"/>
        <w:ind w:left="425" w:leftChars="0" w:right="0" w:rightChars="0" w:hanging="425" w:firstLineChars="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明确各工序的衔接方式和质量控制点。</w:t>
      </w:r>
    </w:p>
    <w:p w14:paraId="06E1F01D">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0" w:firstLineChars="0"/>
        <w:textAlignment w:val="auto"/>
        <w:rPr>
          <w:rFonts w:hint="default"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4.</w:t>
      </w:r>
      <w:r>
        <w:rPr>
          <w:rFonts w:hint="default" w:ascii="仿宋" w:hAnsi="仿宋" w:eastAsia="仿宋" w:cs="仿宋"/>
          <w:color w:val="0D0D0D"/>
          <w:kern w:val="2"/>
          <w:sz w:val="28"/>
          <w:szCs w:val="28"/>
          <w:lang w:val="en-US" w:eastAsia="zh-CN"/>
        </w:rPr>
        <w:t>项目组织架构：明确项目负责人、技术负责人、安全负责人及现场作业人员</w:t>
      </w:r>
      <w:r>
        <w:rPr>
          <w:rFonts w:hint="eastAsia" w:ascii="仿宋" w:hAnsi="仿宋" w:eastAsia="仿宋" w:cs="仿宋"/>
          <w:color w:val="0D0D0D"/>
          <w:kern w:val="2"/>
          <w:sz w:val="28"/>
          <w:szCs w:val="28"/>
          <w:lang w:val="en-US" w:eastAsia="zh-CN"/>
        </w:rPr>
        <w:t>。</w:t>
      </w:r>
    </w:p>
    <w:p w14:paraId="147F263A">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0" w:firstLineChars="0"/>
        <w:textAlignment w:val="auto"/>
        <w:rPr>
          <w:rFonts w:hint="default"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5.</w:t>
      </w:r>
      <w:r>
        <w:rPr>
          <w:rFonts w:hint="default" w:ascii="仿宋" w:hAnsi="仿宋" w:eastAsia="仿宋" w:cs="仿宋"/>
          <w:color w:val="0D0D0D"/>
          <w:kern w:val="2"/>
          <w:sz w:val="28"/>
          <w:szCs w:val="28"/>
          <w:lang w:val="en-US" w:eastAsia="zh-CN"/>
        </w:rPr>
        <w:t>提供所有参与本项目人员的名单、岗位、职责分工及联系方式。</w:t>
      </w:r>
    </w:p>
    <w:p w14:paraId="1842E9B3">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0" w:firstLineChars="0"/>
        <w:textAlignment w:val="auto"/>
        <w:rPr>
          <w:rFonts w:hint="eastAsia" w:ascii="仿宋" w:hAnsi="仿宋" w:eastAsia="仿宋" w:cs="仿宋"/>
          <w:color w:val="0D0D0D"/>
          <w:kern w:val="2"/>
          <w:sz w:val="28"/>
          <w:szCs w:val="28"/>
          <w:lang w:val="en-US" w:eastAsia="zh-CN"/>
        </w:rPr>
      </w:pPr>
    </w:p>
    <w:p w14:paraId="1E9A43AF">
      <w:pPr>
        <w:pStyle w:val="15"/>
        <w:keepNext w:val="0"/>
        <w:keepLines w:val="0"/>
        <w:pageBreakBefore w:val="0"/>
        <w:widowControl/>
        <w:numPr>
          <w:ilvl w:val="0"/>
          <w:numId w:val="15"/>
        </w:numPr>
        <w:suppressLineNumbers w:val="0"/>
        <w:kinsoku/>
        <w:wordWrap/>
        <w:overflowPunct/>
        <w:topLinePunct w:val="0"/>
        <w:autoSpaceDE w:val="0"/>
        <w:autoSpaceDN/>
        <w:bidi w:val="0"/>
        <w:adjustRightInd/>
        <w:snapToGrid/>
        <w:spacing w:beforeAutospacing="0" w:afterAutospacing="0" w:line="560" w:lineRule="exact"/>
        <w:ind w:firstLine="0" w:firstLineChars="0"/>
        <w:textAlignment w:val="auto"/>
        <w:rPr>
          <w:rFonts w:hint="eastAsia" w:ascii="仿宋" w:hAnsi="仿宋" w:eastAsia="仿宋" w:cs="仿宋"/>
          <w:b/>
          <w:bCs/>
          <w:kern w:val="0"/>
          <w:sz w:val="28"/>
          <w:szCs w:val="28"/>
          <w:lang w:val="en-US" w:eastAsia="zh-CN" w:bidi="ar"/>
        </w:rPr>
      </w:pPr>
      <w:r>
        <w:rPr>
          <w:rFonts w:hint="eastAsia" w:ascii="仿宋" w:hAnsi="仿宋" w:eastAsia="仿宋" w:cs="仿宋"/>
          <w:b/>
          <w:bCs/>
          <w:kern w:val="0"/>
          <w:sz w:val="28"/>
          <w:szCs w:val="28"/>
          <w:lang w:val="en-US" w:eastAsia="zh-CN" w:bidi="ar"/>
        </w:rPr>
        <w:t>人员资质</w:t>
      </w:r>
    </w:p>
    <w:p w14:paraId="7D7C0CFB">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Autospacing="0" w:afterAutospacing="0" w:line="560" w:lineRule="exact"/>
        <w:ind w:firstLine="560" w:firstLineChars="200"/>
        <w:textAlignment w:val="auto"/>
        <w:rPr>
          <w:rFonts w:hint="eastAsia" w:ascii="仿宋" w:hAnsi="仿宋" w:eastAsia="仿宋" w:cs="仿宋"/>
          <w:b/>
          <w:bCs/>
          <w:kern w:val="0"/>
          <w:sz w:val="28"/>
          <w:szCs w:val="28"/>
          <w:lang w:val="en-US" w:eastAsia="zh-CN" w:bidi="ar"/>
        </w:rPr>
      </w:pPr>
      <w:r>
        <w:rPr>
          <w:rFonts w:hint="eastAsia" w:ascii="仿宋" w:hAnsi="仿宋" w:eastAsia="仿宋" w:cs="仿宋"/>
          <w:sz w:val="28"/>
          <w:szCs w:val="28"/>
        </w:rPr>
        <w:t>技术人员</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工人需</w:t>
      </w:r>
      <w:r>
        <w:rPr>
          <w:rFonts w:hint="default" w:ascii="仿宋" w:hAnsi="仿宋" w:eastAsia="仿宋" w:cs="仿宋"/>
          <w:b w:val="0"/>
          <w:bCs w:val="0"/>
          <w:color w:val="0D0D0D"/>
          <w:kern w:val="2"/>
          <w:sz w:val="28"/>
          <w:szCs w:val="28"/>
          <w:lang w:val="en-US" w:eastAsia="zh-CN" w:bidi="ar"/>
        </w:rPr>
        <w:t>持有污废水处理工职业资格证书或有限空间执业证</w:t>
      </w:r>
      <w:r>
        <w:rPr>
          <w:rFonts w:hint="eastAsia" w:ascii="仿宋" w:hAnsi="仿宋" w:eastAsia="仿宋" w:cs="仿宋"/>
          <w:b w:val="0"/>
          <w:bCs w:val="0"/>
          <w:color w:val="0D0D0D"/>
          <w:kern w:val="2"/>
          <w:sz w:val="28"/>
          <w:szCs w:val="28"/>
          <w:lang w:val="en-US" w:eastAsia="zh-CN" w:bidi="ar"/>
        </w:rPr>
        <w:t>（</w:t>
      </w:r>
      <w:r>
        <w:rPr>
          <w:rFonts w:hint="eastAsia" w:ascii="仿宋" w:hAnsi="仿宋" w:eastAsia="仿宋" w:cs="仿宋"/>
          <w:color w:val="0D0D0D"/>
          <w:kern w:val="2"/>
          <w:sz w:val="28"/>
          <w:szCs w:val="28"/>
          <w:lang w:val="en-US" w:eastAsia="zh-CN"/>
        </w:rPr>
        <w:t>注：提供复印件并加盖公章。</w:t>
      </w:r>
      <w:r>
        <w:rPr>
          <w:rFonts w:hint="eastAsia" w:ascii="仿宋" w:hAnsi="仿宋" w:eastAsia="仿宋" w:cs="仿宋"/>
          <w:b w:val="0"/>
          <w:bCs w:val="0"/>
          <w:color w:val="0D0D0D"/>
          <w:kern w:val="2"/>
          <w:sz w:val="28"/>
          <w:szCs w:val="28"/>
          <w:lang w:val="en-US" w:eastAsia="zh-CN" w:bidi="ar"/>
        </w:rPr>
        <w:t>）</w:t>
      </w:r>
    </w:p>
    <w:p w14:paraId="5B2DA0B9">
      <w:pPr>
        <w:pStyle w:val="15"/>
        <w:keepNext w:val="0"/>
        <w:keepLines w:val="0"/>
        <w:pageBreakBefore w:val="0"/>
        <w:widowControl/>
        <w:numPr>
          <w:ilvl w:val="0"/>
          <w:numId w:val="15"/>
        </w:numPr>
        <w:suppressLineNumbers w:val="0"/>
        <w:kinsoku/>
        <w:wordWrap/>
        <w:overflowPunct/>
        <w:topLinePunct w:val="0"/>
        <w:autoSpaceDN/>
        <w:bidi w:val="0"/>
        <w:adjustRightInd/>
        <w:snapToGrid/>
        <w:spacing w:line="560" w:lineRule="exact"/>
        <w:textAlignment w:val="auto"/>
        <w:rPr>
          <w:rFonts w:hint="eastAsia" w:ascii="仿宋" w:hAnsi="仿宋" w:eastAsia="仿宋" w:cs="仿宋"/>
          <w:b/>
          <w:bCs/>
          <w:kern w:val="0"/>
          <w:sz w:val="28"/>
          <w:szCs w:val="28"/>
          <w:lang w:val="en-US" w:eastAsia="zh-CN" w:bidi="ar"/>
        </w:rPr>
      </w:pPr>
      <w:r>
        <w:rPr>
          <w:rFonts w:hint="eastAsia" w:ascii="仿宋" w:hAnsi="仿宋" w:eastAsia="仿宋" w:cs="仿宋"/>
          <w:b/>
          <w:bCs/>
          <w:kern w:val="0"/>
          <w:sz w:val="28"/>
          <w:szCs w:val="28"/>
          <w:lang w:val="en-US" w:eastAsia="zh-CN" w:bidi="ar"/>
        </w:rPr>
        <w:t>售后服务要求</w:t>
      </w:r>
    </w:p>
    <w:p w14:paraId="66F3C11A">
      <w:pPr>
        <w:pStyle w:val="15"/>
        <w:keepNext w:val="0"/>
        <w:keepLines w:val="0"/>
        <w:pageBreakBefore w:val="0"/>
        <w:widowControl/>
        <w:numPr>
          <w:ilvl w:val="0"/>
          <w:numId w:val="17"/>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质保期：自每次清洗验收合格之日起，提供1个月的质保服务。</w:t>
      </w:r>
    </w:p>
    <w:p w14:paraId="2E8030E2">
      <w:pPr>
        <w:pStyle w:val="15"/>
        <w:keepNext w:val="0"/>
        <w:keepLines w:val="0"/>
        <w:pageBreakBefore w:val="0"/>
        <w:widowControl/>
        <w:numPr>
          <w:ilvl w:val="0"/>
          <w:numId w:val="17"/>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质保范围：质保期内，因本次清洗工艺、技术或操作不当导致的MBR膜性能下降、出水水质不达标等问题，供应商应负责返工处理，直至达到验收标准。</w:t>
      </w:r>
    </w:p>
    <w:p w14:paraId="1DC7B239">
      <w:pPr>
        <w:pStyle w:val="15"/>
        <w:keepNext w:val="0"/>
        <w:keepLines w:val="0"/>
        <w:pageBreakBefore w:val="0"/>
        <w:widowControl/>
        <w:numPr>
          <w:ilvl w:val="0"/>
          <w:numId w:val="17"/>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响应时间：</w:t>
      </w:r>
    </w:p>
    <w:p w14:paraId="6D70A02A">
      <w:pPr>
        <w:pStyle w:val="15"/>
        <w:keepNext w:val="0"/>
        <w:keepLines w:val="0"/>
        <w:pageBreakBefore w:val="0"/>
        <w:widowControl/>
        <w:numPr>
          <w:ilvl w:val="0"/>
          <w:numId w:val="18"/>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日常沟通响应：</w:t>
      </w:r>
      <w:r>
        <w:rPr>
          <w:rFonts w:hint="eastAsia" w:ascii="仿宋" w:hAnsi="仿宋" w:eastAsia="仿宋" w:cs="仿宋"/>
          <w:b w:val="0"/>
          <w:kern w:val="0"/>
          <w:sz w:val="28"/>
          <w:szCs w:val="28"/>
          <w:highlight w:val="none"/>
          <w:lang w:val="en-US" w:eastAsia="zh-CN" w:bidi="ar"/>
        </w:rPr>
        <w:t>服务期内，</w:t>
      </w:r>
      <w:r>
        <w:rPr>
          <w:rFonts w:hint="eastAsia" w:ascii="仿宋" w:hAnsi="仿宋" w:eastAsia="仿宋" w:cs="仿宋"/>
          <w:b w:val="0"/>
          <w:kern w:val="0"/>
          <w:sz w:val="28"/>
          <w:szCs w:val="28"/>
          <w:lang w:val="en-US" w:eastAsia="zh-CN" w:bidi="ar"/>
        </w:rPr>
        <w:t>对于非紧急的日常沟通、技术咨询等，供应商应在2个工作小时内予以回复。</w:t>
      </w:r>
    </w:p>
    <w:p w14:paraId="5D403399">
      <w:pPr>
        <w:pStyle w:val="15"/>
        <w:keepNext w:val="0"/>
        <w:keepLines w:val="0"/>
        <w:pageBreakBefore w:val="0"/>
        <w:widowControl/>
        <w:numPr>
          <w:ilvl w:val="0"/>
          <w:numId w:val="18"/>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紧急情况响应：在服务期内，若因清洗质量问题导致MBR膜系统运行异常（如出水水质不达标、膜通量急剧下降等），供应商在接到采购人通知后，必须在2小时内做出实质性响应，提供远程技术指导。若远程指导无法解决问题，供应商技术人员必须在24小时内到达项目现场进行处理。</w:t>
      </w:r>
    </w:p>
    <w:p w14:paraId="429A0A5E">
      <w:pPr>
        <w:pStyle w:val="15"/>
        <w:keepNext w:val="0"/>
        <w:keepLines w:val="0"/>
        <w:pageBreakBefore w:val="0"/>
        <w:widowControl/>
        <w:numPr>
          <w:ilvl w:val="0"/>
          <w:numId w:val="17"/>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服务期内，供应商需提供7x24小时技术服务热线，解答采购人在MBR膜日常运行维护中遇到的技术问题。</w:t>
      </w:r>
    </w:p>
    <w:p w14:paraId="2C90A74D">
      <w:pPr>
        <w:pStyle w:val="15"/>
        <w:keepNext w:val="0"/>
        <w:keepLines w:val="0"/>
        <w:pageBreakBefore w:val="0"/>
        <w:widowControl/>
        <w:numPr>
          <w:ilvl w:val="0"/>
          <w:numId w:val="17"/>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质保期内，每季度提供一次远程运行状况回访，并根据MBR膜运行数据提供运行优化建议。</w:t>
      </w:r>
    </w:p>
    <w:p w14:paraId="2BD45F01">
      <w:pPr>
        <w:pStyle w:val="15"/>
        <w:keepNext w:val="0"/>
        <w:keepLines w:val="0"/>
        <w:pageBreakBefore w:val="0"/>
        <w:widowControl/>
        <w:numPr>
          <w:ilvl w:val="0"/>
          <w:numId w:val="17"/>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培训服务：完成清洗验收时，供应商应为采购人污水站运营人员提供一次的现场培训，内容包括MBR膜的维护保养知识、常见问题判断及清洗后的运行注意事项等。</w:t>
      </w:r>
    </w:p>
    <w:p w14:paraId="5810D94A">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textAlignment w:val="auto"/>
        <w:rPr>
          <w:rFonts w:hint="eastAsia" w:ascii="仿宋" w:hAnsi="仿宋" w:eastAsia="仿宋" w:cs="仿宋"/>
          <w:sz w:val="28"/>
          <w:szCs w:val="28"/>
        </w:rPr>
      </w:pP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w:t>
      </w:r>
      <w:r>
        <w:rPr>
          <w:rFonts w:hint="eastAsia" w:ascii="仿宋" w:hAnsi="仿宋" w:eastAsia="仿宋" w:cs="仿宋"/>
          <w:color w:val="0D0D0D"/>
          <w:kern w:val="2"/>
          <w:sz w:val="28"/>
          <w:szCs w:val="28"/>
        </w:rPr>
        <w:t>★</w:t>
      </w:r>
      <w:r>
        <w:rPr>
          <w:rFonts w:hint="eastAsia" w:ascii="仿宋" w:hAnsi="仿宋" w:eastAsia="仿宋" w:cs="仿宋"/>
          <w:b/>
          <w:bCs/>
          <w:sz w:val="28"/>
          <w:szCs w:val="28"/>
        </w:rPr>
        <w:t>商务要求：</w:t>
      </w:r>
    </w:p>
    <w:p w14:paraId="0A4723B2">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val="0"/>
          <w:kern w:val="0"/>
          <w:sz w:val="28"/>
          <w:szCs w:val="28"/>
          <w:lang w:val="en-US" w:eastAsia="zh-CN" w:bidi="ar"/>
        </w:rPr>
      </w:pPr>
      <w:r>
        <w:rPr>
          <w:rFonts w:hint="default" w:ascii="仿宋" w:hAnsi="仿宋" w:eastAsia="仿宋" w:cs="仿宋"/>
          <w:b w:val="0"/>
          <w:kern w:val="0"/>
          <w:sz w:val="28"/>
          <w:szCs w:val="28"/>
          <w:lang w:val="en-US" w:eastAsia="zh-CN" w:bidi="ar"/>
        </w:rPr>
        <w:t>1.</w:t>
      </w:r>
      <w:r>
        <w:rPr>
          <w:rFonts w:hint="eastAsia" w:ascii="仿宋" w:hAnsi="仿宋" w:eastAsia="仿宋" w:cs="仿宋"/>
          <w:b w:val="0"/>
          <w:kern w:val="0"/>
          <w:sz w:val="28"/>
          <w:szCs w:val="28"/>
          <w:lang w:val="en-US" w:eastAsia="zh-CN" w:bidi="ar"/>
        </w:rPr>
        <w:t>付款方式：总价包干：服务期内完成相应清洗服务（按次）且经采购人验收合格后，供应商 5 日内向采购人提供合法有效票据及其他相关请款资料，采购人接到供应商请款资料以后的55日内，向供应商支付对应合同单价的金额。</w:t>
      </w:r>
    </w:p>
    <w:p w14:paraId="50104D01">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val="0"/>
          <w:kern w:val="0"/>
          <w:sz w:val="28"/>
          <w:szCs w:val="28"/>
          <w:lang w:val="en-US" w:eastAsia="zh-CN" w:bidi="ar"/>
        </w:rPr>
      </w:pPr>
      <w:r>
        <w:rPr>
          <w:rFonts w:hint="default" w:ascii="仿宋" w:hAnsi="仿宋" w:eastAsia="仿宋" w:cs="仿宋"/>
          <w:b w:val="0"/>
          <w:kern w:val="0"/>
          <w:sz w:val="28"/>
          <w:szCs w:val="28"/>
          <w:lang w:val="en-US" w:eastAsia="zh-CN" w:bidi="ar"/>
        </w:rPr>
        <w:t>2.</w:t>
      </w:r>
      <w:r>
        <w:rPr>
          <w:rFonts w:hint="eastAsia" w:ascii="仿宋" w:hAnsi="仿宋" w:eastAsia="仿宋" w:cs="仿宋"/>
          <w:b w:val="0"/>
          <w:kern w:val="0"/>
          <w:sz w:val="28"/>
          <w:szCs w:val="28"/>
          <w:lang w:val="en-US" w:eastAsia="zh-CN" w:bidi="ar"/>
        </w:rPr>
        <w:t>服务地点：四川省人民医院（草堂院区）</w:t>
      </w:r>
    </w:p>
    <w:p w14:paraId="2EA52BE2">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kern w:val="0"/>
          <w:sz w:val="28"/>
          <w:szCs w:val="28"/>
          <w:lang w:bidi="ar"/>
        </w:rPr>
      </w:pPr>
      <w:r>
        <w:rPr>
          <w:rFonts w:hint="default" w:ascii="仿宋" w:hAnsi="仿宋" w:eastAsia="仿宋" w:cs="仿宋"/>
          <w:kern w:val="2"/>
          <w:sz w:val="28"/>
          <w:szCs w:val="28"/>
          <w:lang w:val="en-US" w:eastAsia="zh-CN" w:bidi="ar-SA"/>
        </w:rPr>
        <w:t>3.</w:t>
      </w:r>
      <w:r>
        <w:rPr>
          <w:rFonts w:hint="eastAsia" w:ascii="仿宋" w:hAnsi="仿宋" w:eastAsia="仿宋" w:cs="仿宋"/>
          <w:color w:val="0D0D0D"/>
          <w:kern w:val="2"/>
          <w:sz w:val="28"/>
          <w:szCs w:val="28"/>
          <w:lang w:val="en-US" w:eastAsia="zh-CN"/>
        </w:rPr>
        <w:t>服务期限：</w:t>
      </w:r>
      <w:r>
        <w:rPr>
          <w:rFonts w:hint="eastAsia" w:ascii="仿宋" w:hAnsi="仿宋" w:eastAsia="仿宋" w:cs="仿宋"/>
          <w:kern w:val="0"/>
          <w:sz w:val="28"/>
          <w:szCs w:val="28"/>
          <w:lang w:val="en-US" w:eastAsia="zh-CN" w:bidi="ar"/>
        </w:rPr>
        <w:t xml:space="preserve">合同签订之日作为服务期起始时间，服务期1年。 </w:t>
      </w:r>
    </w:p>
    <w:p w14:paraId="30945A2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sz w:val="28"/>
          <w:szCs w:val="28"/>
        </w:rPr>
      </w:pPr>
      <w:r>
        <w:rPr>
          <w:rFonts w:hint="default" w:ascii="仿宋" w:hAnsi="仿宋" w:eastAsia="仿宋" w:cs="仿宋"/>
          <w:kern w:val="2"/>
          <w:sz w:val="28"/>
          <w:szCs w:val="28"/>
          <w:lang w:val="en-US" w:eastAsia="zh-CN" w:bidi="ar-SA"/>
        </w:rPr>
        <w:t>4.</w:t>
      </w:r>
      <w:r>
        <w:rPr>
          <w:rFonts w:hint="eastAsia" w:ascii="仿宋" w:hAnsi="仿宋" w:eastAsia="仿宋" w:cs="仿宋"/>
          <w:sz w:val="28"/>
          <w:szCs w:val="28"/>
          <w:lang w:val="en-US" w:eastAsia="zh-CN"/>
        </w:rPr>
        <w:t>验收方案：</w:t>
      </w:r>
    </w:p>
    <w:p w14:paraId="1802DA8A">
      <w:pPr>
        <w:pStyle w:val="7"/>
        <w:keepNext w:val="0"/>
        <w:keepLines w:val="0"/>
        <w:pageBreakBefore w:val="0"/>
        <w:kinsoku/>
        <w:wordWrap/>
        <w:overflowPunct/>
        <w:topLinePunct w:val="0"/>
        <w:autoSpaceDN/>
        <w:bidi w:val="0"/>
        <w:adjustRightInd/>
        <w:spacing w:line="360" w:lineRule="auto"/>
        <w:textAlignment w:val="auto"/>
        <w:rPr>
          <w:rFonts w:hint="eastAsia" w:ascii="仿宋" w:hAnsi="仿宋" w:eastAsia="仿宋" w:cs="仿宋"/>
          <w:color w:val="0D0D0D"/>
          <w:kern w:val="2"/>
          <w:sz w:val="28"/>
          <w:szCs w:val="28"/>
          <w:lang w:val="en-US" w:eastAsia="zh-CN" w:bidi="ar-SA"/>
        </w:rPr>
      </w:pPr>
      <w:r>
        <w:rPr>
          <w:rFonts w:hint="eastAsia" w:ascii="仿宋" w:hAnsi="仿宋" w:eastAsia="仿宋" w:cs="仿宋"/>
          <w:color w:val="0D0D0D"/>
          <w:kern w:val="2"/>
          <w:sz w:val="28"/>
          <w:szCs w:val="28"/>
          <w:lang w:eastAsia="zh-CN"/>
        </w:rPr>
        <w:t>(1)验收时</w:t>
      </w:r>
      <w:r>
        <w:rPr>
          <w:rFonts w:hint="eastAsia" w:ascii="仿宋" w:hAnsi="仿宋" w:eastAsia="仿宋" w:cs="仿宋"/>
          <w:color w:val="0D0D0D"/>
          <w:kern w:val="2"/>
          <w:sz w:val="28"/>
          <w:szCs w:val="28"/>
          <w:lang w:val="en-US" w:eastAsia="zh-CN" w:bidi="ar-SA"/>
        </w:rPr>
        <w:t>间：供应商完成每一阶段或轮次服务内容后5日内通知采购人验收，采购人接供应商通知后10日内组织验收。</w:t>
      </w:r>
    </w:p>
    <w:p w14:paraId="23D55B85">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(2)验收主体：采购人；</w:t>
      </w:r>
    </w:p>
    <w:p w14:paraId="64EB06E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(3)验收方式：现场整体验收；</w:t>
      </w:r>
    </w:p>
    <w:p w14:paraId="60D9DFC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(4)验收程序：</w:t>
      </w:r>
      <w:r>
        <w:rPr>
          <w:rFonts w:hint="eastAsia" w:ascii="仿宋" w:hAnsi="仿宋" w:eastAsia="仿宋" w:cs="仿宋"/>
          <w:color w:val="0D0D0D"/>
          <w:kern w:val="2"/>
          <w:sz w:val="28"/>
          <w:szCs w:val="28"/>
          <w:lang w:val="en-US" w:eastAsia="zh-CN"/>
        </w:rPr>
        <w:t>分期/分段验收</w:t>
      </w:r>
      <w:r>
        <w:rPr>
          <w:rFonts w:hint="eastAsia" w:ascii="仿宋" w:hAnsi="仿宋" w:eastAsia="仿宋" w:cs="仿宋"/>
          <w:color w:val="0D0D0D"/>
          <w:kern w:val="2"/>
          <w:sz w:val="28"/>
          <w:szCs w:val="28"/>
          <w:lang w:eastAsia="zh-CN"/>
        </w:rPr>
        <w:t>；</w:t>
      </w:r>
    </w:p>
    <w:p w14:paraId="6D1EF9C4">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(5)验收内容:</w:t>
      </w:r>
      <w:r>
        <w:rPr>
          <w:rFonts w:hint="eastAsia" w:ascii="仿宋" w:hAnsi="仿宋" w:eastAsia="仿宋" w:cs="仿宋"/>
          <w:color w:val="0D0D0D"/>
          <w:kern w:val="2"/>
          <w:sz w:val="28"/>
          <w:szCs w:val="28"/>
          <w:lang w:val="en-US" w:eastAsia="zh-CN"/>
        </w:rPr>
        <w:t>按照基于本项目采购需求编制的采购文件要求及供应商响应文件情况，由供应商向采购人提供的单次服务的履约情况</w:t>
      </w:r>
      <w:r>
        <w:rPr>
          <w:rFonts w:hint="eastAsia" w:ascii="仿宋" w:hAnsi="仿宋" w:eastAsia="仿宋" w:cs="仿宋"/>
          <w:color w:val="0D0D0D"/>
          <w:kern w:val="2"/>
          <w:sz w:val="28"/>
          <w:szCs w:val="28"/>
          <w:lang w:eastAsia="zh-CN"/>
        </w:rPr>
        <w:t>；</w:t>
      </w:r>
    </w:p>
    <w:p w14:paraId="4BC1A22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(6)验收组织方式：自行验收；</w:t>
      </w:r>
    </w:p>
    <w:p w14:paraId="2EBF2DD6">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(7)是否邀请本项目的其它供应商:否;</w:t>
      </w:r>
    </w:p>
    <w:p w14:paraId="143FCA27">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(8)是否邀请专家：否；</w:t>
      </w:r>
    </w:p>
    <w:p w14:paraId="414829DF">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(9)是否邀请服务对象：否；</w:t>
      </w:r>
    </w:p>
    <w:p w14:paraId="4579CB89">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(10)是否邀请第三方检测机构:否</w:t>
      </w:r>
    </w:p>
    <w:p w14:paraId="383818C4">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(11)验收标准：</w:t>
      </w:r>
    </w:p>
    <w:p w14:paraId="3BC0449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1)国家相关法律法规、行业标准、技术规范。</w:t>
      </w:r>
    </w:p>
    <w:p w14:paraId="0FD9D2FA">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2)基于本项目采购需求编制的采购文件相关技术、服务要求、供应商响应文件相关响应内容。</w:t>
      </w:r>
    </w:p>
    <w:p w14:paraId="6CCE253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3)产品生产厂家出具的产品说明书、技术白皮书、医疗器械注册证或备案凭证等官方技术资料（如涉及）。</w:t>
      </w:r>
    </w:p>
    <w:p w14:paraId="302DC536">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4)如验收时，采购人与供应商认为本项目验收标准中的技术指标、质量要求等内容存在相互抵触或对其理解存在异议，应按照其中更严格的要求、标准等进行验收。</w:t>
      </w:r>
    </w:p>
    <w:p w14:paraId="2DE468A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5).按照《财政部关于进一步加强政府采购需求和履约验收管理的指导意见》（财库〔2016〕205号）的要求进行验收。（如本项目不涉及政府采购，将参照此条款）。</w:t>
      </w:r>
    </w:p>
    <w:p w14:paraId="51F03A09">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6)如本项目验收方式为考核验收，则考核结果须为合格。</w:t>
      </w:r>
    </w:p>
    <w:p w14:paraId="437BC81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7)其它标准:清洗后，MBR膜池出水COD、氨氮、余氯指标达到站点出水执行的标准，即：医疗机构水污染物排放标准（GB 18466-2005）预处理标准限值要求。</w:t>
      </w:r>
    </w:p>
    <w:p w14:paraId="48638424">
      <w:pPr>
        <w:pStyle w:val="15"/>
        <w:keepNext w:val="0"/>
        <w:keepLines w:val="0"/>
        <w:pageBreakBefore w:val="0"/>
        <w:widowControl/>
        <w:numPr>
          <w:ilvl w:val="0"/>
          <w:numId w:val="19"/>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kern w:val="2"/>
          <w:sz w:val="28"/>
          <w:szCs w:val="28"/>
        </w:rPr>
      </w:pPr>
      <w:r>
        <w:rPr>
          <w:rFonts w:hint="eastAsia" w:ascii="仿宋" w:hAnsi="仿宋" w:eastAsia="仿宋" w:cs="仿宋"/>
          <w:color w:val="0D0D0D"/>
          <w:kern w:val="2"/>
          <w:sz w:val="28"/>
          <w:szCs w:val="28"/>
          <w:lang w:eastAsia="zh-CN"/>
        </w:rPr>
        <w:t>履约验收其它事项：无。</w:t>
      </w:r>
    </w:p>
    <w:p w14:paraId="06D841FA">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rightChars="0" w:firstLine="0" w:firstLineChars="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五、其他要求</w:t>
      </w:r>
    </w:p>
    <w:p w14:paraId="521CB9B6">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Autospacing="0" w:line="560" w:lineRule="exact"/>
        <w:ind w:left="0" w:leftChars="0" w:firstLine="560" w:firstLineChars="200"/>
        <w:textAlignment w:val="auto"/>
        <w:rPr>
          <w:rFonts w:hint="default" w:ascii="仿宋" w:hAnsi="仿宋" w:eastAsia="仿宋" w:cs="仿宋"/>
          <w:b w:val="0"/>
          <w:bCs w:val="0"/>
          <w:color w:val="0D0D0D"/>
          <w:kern w:val="2"/>
          <w:sz w:val="28"/>
          <w:szCs w:val="28"/>
          <w:lang w:val="en-US" w:eastAsia="zh-CN" w:bidi="ar"/>
        </w:rPr>
      </w:pPr>
      <w:r>
        <w:rPr>
          <w:rFonts w:hint="default" w:ascii="仿宋" w:hAnsi="仿宋" w:eastAsia="仿宋" w:cs="仿宋"/>
          <w:b w:val="0"/>
          <w:bCs w:val="0"/>
          <w:color w:val="0D0D0D"/>
          <w:kern w:val="2"/>
          <w:sz w:val="28"/>
          <w:szCs w:val="28"/>
          <w:lang w:val="en-US" w:eastAsia="zh-CN" w:bidi="ar"/>
        </w:rPr>
        <w:t>1.人员</w:t>
      </w:r>
      <w:r>
        <w:rPr>
          <w:rFonts w:hint="eastAsia" w:ascii="仿宋" w:hAnsi="仿宋" w:eastAsia="仿宋" w:cs="仿宋"/>
          <w:b w:val="0"/>
          <w:bCs w:val="0"/>
          <w:color w:val="0D0D0D"/>
          <w:kern w:val="2"/>
          <w:sz w:val="28"/>
          <w:szCs w:val="28"/>
          <w:lang w:val="en-US" w:eastAsia="zh-CN" w:bidi="ar"/>
        </w:rPr>
        <w:t>配置</w:t>
      </w:r>
    </w:p>
    <w:p w14:paraId="4861D924">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Autospacing="0" w:line="560" w:lineRule="exact"/>
        <w:ind w:left="0" w:leftChars="0" w:firstLine="560" w:firstLineChars="200"/>
        <w:textAlignment w:val="auto"/>
        <w:rPr>
          <w:rFonts w:hint="eastAsia" w:ascii="仿宋" w:hAnsi="仿宋" w:eastAsia="仿宋" w:cs="仿宋"/>
          <w:b w:val="0"/>
          <w:bCs w:val="0"/>
          <w:color w:val="0D0D0D"/>
          <w:kern w:val="2"/>
          <w:sz w:val="28"/>
          <w:szCs w:val="28"/>
          <w:lang w:val="en-US" w:eastAsia="zh-CN" w:bidi="ar"/>
        </w:rPr>
      </w:pPr>
      <w:r>
        <w:rPr>
          <w:rFonts w:hint="default" w:ascii="仿宋" w:hAnsi="仿宋" w:eastAsia="仿宋" w:cs="仿宋"/>
          <w:color w:val="0D0D0D"/>
          <w:kern w:val="2"/>
          <w:sz w:val="28"/>
          <w:szCs w:val="28"/>
          <w:lang w:val="en-US" w:eastAsia="zh-CN"/>
        </w:rPr>
        <w:t>（1）技术、安全负责人：</w:t>
      </w:r>
      <w:r>
        <w:rPr>
          <w:rFonts w:hint="eastAsia" w:ascii="仿宋" w:hAnsi="仿宋" w:eastAsia="仿宋" w:cs="仿宋"/>
          <w:color w:val="0D0D0D"/>
          <w:kern w:val="2"/>
          <w:sz w:val="28"/>
          <w:szCs w:val="28"/>
          <w:lang w:val="en-US" w:eastAsia="zh-CN"/>
        </w:rPr>
        <w:t>1人，</w:t>
      </w:r>
      <w:r>
        <w:rPr>
          <w:rFonts w:hint="default" w:ascii="仿宋" w:hAnsi="仿宋" w:eastAsia="仿宋" w:cs="仿宋"/>
          <w:color w:val="0D0D0D"/>
          <w:kern w:val="2"/>
          <w:sz w:val="28"/>
          <w:szCs w:val="28"/>
          <w:lang w:val="en-US" w:eastAsia="zh-CN"/>
        </w:rPr>
        <w:t>同时具有二级及以上市政建造师证书及环保高级工程师证书</w:t>
      </w:r>
      <w:r>
        <w:rPr>
          <w:rFonts w:hint="eastAsia" w:ascii="仿宋" w:hAnsi="仿宋" w:eastAsia="仿宋" w:cs="仿宋"/>
          <w:color w:val="0D0D0D"/>
          <w:kern w:val="2"/>
          <w:sz w:val="28"/>
          <w:szCs w:val="28"/>
          <w:lang w:val="en-US" w:eastAsia="zh-CN"/>
        </w:rPr>
        <w:t>。</w:t>
      </w:r>
    </w:p>
    <w:p w14:paraId="36D923F7">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560" w:firstLineChars="200"/>
        <w:textAlignment w:val="auto"/>
        <w:rPr>
          <w:rFonts w:hint="default" w:ascii="仿宋" w:hAnsi="仿宋" w:eastAsia="仿宋" w:cs="仿宋"/>
          <w:color w:val="0D0D0D"/>
          <w:kern w:val="2"/>
          <w:sz w:val="28"/>
          <w:szCs w:val="28"/>
          <w:lang w:val="en-US" w:eastAsia="zh-CN"/>
        </w:rPr>
      </w:pPr>
      <w:r>
        <w:rPr>
          <w:rFonts w:hint="default" w:ascii="仿宋" w:hAnsi="仿宋" w:eastAsia="仿宋" w:cs="仿宋"/>
          <w:color w:val="0D0D0D"/>
          <w:kern w:val="2"/>
          <w:sz w:val="28"/>
          <w:szCs w:val="28"/>
          <w:lang w:val="en-US" w:eastAsia="zh-CN"/>
        </w:rPr>
        <w:t>（2）项目负责人：</w:t>
      </w:r>
      <w:r>
        <w:rPr>
          <w:rFonts w:hint="eastAsia" w:ascii="仿宋" w:hAnsi="仿宋" w:eastAsia="仿宋" w:cs="仿宋"/>
          <w:color w:val="0D0D0D"/>
          <w:kern w:val="2"/>
          <w:sz w:val="28"/>
          <w:szCs w:val="28"/>
          <w:lang w:val="en-US" w:eastAsia="zh-CN"/>
        </w:rPr>
        <w:t>1人，</w:t>
      </w:r>
      <w:r>
        <w:rPr>
          <w:rFonts w:hint="default" w:ascii="仿宋" w:hAnsi="仿宋" w:eastAsia="仿宋" w:cs="仿宋"/>
          <w:color w:val="0D0D0D"/>
          <w:kern w:val="2"/>
          <w:sz w:val="28"/>
          <w:szCs w:val="28"/>
          <w:lang w:val="en-US" w:eastAsia="zh-CN"/>
        </w:rPr>
        <w:t>具备市政公用工程二级建造师</w:t>
      </w:r>
      <w:r>
        <w:rPr>
          <w:rFonts w:hint="eastAsia" w:ascii="仿宋" w:hAnsi="仿宋" w:eastAsia="仿宋" w:cs="仿宋"/>
          <w:color w:val="0D0D0D"/>
          <w:kern w:val="2"/>
          <w:sz w:val="28"/>
          <w:szCs w:val="28"/>
          <w:lang w:val="en-US" w:eastAsia="zh-CN"/>
        </w:rPr>
        <w:t>。</w:t>
      </w:r>
    </w:p>
    <w:p w14:paraId="0B1135EA">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560" w:firstLineChars="20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（3）</w:t>
      </w:r>
      <w:r>
        <w:rPr>
          <w:rFonts w:hint="eastAsia" w:ascii="仿宋" w:hAnsi="仿宋" w:eastAsia="仿宋" w:cs="仿宋"/>
          <w:sz w:val="28"/>
          <w:szCs w:val="28"/>
        </w:rPr>
        <w:t>技术人员</w:t>
      </w:r>
      <w:r>
        <w:rPr>
          <w:rFonts w:hint="eastAsia" w:ascii="仿宋" w:hAnsi="仿宋" w:eastAsia="仿宋" w:cs="仿宋"/>
          <w:sz w:val="28"/>
          <w:szCs w:val="28"/>
          <w:lang w:eastAsia="zh-CN"/>
        </w:rPr>
        <w:t>：同时具备污废水处理工职业资格证书、有限空间作业培训合格证。</w:t>
      </w:r>
    </w:p>
    <w:p w14:paraId="42DD2E8B">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560" w:firstLineChars="200"/>
        <w:textAlignment w:val="auto"/>
        <w:rPr>
          <w:rFonts w:hint="default" w:ascii="仿宋" w:hAnsi="仿宋" w:eastAsia="仿宋" w:cs="仿宋"/>
          <w:bCs w:val="0"/>
          <w:color w:val="0D0D0D"/>
          <w:kern w:val="2"/>
          <w:sz w:val="28"/>
          <w:szCs w:val="28"/>
          <w:lang w:eastAsia="zh-CN"/>
        </w:rPr>
      </w:pPr>
      <w:r>
        <w:rPr>
          <w:rFonts w:hint="default" w:ascii="仿宋" w:hAnsi="仿宋" w:eastAsia="仿宋" w:cs="仿宋"/>
          <w:color w:val="0D0D0D"/>
          <w:kern w:val="2"/>
          <w:sz w:val="28"/>
          <w:szCs w:val="28"/>
          <w:lang w:val="en-US" w:eastAsia="zh-CN"/>
        </w:rPr>
        <w:t>2.供应商</w:t>
      </w:r>
      <w:r>
        <w:rPr>
          <w:rFonts w:hint="default" w:ascii="仿宋" w:hAnsi="仿宋" w:eastAsia="仿宋" w:cs="仿宋"/>
          <w:bCs w:val="0"/>
          <w:color w:val="0D0D0D"/>
          <w:kern w:val="2"/>
          <w:sz w:val="28"/>
          <w:szCs w:val="28"/>
        </w:rPr>
        <w:t>提供20</w:t>
      </w:r>
      <w:r>
        <w:rPr>
          <w:rFonts w:hint="default" w:ascii="仿宋" w:hAnsi="仿宋" w:eastAsia="仿宋" w:cs="仿宋"/>
          <w:bCs w:val="0"/>
          <w:color w:val="0D0D0D"/>
          <w:kern w:val="2"/>
          <w:sz w:val="28"/>
          <w:szCs w:val="28"/>
          <w:lang w:val="en-US" w:eastAsia="zh-CN"/>
        </w:rPr>
        <w:t>23</w:t>
      </w:r>
      <w:r>
        <w:rPr>
          <w:rFonts w:hint="default" w:ascii="仿宋" w:hAnsi="仿宋" w:eastAsia="仿宋" w:cs="仿宋"/>
          <w:bCs w:val="0"/>
          <w:color w:val="0D0D0D"/>
          <w:kern w:val="2"/>
          <w:sz w:val="28"/>
          <w:szCs w:val="28"/>
        </w:rPr>
        <w:t>年1月1日</w:t>
      </w:r>
      <w:r>
        <w:rPr>
          <w:rFonts w:hint="default" w:ascii="仿宋" w:hAnsi="仿宋" w:eastAsia="仿宋" w:cs="仿宋"/>
          <w:color w:val="0D0D0D"/>
          <w:kern w:val="2"/>
          <w:sz w:val="28"/>
          <w:szCs w:val="28"/>
          <w:lang w:val="en-US" w:eastAsia="zh-CN"/>
        </w:rPr>
        <w:t>（含1日）</w:t>
      </w:r>
      <w:r>
        <w:rPr>
          <w:rFonts w:hint="default" w:ascii="仿宋" w:hAnsi="仿宋" w:eastAsia="仿宋" w:cs="仿宋"/>
          <w:bCs w:val="0"/>
          <w:color w:val="0D0D0D"/>
          <w:kern w:val="2"/>
          <w:sz w:val="28"/>
          <w:szCs w:val="28"/>
        </w:rPr>
        <w:t>至</w:t>
      </w:r>
      <w:r>
        <w:rPr>
          <w:rFonts w:hint="default" w:ascii="仿宋" w:hAnsi="仿宋" w:eastAsia="仿宋" w:cs="仿宋"/>
          <w:bCs w:val="0"/>
          <w:color w:val="0D0D0D"/>
          <w:kern w:val="2"/>
          <w:sz w:val="28"/>
          <w:szCs w:val="28"/>
          <w:lang w:eastAsia="zh-CN"/>
        </w:rPr>
        <w:t>提交响应文件</w:t>
      </w:r>
      <w:r>
        <w:rPr>
          <w:rFonts w:hint="default" w:ascii="仿宋" w:hAnsi="仿宋" w:eastAsia="仿宋" w:cs="仿宋"/>
          <w:bCs w:val="0"/>
          <w:color w:val="0D0D0D"/>
          <w:kern w:val="2"/>
          <w:sz w:val="28"/>
          <w:szCs w:val="28"/>
        </w:rPr>
        <w:t>截止日的类似业绩</w:t>
      </w:r>
      <w:r>
        <w:rPr>
          <w:rFonts w:hint="default" w:ascii="仿宋" w:hAnsi="仿宋" w:eastAsia="仿宋" w:cs="仿宋"/>
          <w:bCs w:val="0"/>
          <w:color w:val="0D0D0D"/>
          <w:kern w:val="2"/>
          <w:sz w:val="28"/>
          <w:szCs w:val="28"/>
          <w:lang w:eastAsia="zh-CN"/>
        </w:rPr>
        <w:t>（类似业绩是指污水运维服务类）</w:t>
      </w:r>
    </w:p>
    <w:p w14:paraId="3A8B2DEE">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Autospacing="0" w:line="560" w:lineRule="exact"/>
        <w:ind w:firstLine="560" w:firstLineChars="200"/>
        <w:textAlignment w:val="auto"/>
        <w:rPr>
          <w:rFonts w:hint="default" w:ascii="仿宋" w:hAnsi="仿宋" w:eastAsia="仿宋" w:cs="仿宋"/>
          <w:b w:val="0"/>
          <w:bCs w:val="0"/>
          <w:color w:val="auto"/>
          <w:kern w:val="2"/>
          <w:sz w:val="28"/>
          <w:szCs w:val="28"/>
          <w:lang w:val="en-US" w:eastAsia="zh-CN" w:bidi="ar"/>
        </w:rPr>
      </w:pPr>
      <w:r>
        <w:rPr>
          <w:rFonts w:hint="default" w:ascii="仿宋" w:hAnsi="仿宋" w:eastAsia="仿宋" w:cs="仿宋"/>
          <w:b w:val="0"/>
          <w:bCs w:val="0"/>
          <w:color w:val="auto"/>
          <w:kern w:val="2"/>
          <w:sz w:val="28"/>
          <w:szCs w:val="28"/>
          <w:lang w:val="en-US" w:eastAsia="zh-CN"/>
        </w:rPr>
        <w:t>3.</w:t>
      </w:r>
      <w:r>
        <w:rPr>
          <w:rFonts w:hint="default" w:ascii="仿宋" w:hAnsi="仿宋" w:eastAsia="仿宋" w:cs="仿宋"/>
          <w:b w:val="0"/>
          <w:bCs w:val="0"/>
          <w:color w:val="auto"/>
          <w:kern w:val="2"/>
          <w:sz w:val="28"/>
          <w:szCs w:val="28"/>
          <w:lang w:val="en-US" w:eastAsia="zh-CN" w:bidi="ar"/>
        </w:rPr>
        <w:t>安全文明施工方案</w:t>
      </w:r>
    </w:p>
    <w:p w14:paraId="6D1A7D49">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right="0" w:rightChars="0" w:firstLine="560" w:firstLineChars="200"/>
        <w:textAlignment w:val="auto"/>
        <w:rPr>
          <w:rFonts w:hint="eastAsia" w:ascii="仿宋" w:hAnsi="仿宋" w:eastAsia="仿宋" w:cs="仿宋"/>
          <w:color w:val="0D0D0D"/>
          <w:kern w:val="2"/>
          <w:sz w:val="28"/>
          <w:szCs w:val="28"/>
          <w:lang w:val="en-US" w:eastAsia="zh-CN"/>
        </w:rPr>
      </w:pPr>
      <w:r>
        <w:rPr>
          <w:rFonts w:hint="default" w:ascii="仿宋" w:hAnsi="仿宋" w:eastAsia="仿宋" w:cs="仿宋"/>
          <w:color w:val="0D0D0D"/>
          <w:kern w:val="2"/>
          <w:sz w:val="28"/>
          <w:szCs w:val="28"/>
          <w:lang w:val="en-US" w:eastAsia="zh-CN"/>
        </w:rPr>
        <w:t>为确保项目安全、高效、规范地实施，供应商需提供详细的《MBR膜清洗项目实施方案》，方案应至少包含但不限于以下内容：</w:t>
      </w:r>
    </w:p>
    <w:p w14:paraId="3AED0A0D">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Chars="0" w:right="0" w:rightChars="0" w:firstLine="560" w:firstLineChars="20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（1）</w:t>
      </w:r>
      <w:r>
        <w:rPr>
          <w:rFonts w:hint="default" w:ascii="仿宋" w:hAnsi="仿宋" w:eastAsia="仿宋" w:cs="仿宋"/>
          <w:color w:val="0D0D0D"/>
          <w:kern w:val="2"/>
          <w:sz w:val="28"/>
          <w:szCs w:val="28"/>
          <w:lang w:val="en-US" w:eastAsia="zh-CN"/>
        </w:rPr>
        <w:t>有限空间作业专项方案：严格遵循国家及地方有限空间作业安全规范，制定详细的作业审批、通风、气体检测、个人防护、应急救援等具体措施。</w:t>
      </w:r>
    </w:p>
    <w:p w14:paraId="50C0489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Chars="0" w:right="0" w:rightChars="0" w:firstLine="560" w:firstLineChars="20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（2）</w:t>
      </w:r>
      <w:r>
        <w:rPr>
          <w:rFonts w:hint="default" w:ascii="仿宋" w:hAnsi="仿宋" w:eastAsia="仿宋" w:cs="仿宋"/>
          <w:color w:val="0D0D0D"/>
          <w:kern w:val="2"/>
          <w:sz w:val="28"/>
          <w:szCs w:val="28"/>
          <w:lang w:val="en-US" w:eastAsia="zh-CN"/>
        </w:rPr>
        <w:t>现场安全管理</w:t>
      </w:r>
      <w:r>
        <w:rPr>
          <w:rFonts w:hint="eastAsia" w:ascii="仿宋" w:hAnsi="仿宋" w:eastAsia="仿宋" w:cs="仿宋"/>
          <w:color w:val="0D0D0D"/>
          <w:kern w:val="2"/>
          <w:sz w:val="28"/>
          <w:szCs w:val="28"/>
          <w:lang w:val="en-US" w:eastAsia="zh-CN"/>
        </w:rPr>
        <w:t>方案</w:t>
      </w:r>
      <w:r>
        <w:rPr>
          <w:rFonts w:hint="default" w:ascii="仿宋" w:hAnsi="仿宋" w:eastAsia="仿宋" w:cs="仿宋"/>
          <w:color w:val="0D0D0D"/>
          <w:kern w:val="2"/>
          <w:sz w:val="28"/>
          <w:szCs w:val="28"/>
          <w:lang w:val="en-US" w:eastAsia="zh-CN"/>
        </w:rPr>
        <w:t>：包括施工区域的打围、警戒、标识，以及对医院正常运营的影响最小化措施。</w:t>
      </w:r>
    </w:p>
    <w:p w14:paraId="703CA6D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Chars="0" w:right="0" w:rightChars="0" w:firstLine="560" w:firstLineChars="200"/>
        <w:textAlignment w:val="auto"/>
        <w:rPr>
          <w:rFonts w:hint="eastAsia" w:ascii="仿宋" w:hAnsi="仿宋" w:eastAsia="仿宋" w:cs="仿宋"/>
          <w:b/>
          <w:bCs/>
          <w:kern w:val="0"/>
          <w:sz w:val="28"/>
          <w:szCs w:val="28"/>
          <w:lang w:val="en-US" w:eastAsia="zh-CN" w:bidi="ar"/>
        </w:rPr>
      </w:pPr>
      <w:r>
        <w:rPr>
          <w:rFonts w:hint="eastAsia" w:ascii="仿宋" w:hAnsi="仿宋" w:eastAsia="仿宋" w:cs="仿宋"/>
          <w:color w:val="0D0D0D"/>
          <w:kern w:val="2"/>
          <w:sz w:val="28"/>
          <w:szCs w:val="28"/>
          <w:lang w:val="en-US" w:eastAsia="zh-CN"/>
        </w:rPr>
        <w:t>（3）</w:t>
      </w:r>
      <w:r>
        <w:rPr>
          <w:rFonts w:hint="default" w:ascii="仿宋" w:hAnsi="仿宋" w:eastAsia="仿宋" w:cs="仿宋"/>
          <w:color w:val="0D0D0D"/>
          <w:kern w:val="2"/>
          <w:sz w:val="28"/>
          <w:szCs w:val="28"/>
          <w:lang w:val="en-US" w:eastAsia="zh-CN"/>
        </w:rPr>
        <w:t>应急预案：针对可能发生的化学品泄漏、人员中毒、设备故障、火灾等突发情况，制定具体、可操作的应急处置流程和救援措施。</w:t>
      </w:r>
    </w:p>
    <w:p w14:paraId="624D168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Chars="0" w:right="0" w:rightChars="0" w:firstLine="560" w:firstLineChars="200"/>
        <w:textAlignment w:val="auto"/>
        <w:rPr>
          <w:rFonts w:hint="eastAsia" w:ascii="仿宋" w:hAnsi="仿宋" w:eastAsia="仿宋" w:cs="仿宋"/>
          <w:b/>
          <w:bCs/>
          <w:kern w:val="0"/>
          <w:sz w:val="28"/>
          <w:szCs w:val="28"/>
          <w:lang w:val="en-US" w:eastAsia="zh-CN" w:bidi="ar"/>
        </w:rPr>
      </w:pPr>
      <w:r>
        <w:rPr>
          <w:rFonts w:hint="eastAsia" w:ascii="仿宋" w:hAnsi="仿宋" w:eastAsia="仿宋" w:cs="仿宋"/>
          <w:color w:val="0D0D0D"/>
          <w:kern w:val="2"/>
          <w:sz w:val="28"/>
          <w:szCs w:val="28"/>
          <w:lang w:val="en-US" w:eastAsia="zh-CN"/>
        </w:rPr>
        <w:t>（4）</w:t>
      </w:r>
      <w:r>
        <w:rPr>
          <w:rFonts w:hint="default" w:ascii="仿宋" w:hAnsi="仿宋" w:eastAsia="仿宋" w:cs="仿宋"/>
          <w:color w:val="0D0D0D"/>
          <w:kern w:val="2"/>
          <w:sz w:val="28"/>
          <w:szCs w:val="28"/>
          <w:lang w:val="en-US" w:eastAsia="zh-CN"/>
        </w:rPr>
        <w:t>环保措施：明确清洗废液（特别是含次氯酸钠的废液）的中和、还原处理方案，确保达标后排入医院污水站，并提供相应的药剂（如硫代硫酸钠）使用计划。</w:t>
      </w:r>
    </w:p>
    <w:p w14:paraId="1282423D">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Chars="0" w:right="0" w:rightChars="0" w:firstLine="560" w:firstLineChars="200"/>
        <w:textAlignment w:val="auto"/>
        <w:rPr>
          <w:rFonts w:hint="default"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（5）</w:t>
      </w:r>
      <w:r>
        <w:rPr>
          <w:rFonts w:hint="default" w:ascii="仿宋" w:hAnsi="仿宋" w:eastAsia="仿宋" w:cs="仿宋"/>
          <w:color w:val="0D0D0D"/>
          <w:kern w:val="2"/>
          <w:sz w:val="28"/>
          <w:szCs w:val="28"/>
          <w:lang w:val="en-US" w:eastAsia="zh-CN"/>
        </w:rPr>
        <w:t>质量保证措施：阐述为确保清洗效果所采取的技术手段和质量控制方法。承诺清洗后MBR膜的性能指标，如跨膜压差（TMP）的恢复情况、膜通量的恢复率等。</w:t>
      </w:r>
    </w:p>
    <w:p w14:paraId="097156CF">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560" w:firstLineChars="20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4.供应商具备有效期内有限空间作业服务企业资质证书。</w:t>
      </w:r>
    </w:p>
    <w:p w14:paraId="73E159BD">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560" w:firstLineChars="200"/>
        <w:textAlignment w:val="auto"/>
        <w:rPr>
          <w:rFonts w:hint="default" w:ascii="仿宋" w:hAnsi="仿宋" w:eastAsia="仿宋" w:cs="仿宋"/>
          <w:bCs w:val="0"/>
          <w:color w:val="0D0D0D"/>
          <w:kern w:val="2"/>
          <w:sz w:val="28"/>
          <w:szCs w:val="28"/>
          <w:lang w:val="en-US" w:eastAsia="zh-CN"/>
        </w:rPr>
      </w:pPr>
    </w:p>
    <w:p w14:paraId="21A2A4E9">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rightChars="0" w:firstLine="0" w:firstLineChars="0"/>
        <w:textAlignment w:val="auto"/>
        <w:rPr>
          <w:rFonts w:hint="default" w:ascii="仿宋" w:hAnsi="仿宋" w:eastAsia="仿宋" w:cs="仿宋"/>
          <w:color w:val="0D0D0D"/>
          <w:kern w:val="2"/>
          <w:sz w:val="28"/>
          <w:szCs w:val="28"/>
          <w:lang w:val="en-US" w:eastAsia="zh-CN"/>
        </w:rPr>
      </w:pPr>
    </w:p>
    <w:p w14:paraId="774D067B">
      <w:pPr>
        <w:pStyle w:val="17"/>
        <w:numPr>
          <w:ilvl w:val="0"/>
          <w:numId w:val="0"/>
        </w:numPr>
        <w:ind w:leftChars="0"/>
        <w:rPr>
          <w:rFonts w:hint="eastAsia" w:ascii="仿宋" w:hAnsi="仿宋" w:eastAsia="仿宋" w:cs="仿宋"/>
          <w:color w:val="0D0D0D"/>
          <w:kern w:val="2"/>
          <w:sz w:val="24"/>
          <w:szCs w:val="24"/>
          <w:lang w:val="en-US" w:eastAsia="zh-CN" w:bidi="ar"/>
        </w:rPr>
      </w:pPr>
    </w:p>
    <w:p w14:paraId="53169DB3">
      <w:pPr>
        <w:pStyle w:val="17"/>
        <w:ind w:firstLine="0"/>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2"/>
        </w:rPr>
        <w:t>★</w:t>
      </w:r>
      <w:r>
        <w:rPr>
          <w:rFonts w:hint="eastAsia" w:ascii="仿宋" w:hAnsi="仿宋" w:eastAsia="仿宋" w:cs="仿宋"/>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tbl>
      <w:tblPr>
        <w:tblStyle w:val="19"/>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648"/>
        <w:gridCol w:w="932"/>
        <w:gridCol w:w="4104"/>
        <w:gridCol w:w="3314"/>
      </w:tblGrid>
      <w:tr w14:paraId="728B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79" w:type="dxa"/>
            <w:tcBorders>
              <w:top w:val="single" w:color="auto" w:sz="4" w:space="0"/>
              <w:left w:val="single" w:color="auto" w:sz="4" w:space="0"/>
              <w:bottom w:val="single" w:color="auto" w:sz="4" w:space="0"/>
              <w:right w:val="single" w:color="auto" w:sz="4" w:space="0"/>
            </w:tcBorders>
            <w:vAlign w:val="center"/>
          </w:tcPr>
          <w:p w14:paraId="1520C9AC">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序号</w:t>
            </w:r>
          </w:p>
        </w:tc>
        <w:tc>
          <w:tcPr>
            <w:tcW w:w="0" w:type="auto"/>
            <w:tcBorders>
              <w:top w:val="single" w:color="auto" w:sz="4" w:space="0"/>
              <w:left w:val="single" w:color="auto" w:sz="4" w:space="0"/>
              <w:bottom w:val="single" w:color="auto" w:sz="4" w:space="0"/>
              <w:right w:val="single" w:color="auto" w:sz="4" w:space="0"/>
            </w:tcBorders>
            <w:vAlign w:val="center"/>
          </w:tcPr>
          <w:p w14:paraId="25E58807">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评审因素</w:t>
            </w:r>
          </w:p>
        </w:tc>
        <w:tc>
          <w:tcPr>
            <w:tcW w:w="932" w:type="dxa"/>
            <w:tcBorders>
              <w:top w:val="single" w:color="auto" w:sz="4" w:space="0"/>
              <w:left w:val="single" w:color="auto" w:sz="4" w:space="0"/>
              <w:bottom w:val="single" w:color="auto" w:sz="4" w:space="0"/>
              <w:right w:val="single" w:color="auto" w:sz="4" w:space="0"/>
            </w:tcBorders>
            <w:vAlign w:val="center"/>
          </w:tcPr>
          <w:p w14:paraId="71A04563">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分值</w:t>
            </w:r>
          </w:p>
        </w:tc>
        <w:tc>
          <w:tcPr>
            <w:tcW w:w="4104" w:type="dxa"/>
            <w:tcBorders>
              <w:top w:val="single" w:color="auto" w:sz="4" w:space="0"/>
              <w:left w:val="single" w:color="auto" w:sz="4" w:space="0"/>
              <w:bottom w:val="single" w:color="auto" w:sz="4" w:space="0"/>
              <w:right w:val="single" w:color="auto" w:sz="4" w:space="0"/>
            </w:tcBorders>
            <w:vAlign w:val="center"/>
          </w:tcPr>
          <w:p w14:paraId="2C92E6CB">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评分标准</w:t>
            </w:r>
          </w:p>
        </w:tc>
        <w:tc>
          <w:tcPr>
            <w:tcW w:w="3314" w:type="dxa"/>
            <w:tcBorders>
              <w:top w:val="single" w:color="auto" w:sz="4" w:space="0"/>
              <w:left w:val="single" w:color="auto" w:sz="4" w:space="0"/>
              <w:bottom w:val="single" w:color="auto" w:sz="4" w:space="0"/>
              <w:right w:val="single" w:color="auto" w:sz="4" w:space="0"/>
            </w:tcBorders>
            <w:vAlign w:val="center"/>
          </w:tcPr>
          <w:p w14:paraId="1AACCEF1">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说明</w:t>
            </w:r>
          </w:p>
        </w:tc>
      </w:tr>
      <w:tr w14:paraId="0E43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op w:val="single" w:color="auto" w:sz="4" w:space="0"/>
              <w:left w:val="single" w:color="auto" w:sz="4" w:space="0"/>
              <w:bottom w:val="single" w:color="auto" w:sz="4" w:space="0"/>
              <w:right w:val="single" w:color="auto" w:sz="4" w:space="0"/>
            </w:tcBorders>
            <w:vAlign w:val="center"/>
          </w:tcPr>
          <w:p w14:paraId="7598C66C">
            <w:pPr>
              <w:snapToGrid w:val="0"/>
              <w:spacing w:line="24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1</w:t>
            </w:r>
          </w:p>
        </w:tc>
        <w:tc>
          <w:tcPr>
            <w:tcW w:w="0" w:type="auto"/>
            <w:tcBorders>
              <w:top w:val="single" w:color="auto" w:sz="4" w:space="0"/>
              <w:left w:val="single" w:color="auto" w:sz="4" w:space="0"/>
              <w:bottom w:val="single" w:color="auto" w:sz="4" w:space="0"/>
              <w:right w:val="single" w:color="auto" w:sz="4" w:space="0"/>
            </w:tcBorders>
            <w:vAlign w:val="center"/>
          </w:tcPr>
          <w:p w14:paraId="0101210A">
            <w:pPr>
              <w:snapToGrid w:val="0"/>
              <w:spacing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报价部分</w:t>
            </w:r>
          </w:p>
        </w:tc>
        <w:tc>
          <w:tcPr>
            <w:tcW w:w="932" w:type="dxa"/>
            <w:tcBorders>
              <w:top w:val="single" w:color="auto" w:sz="4" w:space="0"/>
              <w:left w:val="single" w:color="auto" w:sz="4" w:space="0"/>
              <w:bottom w:val="single" w:color="auto" w:sz="4" w:space="0"/>
              <w:right w:val="single" w:color="auto" w:sz="4" w:space="0"/>
            </w:tcBorders>
            <w:vAlign w:val="center"/>
          </w:tcPr>
          <w:p w14:paraId="235D1D3B">
            <w:pPr>
              <w:snapToGrid w:val="0"/>
              <w:spacing w:line="24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30分</w:t>
            </w:r>
          </w:p>
        </w:tc>
        <w:tc>
          <w:tcPr>
            <w:tcW w:w="4104" w:type="dxa"/>
            <w:tcBorders>
              <w:top w:val="single" w:color="auto" w:sz="4" w:space="0"/>
              <w:left w:val="single" w:color="auto" w:sz="4" w:space="0"/>
              <w:bottom w:val="single" w:color="auto" w:sz="4" w:space="0"/>
              <w:right w:val="single" w:color="auto" w:sz="4" w:space="0"/>
            </w:tcBorders>
            <w:vAlign w:val="center"/>
          </w:tcPr>
          <w:p w14:paraId="0D576C2A">
            <w:pPr>
              <w:pStyle w:val="8"/>
              <w:keepNext w:val="0"/>
              <w:keepLines w:val="0"/>
              <w:pageBreakBefore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bCs/>
                <w:kern w:val="2"/>
                <w:sz w:val="24"/>
                <w:szCs w:val="24"/>
                <w:highlight w:val="none"/>
              </w:rPr>
            </w:pPr>
            <w:r>
              <w:rPr>
                <w:rFonts w:hint="eastAsia" w:ascii="仿宋" w:hAnsi="仿宋" w:eastAsia="仿宋" w:cs="仿宋"/>
                <w:bCs/>
                <w:kern w:val="2"/>
                <w:sz w:val="24"/>
                <w:szCs w:val="24"/>
                <w:highlight w:val="none"/>
              </w:rPr>
              <w:t>满足谈判文件要求且响应价格最低的响应报价为评审基准价，其价格分为满分，响应报价得分=(评审基准价/响应报价)x</w:t>
            </w:r>
            <w:r>
              <w:rPr>
                <w:rFonts w:hint="eastAsia" w:ascii="仿宋" w:hAnsi="仿宋" w:eastAsia="仿宋" w:cs="仿宋"/>
                <w:bCs/>
                <w:kern w:val="2"/>
                <w:sz w:val="24"/>
                <w:szCs w:val="24"/>
                <w:highlight w:val="none"/>
                <w:lang w:val="en-US" w:eastAsia="zh-CN"/>
              </w:rPr>
              <w:t>30</w:t>
            </w:r>
            <w:r>
              <w:rPr>
                <w:rFonts w:hint="eastAsia" w:ascii="仿宋" w:hAnsi="仿宋" w:eastAsia="仿宋" w:cs="仿宋"/>
                <w:bCs/>
                <w:kern w:val="2"/>
                <w:sz w:val="24"/>
                <w:szCs w:val="24"/>
                <w:highlight w:val="none"/>
              </w:rPr>
              <w:t>。</w:t>
            </w:r>
          </w:p>
          <w:p w14:paraId="3C444078">
            <w:pPr>
              <w:pStyle w:val="8"/>
              <w:snapToGrid w:val="0"/>
              <w:spacing w:after="156" w:afterLines="50"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bCs/>
                <w:kern w:val="2"/>
                <w:sz w:val="24"/>
                <w:szCs w:val="24"/>
                <w:highlight w:val="none"/>
              </w:rPr>
              <w:t>注:得分保留小数点后两位小数，四舍五入。</w:t>
            </w:r>
          </w:p>
        </w:tc>
        <w:tc>
          <w:tcPr>
            <w:tcW w:w="3314" w:type="dxa"/>
            <w:tcBorders>
              <w:top w:val="single" w:color="auto" w:sz="4" w:space="0"/>
              <w:left w:val="single" w:color="auto" w:sz="4" w:space="0"/>
              <w:bottom w:val="single" w:color="auto" w:sz="4" w:space="0"/>
              <w:right w:val="single" w:color="auto" w:sz="4" w:space="0"/>
            </w:tcBorders>
            <w:vAlign w:val="center"/>
          </w:tcPr>
          <w:p w14:paraId="4A17CDEA">
            <w:pPr>
              <w:snapToGrid w:val="0"/>
              <w:spacing w:line="240" w:lineRule="auto"/>
              <w:ind w:left="0" w:leftChars="0" w:right="0" w:rightChars="0" w:firstLine="0" w:firstLineChars="0"/>
              <w:jc w:val="left"/>
              <w:rPr>
                <w:rFonts w:hint="eastAsia" w:ascii="仿宋" w:hAnsi="仿宋" w:eastAsia="仿宋" w:cs="仿宋"/>
                <w:sz w:val="24"/>
                <w:szCs w:val="24"/>
                <w:highlight w:val="none"/>
              </w:rPr>
            </w:pPr>
          </w:p>
        </w:tc>
      </w:tr>
      <w:tr w14:paraId="4A7B0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op w:val="single" w:color="auto" w:sz="4" w:space="0"/>
              <w:left w:val="single" w:color="auto" w:sz="4" w:space="0"/>
              <w:bottom w:val="single" w:color="auto" w:sz="4" w:space="0"/>
              <w:right w:val="single" w:color="auto" w:sz="4" w:space="0"/>
            </w:tcBorders>
            <w:vAlign w:val="center"/>
          </w:tcPr>
          <w:p w14:paraId="3E609DB8">
            <w:pPr>
              <w:snapToGrid w:val="0"/>
              <w:spacing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p>
        </w:tc>
        <w:tc>
          <w:tcPr>
            <w:tcW w:w="0" w:type="auto"/>
            <w:tcBorders>
              <w:top w:val="single" w:color="auto" w:sz="4" w:space="0"/>
              <w:left w:val="single" w:color="auto" w:sz="4" w:space="0"/>
              <w:bottom w:val="single" w:color="auto" w:sz="4" w:space="0"/>
              <w:right w:val="single" w:color="auto" w:sz="4" w:space="0"/>
            </w:tcBorders>
            <w:vAlign w:val="center"/>
          </w:tcPr>
          <w:p w14:paraId="603D228C">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kern w:val="0"/>
                <w:sz w:val="24"/>
                <w:szCs w:val="24"/>
                <w:highlight w:val="none"/>
              </w:rPr>
              <w:t>履约能力</w:t>
            </w:r>
          </w:p>
        </w:tc>
        <w:tc>
          <w:tcPr>
            <w:tcW w:w="932" w:type="dxa"/>
            <w:tcBorders>
              <w:top w:val="single" w:color="auto" w:sz="4" w:space="0"/>
              <w:left w:val="single" w:color="auto" w:sz="4" w:space="0"/>
              <w:bottom w:val="single" w:color="auto" w:sz="4" w:space="0"/>
              <w:right w:val="single" w:color="auto" w:sz="4" w:space="0"/>
            </w:tcBorders>
            <w:vAlign w:val="center"/>
          </w:tcPr>
          <w:p w14:paraId="7A58CE2C">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kern w:val="0"/>
                <w:sz w:val="24"/>
                <w:szCs w:val="24"/>
                <w:highlight w:val="none"/>
                <w:lang w:val="en-US" w:eastAsia="zh-CN"/>
              </w:rPr>
              <w:t>40分</w:t>
            </w:r>
          </w:p>
        </w:tc>
        <w:tc>
          <w:tcPr>
            <w:tcW w:w="4104" w:type="dxa"/>
            <w:tcBorders>
              <w:top w:val="single" w:color="auto" w:sz="4" w:space="0"/>
              <w:left w:val="single" w:color="auto" w:sz="4" w:space="0"/>
              <w:bottom w:val="single" w:color="auto" w:sz="4" w:space="0"/>
              <w:right w:val="single" w:color="auto" w:sz="4" w:space="0"/>
            </w:tcBorders>
            <w:vAlign w:val="center"/>
          </w:tcPr>
          <w:p w14:paraId="33651182">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1.</w:t>
            </w:r>
            <w:r>
              <w:rPr>
                <w:rFonts w:hint="eastAsia" w:ascii="仿宋" w:hAnsi="仿宋" w:eastAsia="仿宋" w:cs="仿宋"/>
                <w:bCs/>
                <w:color w:val="auto"/>
                <w:kern w:val="0"/>
                <w:sz w:val="24"/>
                <w:szCs w:val="24"/>
                <w:highlight w:val="none"/>
              </w:rPr>
              <w:t>根据</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bCs/>
                <w:color w:val="auto"/>
                <w:kern w:val="0"/>
                <w:sz w:val="24"/>
                <w:szCs w:val="24"/>
                <w:highlight w:val="none"/>
              </w:rPr>
              <w:t>提供20</w:t>
            </w:r>
            <w:r>
              <w:rPr>
                <w:rFonts w:hint="eastAsia" w:ascii="仿宋" w:hAnsi="仿宋" w:eastAsia="仿宋" w:cs="仿宋"/>
                <w:bCs/>
                <w:color w:val="auto"/>
                <w:kern w:val="0"/>
                <w:sz w:val="24"/>
                <w:szCs w:val="24"/>
                <w:highlight w:val="none"/>
                <w:lang w:val="en-US" w:eastAsia="zh-CN"/>
              </w:rPr>
              <w:t>23</w:t>
            </w:r>
            <w:r>
              <w:rPr>
                <w:rFonts w:hint="eastAsia" w:ascii="仿宋" w:hAnsi="仿宋" w:eastAsia="仿宋" w:cs="仿宋"/>
                <w:bCs/>
                <w:color w:val="auto"/>
                <w:kern w:val="0"/>
                <w:sz w:val="24"/>
                <w:szCs w:val="24"/>
                <w:highlight w:val="none"/>
              </w:rPr>
              <w:t>年1月1日</w:t>
            </w:r>
            <w:r>
              <w:rPr>
                <w:rFonts w:hint="eastAsia" w:ascii="仿宋" w:hAnsi="仿宋" w:eastAsia="仿宋" w:cs="仿宋"/>
                <w:color w:val="auto"/>
                <w:sz w:val="24"/>
                <w:szCs w:val="24"/>
                <w:highlight w:val="none"/>
                <w:lang w:val="en-US" w:eastAsia="zh-CN"/>
              </w:rPr>
              <w:t>（含1日）</w:t>
            </w:r>
            <w:r>
              <w:rPr>
                <w:rFonts w:hint="eastAsia" w:ascii="仿宋" w:hAnsi="仿宋" w:eastAsia="仿宋" w:cs="仿宋"/>
                <w:bCs/>
                <w:color w:val="auto"/>
                <w:kern w:val="0"/>
                <w:sz w:val="24"/>
                <w:szCs w:val="24"/>
                <w:highlight w:val="none"/>
              </w:rPr>
              <w:t>至</w:t>
            </w:r>
            <w:r>
              <w:rPr>
                <w:rFonts w:hint="eastAsia" w:ascii="仿宋" w:hAnsi="仿宋" w:eastAsia="仿宋" w:cs="仿宋"/>
                <w:bCs/>
                <w:color w:val="auto"/>
                <w:kern w:val="0"/>
                <w:sz w:val="24"/>
                <w:szCs w:val="24"/>
                <w:highlight w:val="none"/>
                <w:lang w:eastAsia="zh-CN"/>
              </w:rPr>
              <w:t>提交响应文件</w:t>
            </w:r>
            <w:r>
              <w:rPr>
                <w:rFonts w:hint="eastAsia" w:ascii="仿宋" w:hAnsi="仿宋" w:eastAsia="仿宋" w:cs="仿宋"/>
                <w:bCs/>
                <w:color w:val="auto"/>
                <w:kern w:val="0"/>
                <w:sz w:val="24"/>
                <w:szCs w:val="24"/>
                <w:highlight w:val="none"/>
              </w:rPr>
              <w:t>截止日的类似业绩</w:t>
            </w:r>
            <w:r>
              <w:rPr>
                <w:rFonts w:hint="eastAsia" w:ascii="仿宋" w:hAnsi="仿宋" w:eastAsia="仿宋" w:cs="仿宋"/>
                <w:bCs/>
                <w:color w:val="auto"/>
                <w:kern w:val="0"/>
                <w:sz w:val="24"/>
                <w:szCs w:val="24"/>
                <w:highlight w:val="none"/>
                <w:lang w:eastAsia="zh-CN"/>
              </w:rPr>
              <w:t>（类似业绩是似业绩是指污水运维服务类）</w:t>
            </w:r>
            <w:r>
              <w:rPr>
                <w:rFonts w:hint="eastAsia" w:ascii="仿宋" w:hAnsi="仿宋" w:eastAsia="仿宋" w:cs="仿宋"/>
                <w:bCs/>
                <w:color w:val="auto"/>
                <w:kern w:val="0"/>
                <w:sz w:val="24"/>
                <w:szCs w:val="24"/>
                <w:highlight w:val="none"/>
              </w:rPr>
              <w:t>进行评定，每提供</w:t>
            </w:r>
            <w:r>
              <w:rPr>
                <w:rFonts w:hint="eastAsia" w:ascii="仿宋" w:hAnsi="仿宋" w:eastAsia="仿宋" w:cs="仿宋"/>
                <w:bCs/>
                <w:color w:val="auto"/>
                <w:kern w:val="0"/>
                <w:sz w:val="24"/>
                <w:szCs w:val="24"/>
                <w:highlight w:val="none"/>
                <w:lang w:val="en-US" w:eastAsia="zh-CN"/>
              </w:rPr>
              <w:t>1</w:t>
            </w:r>
            <w:r>
              <w:rPr>
                <w:rFonts w:hint="eastAsia" w:ascii="仿宋" w:hAnsi="仿宋" w:eastAsia="仿宋" w:cs="仿宋"/>
                <w:bCs/>
                <w:color w:val="auto"/>
                <w:kern w:val="0"/>
                <w:sz w:val="24"/>
                <w:szCs w:val="24"/>
                <w:highlight w:val="none"/>
              </w:rPr>
              <w:t>个业绩得</w:t>
            </w:r>
            <w:r>
              <w:rPr>
                <w:rFonts w:hint="eastAsia" w:ascii="仿宋" w:hAnsi="仿宋" w:eastAsia="仿宋" w:cs="仿宋"/>
                <w:bCs/>
                <w:color w:val="auto"/>
                <w:kern w:val="0"/>
                <w:sz w:val="24"/>
                <w:szCs w:val="24"/>
                <w:highlight w:val="none"/>
                <w:lang w:val="en-US" w:eastAsia="zh-CN"/>
              </w:rPr>
              <w:t>3</w:t>
            </w:r>
            <w:r>
              <w:rPr>
                <w:rFonts w:hint="eastAsia" w:ascii="仿宋" w:hAnsi="仿宋" w:eastAsia="仿宋" w:cs="仿宋"/>
                <w:bCs/>
                <w:color w:val="auto"/>
                <w:kern w:val="0"/>
                <w:sz w:val="24"/>
                <w:szCs w:val="24"/>
                <w:highlight w:val="none"/>
              </w:rPr>
              <w:t>分，最多得</w:t>
            </w:r>
            <w:r>
              <w:rPr>
                <w:rFonts w:hint="eastAsia" w:ascii="仿宋" w:hAnsi="仿宋" w:eastAsia="仿宋" w:cs="仿宋"/>
                <w:bCs/>
                <w:color w:val="auto"/>
                <w:kern w:val="0"/>
                <w:sz w:val="24"/>
                <w:szCs w:val="24"/>
                <w:highlight w:val="none"/>
                <w:lang w:val="en-US" w:eastAsia="zh-CN"/>
              </w:rPr>
              <w:t>30</w:t>
            </w:r>
            <w:r>
              <w:rPr>
                <w:rFonts w:hint="eastAsia" w:ascii="仿宋" w:hAnsi="仿宋" w:eastAsia="仿宋" w:cs="仿宋"/>
                <w:bCs/>
                <w:color w:val="auto"/>
                <w:kern w:val="0"/>
                <w:sz w:val="24"/>
                <w:szCs w:val="24"/>
                <w:highlight w:val="none"/>
              </w:rPr>
              <w:t>分。</w:t>
            </w:r>
          </w:p>
          <w:p w14:paraId="4420849F">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b/>
                <w:bCs w:val="0"/>
                <w:color w:val="auto"/>
                <w:kern w:val="0"/>
                <w:sz w:val="24"/>
                <w:szCs w:val="24"/>
                <w:highlight w:val="none"/>
              </w:rPr>
            </w:pPr>
            <w:r>
              <w:rPr>
                <w:rFonts w:hint="eastAsia" w:ascii="仿宋" w:hAnsi="仿宋" w:eastAsia="仿宋" w:cs="仿宋"/>
                <w:b/>
                <w:bCs w:val="0"/>
                <w:color w:val="auto"/>
                <w:kern w:val="0"/>
                <w:sz w:val="24"/>
                <w:szCs w:val="24"/>
                <w:highlight w:val="none"/>
              </w:rPr>
              <w:t>注：提供合同或中标</w:t>
            </w:r>
            <w:r>
              <w:rPr>
                <w:rFonts w:hint="eastAsia" w:ascii="仿宋" w:hAnsi="仿宋" w:eastAsia="仿宋" w:cs="仿宋"/>
                <w:b/>
                <w:bCs w:val="0"/>
                <w:color w:val="auto"/>
                <w:kern w:val="0"/>
                <w:sz w:val="24"/>
                <w:szCs w:val="24"/>
                <w:highlight w:val="none"/>
                <w:lang w:eastAsia="zh-CN"/>
              </w:rPr>
              <w:t>（</w:t>
            </w:r>
            <w:r>
              <w:rPr>
                <w:rFonts w:hint="eastAsia" w:ascii="仿宋" w:hAnsi="仿宋" w:eastAsia="仿宋" w:cs="仿宋"/>
                <w:b/>
                <w:bCs w:val="0"/>
                <w:color w:val="auto"/>
                <w:kern w:val="0"/>
                <w:sz w:val="24"/>
                <w:szCs w:val="24"/>
                <w:highlight w:val="none"/>
              </w:rPr>
              <w:t>成交</w:t>
            </w:r>
            <w:r>
              <w:rPr>
                <w:rFonts w:hint="eastAsia" w:ascii="仿宋" w:hAnsi="仿宋" w:eastAsia="仿宋" w:cs="仿宋"/>
                <w:b/>
                <w:bCs w:val="0"/>
                <w:color w:val="auto"/>
                <w:kern w:val="0"/>
                <w:sz w:val="24"/>
                <w:szCs w:val="24"/>
                <w:highlight w:val="none"/>
                <w:lang w:val="en-US" w:eastAsia="zh-CN"/>
              </w:rPr>
              <w:t>/</w:t>
            </w:r>
            <w:r>
              <w:rPr>
                <w:rFonts w:hint="eastAsia" w:ascii="仿宋" w:hAnsi="仿宋" w:eastAsia="仿宋" w:cs="仿宋"/>
                <w:b/>
                <w:bCs w:val="0"/>
                <w:color w:val="auto"/>
                <w:kern w:val="0"/>
                <w:sz w:val="24"/>
                <w:szCs w:val="24"/>
                <w:highlight w:val="none"/>
              </w:rPr>
              <w:t>中选）通知书复印件</w:t>
            </w:r>
            <w:r>
              <w:rPr>
                <w:rFonts w:hint="eastAsia" w:ascii="仿宋" w:hAnsi="仿宋" w:eastAsia="仿宋" w:cs="仿宋"/>
                <w:b/>
                <w:bCs w:val="0"/>
                <w:color w:val="auto"/>
                <w:kern w:val="0"/>
                <w:sz w:val="24"/>
                <w:szCs w:val="24"/>
                <w:highlight w:val="none"/>
                <w:lang w:val="en-US" w:eastAsia="zh-CN"/>
              </w:rPr>
              <w:t>加盖供应商公章</w:t>
            </w:r>
            <w:r>
              <w:rPr>
                <w:rFonts w:hint="eastAsia" w:ascii="仿宋" w:hAnsi="仿宋" w:eastAsia="仿宋" w:cs="仿宋"/>
                <w:b/>
                <w:bCs w:val="0"/>
                <w:color w:val="auto"/>
                <w:kern w:val="0"/>
                <w:sz w:val="24"/>
                <w:szCs w:val="24"/>
                <w:highlight w:val="none"/>
              </w:rPr>
              <w:t>。</w:t>
            </w:r>
          </w:p>
          <w:p w14:paraId="27A6762A">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0" w:beforeAutospacing="0" w:after="0" w:afterAutospacing="0" w:line="240" w:lineRule="auto"/>
              <w:ind w:leftChars="0" w:right="0" w:rightChars="0" w:firstLine="0" w:firstLineChars="0"/>
              <w:jc w:val="left"/>
              <w:textAlignment w:val="auto"/>
              <w:rPr>
                <w:rFonts w:hint="eastAsia" w:ascii="仿宋" w:hAnsi="仿宋" w:eastAsia="仿宋" w:cs="仿宋"/>
                <w:b/>
                <w:bCs w:val="0"/>
                <w:color w:val="auto"/>
                <w:kern w:val="0"/>
                <w:sz w:val="24"/>
                <w:szCs w:val="24"/>
                <w:highlight w:val="none"/>
                <w:lang w:val="en-US" w:eastAsia="zh-CN"/>
              </w:rPr>
            </w:pPr>
            <w:r>
              <w:rPr>
                <w:rFonts w:hint="eastAsia" w:ascii="仿宋" w:hAnsi="仿宋" w:eastAsia="仿宋" w:cs="仿宋"/>
                <w:b w:val="0"/>
                <w:bCs/>
                <w:kern w:val="2"/>
                <w:sz w:val="24"/>
                <w:szCs w:val="24"/>
                <w:highlight w:val="none"/>
                <w:lang w:val="en-US" w:eastAsia="zh-CN" w:bidi="ar-SA"/>
              </w:rPr>
              <w:t>2.</w:t>
            </w:r>
            <w:r>
              <w:rPr>
                <w:rFonts w:hint="eastAsia" w:ascii="仿宋" w:hAnsi="仿宋" w:eastAsia="仿宋" w:cs="仿宋"/>
                <w:bCs/>
                <w:kern w:val="2"/>
                <w:sz w:val="24"/>
                <w:szCs w:val="24"/>
                <w:highlight w:val="none"/>
                <w:lang w:bidi="ar-SA"/>
              </w:rPr>
              <w:t xml:space="preserve">供应商具备有效期内有限空间作业服务企业资质证书得 </w:t>
            </w:r>
            <w:r>
              <w:rPr>
                <w:rFonts w:hint="eastAsia" w:ascii="仿宋" w:hAnsi="仿宋" w:eastAsia="仿宋" w:cs="仿宋"/>
                <w:bCs/>
                <w:kern w:val="2"/>
                <w:sz w:val="24"/>
                <w:szCs w:val="24"/>
                <w:highlight w:val="none"/>
                <w:lang w:val="en-US" w:eastAsia="zh-CN" w:bidi="ar-SA"/>
              </w:rPr>
              <w:t>10</w:t>
            </w:r>
            <w:r>
              <w:rPr>
                <w:rFonts w:hint="eastAsia" w:ascii="仿宋" w:hAnsi="仿宋" w:eastAsia="仿宋" w:cs="仿宋"/>
                <w:bCs/>
                <w:kern w:val="2"/>
                <w:sz w:val="24"/>
                <w:szCs w:val="24"/>
                <w:highlight w:val="none"/>
                <w:lang w:bidi="ar-SA"/>
              </w:rPr>
              <w:t>分，未提供不得分</w:t>
            </w:r>
            <w:r>
              <w:rPr>
                <w:rFonts w:hint="eastAsia" w:ascii="仿宋" w:hAnsi="仿宋" w:eastAsia="仿宋" w:cs="仿宋"/>
                <w:bCs/>
                <w:kern w:val="2"/>
                <w:sz w:val="24"/>
                <w:szCs w:val="24"/>
                <w:highlight w:val="none"/>
                <w:lang w:eastAsia="zh-CN" w:bidi="ar-SA"/>
              </w:rPr>
              <w:t>。</w:t>
            </w:r>
            <w:bookmarkStart w:id="104" w:name="_GoBack"/>
            <w:bookmarkEnd w:id="104"/>
          </w:p>
        </w:tc>
        <w:tc>
          <w:tcPr>
            <w:tcW w:w="3314" w:type="dxa"/>
            <w:tcBorders>
              <w:top w:val="single" w:color="auto" w:sz="4" w:space="0"/>
              <w:left w:val="single" w:color="auto" w:sz="4" w:space="0"/>
              <w:bottom w:val="single" w:color="auto" w:sz="4" w:space="0"/>
              <w:right w:val="single" w:color="auto" w:sz="4" w:space="0"/>
            </w:tcBorders>
            <w:vAlign w:val="center"/>
          </w:tcPr>
          <w:p w14:paraId="21A8FAC3">
            <w:pPr>
              <w:snapToGrid w:val="0"/>
              <w:spacing w:line="240" w:lineRule="auto"/>
              <w:ind w:left="0" w:leftChars="0" w:right="0" w:rightChars="0" w:firstLine="0" w:firstLineChars="0"/>
              <w:jc w:val="left"/>
              <w:rPr>
                <w:rFonts w:hint="eastAsia" w:ascii="仿宋" w:hAnsi="仿宋" w:eastAsia="仿宋" w:cs="仿宋"/>
                <w:sz w:val="24"/>
                <w:szCs w:val="24"/>
                <w:highlight w:val="none"/>
              </w:rPr>
            </w:pPr>
          </w:p>
        </w:tc>
      </w:tr>
      <w:tr w14:paraId="5C76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op w:val="single" w:color="auto" w:sz="4" w:space="0"/>
              <w:left w:val="single" w:color="auto" w:sz="4" w:space="0"/>
              <w:right w:val="single" w:color="auto" w:sz="4" w:space="0"/>
            </w:tcBorders>
            <w:vAlign w:val="center"/>
          </w:tcPr>
          <w:p w14:paraId="4829C6B9">
            <w:pPr>
              <w:snapToGrid w:val="0"/>
              <w:spacing w:line="24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3</w:t>
            </w:r>
          </w:p>
        </w:tc>
        <w:tc>
          <w:tcPr>
            <w:tcW w:w="0" w:type="auto"/>
            <w:tcBorders>
              <w:top w:val="single" w:color="auto" w:sz="4" w:space="0"/>
              <w:left w:val="single" w:color="auto" w:sz="4" w:space="0"/>
              <w:right w:val="single" w:color="auto" w:sz="4" w:space="0"/>
            </w:tcBorders>
            <w:vAlign w:val="center"/>
          </w:tcPr>
          <w:p w14:paraId="05B97E94">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bCs/>
                <w:kern w:val="2"/>
                <w:sz w:val="24"/>
                <w:szCs w:val="24"/>
                <w:highlight w:val="none"/>
                <w:lang w:val="en-US" w:eastAsia="zh-CN" w:bidi="ar-SA"/>
              </w:rPr>
              <w:t>项目实施方案</w:t>
            </w:r>
          </w:p>
        </w:tc>
        <w:tc>
          <w:tcPr>
            <w:tcW w:w="932" w:type="dxa"/>
            <w:tcBorders>
              <w:top w:val="single" w:color="auto" w:sz="4" w:space="0"/>
              <w:left w:val="single" w:color="auto" w:sz="4" w:space="0"/>
              <w:bottom w:val="single" w:color="auto" w:sz="4" w:space="0"/>
              <w:right w:val="single" w:color="auto" w:sz="4" w:space="0"/>
            </w:tcBorders>
            <w:vAlign w:val="center"/>
          </w:tcPr>
          <w:p w14:paraId="38399F4D">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bCs/>
                <w:sz w:val="24"/>
                <w:szCs w:val="24"/>
                <w:highlight w:val="none"/>
              </w:rPr>
            </w:pPr>
            <w:r>
              <w:rPr>
                <w:rFonts w:hint="eastAsia" w:ascii="仿宋" w:hAnsi="仿宋" w:eastAsia="仿宋" w:cs="仿宋"/>
                <w:bCs/>
                <w:color w:val="auto"/>
                <w:kern w:val="0"/>
                <w:sz w:val="24"/>
                <w:szCs w:val="24"/>
                <w:highlight w:val="none"/>
                <w:lang w:val="en-US" w:eastAsia="zh-CN"/>
              </w:rPr>
              <w:t>15分</w:t>
            </w:r>
          </w:p>
        </w:tc>
        <w:tc>
          <w:tcPr>
            <w:tcW w:w="4104" w:type="dxa"/>
            <w:tcBorders>
              <w:top w:val="single" w:color="auto" w:sz="4" w:space="0"/>
              <w:left w:val="single" w:color="auto" w:sz="4" w:space="0"/>
              <w:bottom w:val="single" w:color="auto" w:sz="4" w:space="0"/>
              <w:right w:val="single" w:color="auto" w:sz="4" w:space="0"/>
            </w:tcBorders>
            <w:vAlign w:val="center"/>
          </w:tcPr>
          <w:p w14:paraId="1932605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Cs/>
                <w:kern w:val="2"/>
                <w:sz w:val="24"/>
                <w:szCs w:val="24"/>
                <w:highlight w:val="none"/>
                <w:lang w:val="en-US" w:eastAsia="zh-CN" w:bidi="ar-SA"/>
              </w:rPr>
              <w:t>为确保项目安全、高效、规范地实施，供应商需提供详细的《MBR膜清洗项目实施方案》，方案应至少包含但不限于以下内容：</w:t>
            </w:r>
            <w:r>
              <w:rPr>
                <w:rFonts w:hint="eastAsia" w:ascii="仿宋" w:hAnsi="仿宋" w:eastAsia="仿宋" w:cs="仿宋"/>
                <w:b w:val="0"/>
                <w:bCs/>
                <w:sz w:val="24"/>
                <w:szCs w:val="24"/>
                <w:highlight w:val="none"/>
                <w:lang w:val="en-US" w:eastAsia="zh-CN"/>
              </w:rPr>
              <w:t>①</w:t>
            </w:r>
            <w:r>
              <w:rPr>
                <w:rFonts w:hint="eastAsia" w:ascii="仿宋" w:hAnsi="仿宋" w:eastAsia="仿宋" w:cs="仿宋"/>
                <w:bCs/>
                <w:kern w:val="2"/>
                <w:sz w:val="24"/>
                <w:szCs w:val="24"/>
                <w:highlight w:val="none"/>
                <w:lang w:val="en-US" w:eastAsia="zh-CN" w:bidi="ar-SA"/>
              </w:rPr>
              <w:t>有限空间作业专项方案：严格遵循国家及地方有限空间作业安全规范，制定详细的作业审批、通风、气体检测、个人防护、应急救援等具体措施。②现场安全管理方案：包括施工区域的打围、警戒、标识，以及对医院正常运营的影响最小化措施。③应急预案：针对可能发生的化学品泄漏、人员中毒、设备故障、火灾等突发情况，制定具体、可操作的应急处置流程和救援措施。④环保措施：明确清洗废液（特别是含次氯酸钠的废液）的中和、还原处理方案，确保达标后排入医院污水站，并提供相应的药剂（如硫代硫酸钠）使用计划。⑤质量保证措施：阐述为确保清洗效果所采取的技术手段和质量控制方法。承诺清洗后MBR膜的性能指标，如跨膜压差（TMP）的恢复情况、膜通量的恢复率等。</w:t>
            </w:r>
          </w:p>
          <w:p w14:paraId="02E3BA7C">
            <w:pPr>
              <w:pageBreakBefore w:val="0"/>
              <w:widowControl/>
              <w:numPr>
                <w:ilvl w:val="0"/>
                <w:numId w:val="0"/>
              </w:numPr>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b w:val="0"/>
                <w:bCs/>
                <w:sz w:val="24"/>
                <w:szCs w:val="24"/>
                <w:highlight w:val="none"/>
                <w:lang w:val="en-US" w:eastAsia="zh-CN"/>
              </w:rPr>
              <w:t>每缺少一项扣3分；每有一处错误的扣1.5分，以上扣分累计扣完为止。</w:t>
            </w:r>
            <w:r>
              <w:rPr>
                <w:rFonts w:hint="eastAsia" w:ascii="仿宋" w:hAnsi="仿宋" w:eastAsia="仿宋" w:cs="仿宋"/>
                <w:color w:val="auto"/>
                <w:sz w:val="24"/>
                <w:szCs w:val="24"/>
                <w:highlight w:val="none"/>
                <w:lang w:val="en-US" w:eastAsia="zh-CN"/>
              </w:rPr>
              <w:t>单项内容分扣完为止。</w:t>
            </w:r>
          </w:p>
        </w:tc>
        <w:tc>
          <w:tcPr>
            <w:tcW w:w="3314" w:type="dxa"/>
            <w:tcBorders>
              <w:top w:val="single" w:color="auto" w:sz="4" w:space="0"/>
              <w:left w:val="single" w:color="auto" w:sz="4" w:space="0"/>
              <w:bottom w:val="single" w:color="auto" w:sz="4" w:space="0"/>
              <w:right w:val="single" w:color="auto" w:sz="4" w:space="0"/>
            </w:tcBorders>
            <w:vAlign w:val="center"/>
          </w:tcPr>
          <w:p w14:paraId="5FABCA24">
            <w:pPr>
              <w:snapToGrid w:val="0"/>
              <w:spacing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注：</w:t>
            </w:r>
            <w:r>
              <w:rPr>
                <w:rFonts w:hint="eastAsia" w:ascii="仿宋" w:hAnsi="仿宋" w:eastAsia="仿宋" w:cs="仿宋"/>
                <w:sz w:val="24"/>
                <w:szCs w:val="24"/>
                <w:highlight w:val="none"/>
              </w:rPr>
              <w:t>内容错误指：</w:t>
            </w:r>
            <w:r>
              <w:rPr>
                <w:rFonts w:hint="eastAsia" w:ascii="仿宋" w:hAnsi="仿宋" w:eastAsia="仿宋" w:cs="仿宋"/>
                <w:sz w:val="24"/>
                <w:szCs w:val="24"/>
                <w:highlight w:val="none"/>
                <w:lang w:val="en-US" w:eastAsia="zh-CN"/>
              </w:rPr>
              <w:t>①</w:t>
            </w: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val="en-US" w:eastAsia="zh-CN"/>
              </w:rPr>
              <w:t>②</w:t>
            </w:r>
            <w:r>
              <w:rPr>
                <w:rFonts w:hint="eastAsia" w:ascii="仿宋" w:hAnsi="仿宋" w:eastAsia="仿宋" w:cs="仿宋"/>
                <w:sz w:val="24"/>
                <w:szCs w:val="24"/>
                <w:highlight w:val="none"/>
              </w:rPr>
              <w:t>实施地点、</w:t>
            </w:r>
            <w:r>
              <w:rPr>
                <w:rFonts w:hint="eastAsia" w:ascii="仿宋" w:hAnsi="仿宋" w:eastAsia="仿宋" w:cs="仿宋"/>
                <w:sz w:val="24"/>
                <w:szCs w:val="24"/>
                <w:highlight w:val="none"/>
                <w:lang w:val="en-US" w:eastAsia="zh-CN"/>
              </w:rPr>
              <w:t>③</w:t>
            </w:r>
            <w:r>
              <w:rPr>
                <w:rFonts w:hint="eastAsia" w:ascii="仿宋" w:hAnsi="仿宋" w:eastAsia="仿宋" w:cs="仿宋"/>
                <w:sz w:val="24"/>
                <w:szCs w:val="24"/>
                <w:highlight w:val="none"/>
              </w:rPr>
              <w:t>涉及的规范、</w:t>
            </w:r>
            <w:r>
              <w:rPr>
                <w:rFonts w:hint="eastAsia" w:ascii="仿宋" w:hAnsi="仿宋" w:eastAsia="仿宋" w:cs="仿宋"/>
                <w:sz w:val="24"/>
                <w:szCs w:val="24"/>
                <w:highlight w:val="none"/>
                <w:lang w:val="en-US" w:eastAsia="zh-CN"/>
              </w:rPr>
              <w:t>④</w:t>
            </w:r>
            <w:r>
              <w:rPr>
                <w:rFonts w:hint="eastAsia" w:ascii="仿宋" w:hAnsi="仿宋" w:eastAsia="仿宋" w:cs="仿宋"/>
                <w:sz w:val="24"/>
                <w:szCs w:val="24"/>
                <w:highlight w:val="none"/>
              </w:rPr>
              <w:t>标准与本项目要求不一致</w:t>
            </w:r>
            <w:r>
              <w:rPr>
                <w:rFonts w:hint="eastAsia" w:ascii="仿宋" w:hAnsi="仿宋" w:eastAsia="仿宋" w:cs="仿宋"/>
                <w:sz w:val="24"/>
                <w:szCs w:val="24"/>
                <w:highlight w:val="none"/>
                <w:lang w:eastAsia="zh-CN"/>
              </w:rPr>
              <w:t>。</w:t>
            </w:r>
          </w:p>
        </w:tc>
      </w:tr>
      <w:tr w14:paraId="0A5E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op w:val="single" w:color="auto" w:sz="4" w:space="0"/>
              <w:left w:val="single" w:color="auto" w:sz="4" w:space="0"/>
              <w:bottom w:val="single" w:color="auto" w:sz="4" w:space="0"/>
              <w:right w:val="single" w:color="auto" w:sz="4" w:space="0"/>
            </w:tcBorders>
            <w:vAlign w:val="center"/>
          </w:tcPr>
          <w:p w14:paraId="535B12CD">
            <w:pPr>
              <w:snapToGrid w:val="0"/>
              <w:spacing w:line="24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5</w:t>
            </w:r>
          </w:p>
        </w:tc>
        <w:tc>
          <w:tcPr>
            <w:tcW w:w="648" w:type="dxa"/>
            <w:tcBorders>
              <w:top w:val="single" w:color="auto" w:sz="4" w:space="0"/>
              <w:left w:val="single" w:color="auto" w:sz="4" w:space="0"/>
              <w:bottom w:val="single" w:color="auto" w:sz="4" w:space="0"/>
              <w:right w:val="single" w:color="auto" w:sz="4" w:space="0"/>
            </w:tcBorders>
            <w:vAlign w:val="center"/>
          </w:tcPr>
          <w:p w14:paraId="67ED2F0B">
            <w:pPr>
              <w:widowControl/>
              <w:autoSpaceDE/>
              <w:autoSpaceDN/>
              <w:snapToGrid w:val="0"/>
              <w:spacing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人员配置</w:t>
            </w:r>
          </w:p>
        </w:tc>
        <w:tc>
          <w:tcPr>
            <w:tcW w:w="932" w:type="dxa"/>
            <w:tcBorders>
              <w:top w:val="single" w:color="auto" w:sz="4" w:space="0"/>
              <w:left w:val="single" w:color="auto" w:sz="4" w:space="0"/>
              <w:bottom w:val="single" w:color="auto" w:sz="4" w:space="0"/>
              <w:right w:val="single" w:color="auto" w:sz="4" w:space="0"/>
            </w:tcBorders>
            <w:vAlign w:val="center"/>
          </w:tcPr>
          <w:p w14:paraId="11329A68">
            <w:pPr>
              <w:widowControl/>
              <w:overflowPunct/>
              <w:autoSpaceDE/>
              <w:autoSpaceDN/>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15分</w:t>
            </w:r>
          </w:p>
        </w:tc>
        <w:tc>
          <w:tcPr>
            <w:tcW w:w="4104" w:type="dxa"/>
            <w:tcBorders>
              <w:top w:val="single" w:color="auto" w:sz="4" w:space="0"/>
              <w:left w:val="single" w:color="auto" w:sz="4" w:space="0"/>
              <w:bottom w:val="single" w:color="auto" w:sz="4" w:space="0"/>
              <w:right w:val="single" w:color="auto" w:sz="4" w:space="0"/>
            </w:tcBorders>
            <w:vAlign w:val="center"/>
          </w:tcPr>
          <w:p w14:paraId="0517B9F3">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Autospacing="0" w:afterAutospacing="0" w:line="240" w:lineRule="auto"/>
              <w:ind w:left="0" w:leftChars="0" w:right="0" w:rightChars="0" w:firstLine="0" w:firstLineChars="0"/>
              <w:jc w:val="left"/>
              <w:textAlignment w:val="auto"/>
              <w:rPr>
                <w:rFonts w:hint="default" w:ascii="仿宋" w:hAnsi="仿宋" w:eastAsia="仿宋" w:cs="仿宋"/>
                <w:b w:val="0"/>
                <w:bCs/>
                <w:color w:val="auto"/>
                <w:kern w:val="0"/>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1.拟派本项目技术、安全负责人</w:t>
            </w:r>
            <w:r>
              <w:rPr>
                <w:rFonts w:hint="eastAsia" w:ascii="仿宋" w:hAnsi="仿宋" w:eastAsia="仿宋" w:cs="仿宋"/>
                <w:bCs/>
                <w:color w:val="auto"/>
                <w:kern w:val="0"/>
                <w:sz w:val="24"/>
                <w:szCs w:val="24"/>
                <w:highlight w:val="none"/>
                <w:lang w:val="en-US" w:eastAsia="zh-CN" w:bidi="ar-SA"/>
              </w:rPr>
              <w:t>：同时具有二级及以上市政建造师证书及环保高级工程师证书得5分。</w:t>
            </w:r>
          </w:p>
          <w:p w14:paraId="7C0A3E47">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 w:hAnsi="仿宋" w:eastAsia="仿宋" w:cs="仿宋"/>
                <w:bCs/>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lang w:val="en-US" w:eastAsia="zh-CN" w:bidi="ar-SA"/>
              </w:rPr>
              <w:t>2.项目负责人：具备市政公用工程二级建造师得5分。</w:t>
            </w:r>
          </w:p>
          <w:p w14:paraId="2B1D27E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0" w:beforeAutospacing="0" w:after="0" w:afterAutospacing="0" w:line="24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bCs/>
                <w:color w:val="auto"/>
                <w:kern w:val="0"/>
                <w:sz w:val="24"/>
                <w:szCs w:val="24"/>
                <w:highlight w:val="none"/>
                <w:lang w:val="en-US" w:eastAsia="zh-CN" w:bidi="ar-SA"/>
              </w:rPr>
              <w:t>3.</w:t>
            </w:r>
            <w:r>
              <w:rPr>
                <w:rFonts w:hint="eastAsia" w:ascii="仿宋" w:hAnsi="仿宋" w:eastAsia="仿宋" w:cs="仿宋"/>
                <w:bCs/>
                <w:color w:val="auto"/>
                <w:sz w:val="24"/>
                <w:szCs w:val="24"/>
                <w:highlight w:val="none"/>
                <w:lang w:bidi="ar-SA"/>
              </w:rPr>
              <w:t>技术人员</w:t>
            </w:r>
            <w:r>
              <w:rPr>
                <w:rFonts w:hint="eastAsia" w:ascii="仿宋" w:hAnsi="仿宋" w:eastAsia="仿宋" w:cs="仿宋"/>
                <w:bCs/>
                <w:color w:val="auto"/>
                <w:kern w:val="0"/>
                <w:sz w:val="24"/>
                <w:szCs w:val="24"/>
                <w:highlight w:val="none"/>
                <w:lang w:val="en-US" w:eastAsia="zh-CN" w:bidi="ar-SA"/>
              </w:rPr>
              <w:t>：</w:t>
            </w:r>
            <w:r>
              <w:rPr>
                <w:rFonts w:hint="eastAsia" w:ascii="仿宋" w:hAnsi="仿宋" w:eastAsia="仿宋" w:cs="仿宋"/>
                <w:bCs/>
                <w:color w:val="auto"/>
                <w:sz w:val="24"/>
                <w:szCs w:val="24"/>
                <w:highlight w:val="none"/>
                <w:lang w:bidi="ar-SA"/>
              </w:rPr>
              <w:t xml:space="preserve">同时具备污废水处理工职业资格证书、有限空间作业培训合格证的人员得 </w:t>
            </w:r>
            <w:r>
              <w:rPr>
                <w:rFonts w:hint="eastAsia" w:ascii="仿宋" w:hAnsi="仿宋" w:eastAsia="仿宋" w:cs="仿宋"/>
                <w:bCs/>
                <w:color w:val="auto"/>
                <w:sz w:val="24"/>
                <w:szCs w:val="24"/>
                <w:highlight w:val="none"/>
                <w:lang w:val="en-US" w:eastAsia="zh-CN" w:bidi="ar-SA"/>
              </w:rPr>
              <w:t>5</w:t>
            </w:r>
            <w:r>
              <w:rPr>
                <w:rFonts w:hint="eastAsia" w:ascii="仿宋" w:hAnsi="仿宋" w:eastAsia="仿宋" w:cs="仿宋"/>
                <w:bCs/>
                <w:color w:val="auto"/>
                <w:sz w:val="24"/>
                <w:szCs w:val="24"/>
                <w:highlight w:val="none"/>
                <w:lang w:bidi="ar-SA"/>
              </w:rPr>
              <w:t xml:space="preserve">分，本项最高累计 </w:t>
            </w:r>
            <w:r>
              <w:rPr>
                <w:rFonts w:hint="eastAsia" w:ascii="仿宋" w:hAnsi="仿宋" w:eastAsia="仿宋" w:cs="仿宋"/>
                <w:bCs/>
                <w:color w:val="auto"/>
                <w:sz w:val="24"/>
                <w:szCs w:val="24"/>
                <w:highlight w:val="none"/>
                <w:lang w:val="en-US" w:eastAsia="zh-CN" w:bidi="ar-SA"/>
              </w:rPr>
              <w:t>5</w:t>
            </w:r>
            <w:r>
              <w:rPr>
                <w:rFonts w:hint="eastAsia" w:ascii="仿宋" w:hAnsi="仿宋" w:eastAsia="仿宋" w:cs="仿宋"/>
                <w:bCs/>
                <w:color w:val="auto"/>
                <w:sz w:val="24"/>
                <w:szCs w:val="24"/>
                <w:highlight w:val="none"/>
                <w:lang w:bidi="ar-SA"/>
              </w:rPr>
              <w:t xml:space="preserve"> 分；若团队无人员同时持有上述两项证书，本项不得分。</w:t>
            </w:r>
            <w:r>
              <w:rPr>
                <w:rFonts w:hint="eastAsia" w:ascii="仿宋" w:hAnsi="仿宋" w:eastAsia="仿宋" w:cs="仿宋"/>
                <w:bCs/>
                <w:color w:val="auto"/>
                <w:kern w:val="0"/>
                <w:sz w:val="24"/>
                <w:szCs w:val="24"/>
                <w:highlight w:val="none"/>
                <w:lang w:val="en-US" w:eastAsia="zh-CN" w:bidi="ar-SA"/>
              </w:rPr>
              <w:t>。</w:t>
            </w:r>
          </w:p>
        </w:tc>
        <w:tc>
          <w:tcPr>
            <w:tcW w:w="3314" w:type="dxa"/>
            <w:tcBorders>
              <w:top w:val="single" w:color="auto" w:sz="4" w:space="0"/>
              <w:left w:val="single" w:color="auto" w:sz="4" w:space="0"/>
              <w:bottom w:val="single" w:color="auto" w:sz="4" w:space="0"/>
              <w:right w:val="single" w:color="auto" w:sz="4" w:space="0"/>
            </w:tcBorders>
            <w:vAlign w:val="center"/>
          </w:tcPr>
          <w:p w14:paraId="6A639BDA">
            <w:pPr>
              <w:snapToGrid w:val="0"/>
              <w:spacing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以上人员资格提供证书复印件（加盖公章）为准。</w:t>
            </w: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24859"/>
      <w:bookmarkStart w:id="34" w:name="_Toc3274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17905"/>
      <w:bookmarkStart w:id="37" w:name="_Toc6803"/>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27526"/>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19987"/>
      <w:bookmarkStart w:id="45" w:name="_Toc5056"/>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21519"/>
      <w:bookmarkStart w:id="49" w:name="_Toc6482"/>
      <w:bookmarkStart w:id="50" w:name="_Toc16029"/>
      <w:bookmarkStart w:id="51" w:name="_Toc11352"/>
      <w:bookmarkStart w:id="52" w:name="_Toc14829"/>
      <w:bookmarkStart w:id="53" w:name="_Toc3023"/>
    </w:p>
    <w:p w14:paraId="43B80407">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22676"/>
      <w:bookmarkStart w:id="55" w:name="_Toc31838"/>
      <w:bookmarkStart w:id="56" w:name="_Toc17857"/>
      <w:bookmarkStart w:id="57" w:name="_Toc4305"/>
      <w:bookmarkStart w:id="58" w:name="_Toc30971"/>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3"/>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2"/>
        <w:ind w:left="420" w:leftChars="200"/>
        <w:jc w:val="both"/>
        <w:rPr>
          <w:rFonts w:ascii="Times New Roman" w:hAnsi="Times New Roman" w:eastAsia="仿宋" w:cs="Times New Roman"/>
          <w:color w:val="auto"/>
        </w:rPr>
      </w:pPr>
    </w:p>
    <w:p w14:paraId="50A012A9">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5526"/>
      <w:bookmarkStart w:id="68" w:name="_Toc27661"/>
      <w:bookmarkStart w:id="69" w:name="_Toc25638"/>
      <w:bookmarkStart w:id="70" w:name="_Toc20589"/>
      <w:bookmarkStart w:id="71" w:name="_Toc11351"/>
      <w:bookmarkStart w:id="72" w:name="_Toc12015"/>
      <w:r>
        <w:rPr>
          <w:rStyle w:val="41"/>
          <w:b/>
        </w:rPr>
        <w:t>法定代表人身份证明书</w:t>
      </w:r>
      <w:bookmarkEnd w:id="67"/>
      <w:bookmarkEnd w:id="68"/>
      <w:bookmarkEnd w:id="69"/>
      <w:bookmarkEnd w:id="70"/>
      <w:bookmarkEnd w:id="71"/>
      <w:bookmarkEnd w:id="72"/>
    </w:p>
    <w:p w14:paraId="0AB454D2">
      <w:pPr>
        <w:pStyle w:val="32"/>
        <w:jc w:val="center"/>
        <w:rPr>
          <w:rFonts w:ascii="Times New Roman" w:hAnsi="Times New Roman" w:eastAsia="仿宋" w:cs="Times New Roman"/>
          <w:color w:val="auto"/>
        </w:rPr>
      </w:pPr>
    </w:p>
    <w:p w14:paraId="43269FBB">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2"/>
        <w:jc w:val="center"/>
        <w:rPr>
          <w:rFonts w:ascii="Times New Roman" w:hAnsi="Times New Roman" w:eastAsia="仿宋" w:cs="Times New Roman"/>
          <w:color w:val="auto"/>
        </w:rPr>
      </w:pPr>
    </w:p>
    <w:p w14:paraId="6757BD29">
      <w:pPr>
        <w:pStyle w:val="32"/>
        <w:jc w:val="center"/>
        <w:rPr>
          <w:rFonts w:ascii="Times New Roman" w:hAnsi="Times New Roman" w:eastAsia="仿宋" w:cs="Times New Roman"/>
          <w:color w:val="auto"/>
        </w:rPr>
      </w:pPr>
    </w:p>
    <w:p w14:paraId="2C00BF0A">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2"/>
        <w:jc w:val="both"/>
        <w:rPr>
          <w:rFonts w:ascii="Times New Roman" w:hAnsi="Times New Roman" w:eastAsia="仿宋" w:cs="Times New Roman"/>
          <w:color w:val="auto"/>
        </w:rPr>
      </w:pPr>
    </w:p>
    <w:p w14:paraId="46E4D155">
      <w:pPr>
        <w:pStyle w:val="32"/>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2"/>
        <w:jc w:val="center"/>
        <w:rPr>
          <w:rFonts w:ascii="Times New Roman" w:hAnsi="Times New Roman" w:eastAsia="仿宋" w:cs="Times New Roman"/>
          <w:color w:val="auto"/>
        </w:rPr>
      </w:pPr>
    </w:p>
    <w:p w14:paraId="53CC06E9">
      <w:pPr>
        <w:pStyle w:val="32"/>
        <w:jc w:val="center"/>
        <w:rPr>
          <w:rFonts w:ascii="Times New Roman" w:hAnsi="Times New Roman" w:eastAsia="仿宋" w:cs="Times New Roman"/>
          <w:color w:val="auto"/>
        </w:rPr>
      </w:pPr>
    </w:p>
    <w:p w14:paraId="55320CDB">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2"/>
        <w:jc w:val="both"/>
        <w:rPr>
          <w:rFonts w:ascii="Times New Roman" w:hAnsi="Times New Roman" w:eastAsia="仿宋" w:cs="Times New Roman"/>
          <w:color w:val="auto"/>
          <w:sz w:val="32"/>
          <w:szCs w:val="32"/>
        </w:rPr>
      </w:pPr>
    </w:p>
    <w:p w14:paraId="31D6EAC3">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1CF8FCEE">
      <w:pPr>
        <w:pStyle w:val="32"/>
        <w:jc w:val="center"/>
        <w:rPr>
          <w:rFonts w:ascii="Times New Roman" w:hAnsi="Times New Roman" w:eastAsia="仿宋" w:cs="Times New Roman"/>
          <w:b/>
          <w:bCs/>
          <w:color w:val="auto"/>
        </w:rPr>
      </w:pPr>
    </w:p>
    <w:p w14:paraId="170BF1E2">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2"/>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2967"/>
      <w:bookmarkStart w:id="74" w:name="_Toc16435"/>
      <w:bookmarkStart w:id="75" w:name="_Toc26969"/>
      <w:bookmarkStart w:id="76" w:name="_Toc1074"/>
      <w:bookmarkStart w:id="77" w:name="_Toc23967"/>
      <w:bookmarkStart w:id="78" w:name="_Toc2041"/>
      <w:r>
        <w:rPr>
          <w:rStyle w:val="41"/>
          <w:b/>
        </w:rPr>
        <w:t>采购需求偏离表</w:t>
      </w:r>
      <w:bookmarkEnd w:id="73"/>
      <w:bookmarkEnd w:id="74"/>
      <w:bookmarkEnd w:id="75"/>
      <w:bookmarkEnd w:id="76"/>
      <w:bookmarkEnd w:id="77"/>
      <w:bookmarkEnd w:id="78"/>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2"/>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31686"/>
      <w:bookmarkStart w:id="80" w:name="_Toc26839"/>
      <w:bookmarkStart w:id="81" w:name="_Toc21082"/>
      <w:bookmarkStart w:id="82" w:name="_Toc28634"/>
      <w:bookmarkStart w:id="83" w:name="_Toc24806"/>
      <w:bookmarkStart w:id="84" w:name="_Toc1369"/>
      <w:r>
        <w:rPr>
          <w:rStyle w:val="41"/>
          <w:b/>
        </w:rPr>
        <w:t>评分需要提供的证明材料</w:t>
      </w:r>
      <w:bookmarkEnd w:id="79"/>
      <w:bookmarkEnd w:id="80"/>
      <w:bookmarkEnd w:id="81"/>
      <w:bookmarkEnd w:id="82"/>
      <w:bookmarkEnd w:id="83"/>
      <w:bookmarkEnd w:id="84"/>
    </w:p>
    <w:p w14:paraId="71151EFE">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2"/>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ACB509D">
      <w:pPr>
        <w:rPr>
          <w:rFonts w:hint="eastAsia" w:ascii="仿宋" w:hAnsi="仿宋" w:eastAsia="仿宋" w:cs="仿宋"/>
          <w:b/>
          <w:bCs/>
          <w:color w:val="auto"/>
          <w:lang w:val="en-US" w:eastAsia="zh-CN"/>
        </w:rPr>
      </w:pPr>
      <w:r>
        <w:rPr>
          <w:rFonts w:hint="eastAsia" w:ascii="仿宋" w:hAnsi="仿宋" w:eastAsia="仿宋" w:cs="仿宋"/>
          <w:b/>
          <w:bCs/>
          <w:color w:val="auto"/>
          <w:lang w:val="zh-TW"/>
        </w:rPr>
        <w:t>包装、运输、安装、调试、检测、差旅费用、工时费用及技术服务费、税费以及更换零配件所需的全部含税费用</w:t>
      </w:r>
      <w:r>
        <w:rPr>
          <w:rFonts w:hint="eastAsia" w:ascii="仿宋" w:hAnsi="仿宋" w:eastAsia="仿宋" w:cs="仿宋"/>
          <w:b/>
          <w:bCs/>
          <w:color w:val="auto"/>
          <w:lang w:val="zh-TW" w:eastAsia="zh-TW"/>
        </w:rPr>
        <w:t>以及采购文件规定的其他费用均应包含在报价中</w:t>
      </w:r>
      <w:r>
        <w:rPr>
          <w:rFonts w:hint="eastAsia" w:ascii="仿宋" w:hAnsi="仿宋" w:eastAsia="仿宋" w:cs="仿宋"/>
          <w:b/>
          <w:bCs/>
          <w:color w:val="FF0000"/>
          <w:lang w:val="zh-TW" w:eastAsia="zh-CN"/>
        </w:rPr>
        <w:t>（采购人无须另向</w:t>
      </w:r>
      <w:r>
        <w:rPr>
          <w:rFonts w:hint="eastAsia" w:ascii="仿宋" w:hAnsi="仿宋" w:eastAsia="仿宋" w:cs="仿宋"/>
          <w:b/>
          <w:bCs/>
          <w:color w:val="FF0000"/>
          <w:lang w:val="en-US" w:eastAsia="zh-CN"/>
        </w:rPr>
        <w:t>供应商</w:t>
      </w:r>
      <w:r>
        <w:rPr>
          <w:rFonts w:hint="eastAsia" w:ascii="仿宋" w:hAnsi="仿宋" w:eastAsia="仿宋" w:cs="仿宋"/>
          <w:b/>
          <w:bCs/>
          <w:color w:val="FF0000"/>
          <w:lang w:val="zh-TW" w:eastAsia="zh-CN"/>
        </w:rPr>
        <w:t>支付本</w:t>
      </w:r>
      <w:r>
        <w:rPr>
          <w:rFonts w:hint="eastAsia" w:ascii="仿宋" w:hAnsi="仿宋" w:eastAsia="仿宋" w:cs="仿宋"/>
          <w:b/>
          <w:bCs/>
          <w:color w:val="FF0000"/>
          <w:lang w:val="en-US" w:eastAsia="zh-CN"/>
        </w:rPr>
        <w:t>项目</w:t>
      </w:r>
      <w:r>
        <w:rPr>
          <w:rFonts w:hint="eastAsia" w:ascii="仿宋" w:hAnsi="仿宋" w:eastAsia="仿宋" w:cs="仿宋"/>
          <w:b/>
          <w:bCs/>
          <w:color w:val="FF0000"/>
          <w:lang w:val="zh-TW" w:eastAsia="zh-CN"/>
        </w:rPr>
        <w:t>规定之外的其他任何费用）</w:t>
      </w:r>
      <w:r>
        <w:rPr>
          <w:rFonts w:hint="eastAsia" w:ascii="仿宋" w:hAnsi="仿宋" w:eastAsia="仿宋" w:cs="仿宋"/>
          <w:b/>
          <w:bCs/>
          <w:color w:val="auto"/>
          <w:lang w:val="en-US" w:eastAsia="zh-CN"/>
        </w:rPr>
        <w:t>应完整填写产品的品牌和型号或项目内容。</w:t>
      </w:r>
    </w:p>
    <w:p w14:paraId="233BB2FE">
      <w:r>
        <w:rPr>
          <w:rFonts w:hint="eastAsia" w:ascii="仿宋" w:hAnsi="仿宋" w:eastAsia="仿宋" w:cs="仿宋"/>
          <w:b/>
          <w:bCs/>
          <w:color w:val="auto"/>
          <w:lang w:val="en-US" w:eastAsia="zh-CN"/>
        </w:rPr>
        <w:t>1.报价一览表</w:t>
      </w:r>
    </w:p>
    <w:tbl>
      <w:tblPr>
        <w:tblStyle w:val="1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4"/>
        <w:gridCol w:w="2744"/>
        <w:gridCol w:w="2243"/>
        <w:gridCol w:w="1720"/>
        <w:gridCol w:w="1821"/>
      </w:tblGrid>
      <w:tr w14:paraId="0D73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7" w:type="pct"/>
            <w:noWrap w:val="0"/>
            <w:vAlign w:val="center"/>
          </w:tcPr>
          <w:p w14:paraId="2FC1546F">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391" w:type="pct"/>
            <w:noWrap w:val="0"/>
            <w:vAlign w:val="center"/>
          </w:tcPr>
          <w:p w14:paraId="63EE3F4D">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采购项目名称</w:t>
            </w:r>
          </w:p>
        </w:tc>
        <w:tc>
          <w:tcPr>
            <w:tcW w:w="1137" w:type="pct"/>
            <w:noWrap w:val="0"/>
            <w:vAlign w:val="center"/>
          </w:tcPr>
          <w:p w14:paraId="1144F70D">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宋体" w:hAnsi="宋体"/>
                <w:kern w:val="0"/>
                <w:lang w:val="en-US" w:eastAsia="zh-CN"/>
              </w:rPr>
            </w:pPr>
            <w:r>
              <w:rPr>
                <w:rFonts w:hint="eastAsia" w:ascii="宋体" w:hAnsi="宋体" w:eastAsia="仿宋"/>
                <w:kern w:val="0"/>
                <w:lang w:val="en-US" w:eastAsia="zh-CN"/>
              </w:rPr>
              <w:t>标的名称</w:t>
            </w:r>
          </w:p>
        </w:tc>
        <w:tc>
          <w:tcPr>
            <w:tcW w:w="872" w:type="pct"/>
            <w:noWrap w:val="0"/>
            <w:vAlign w:val="center"/>
          </w:tcPr>
          <w:p w14:paraId="4B204A10">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宋体" w:hAnsi="宋体" w:eastAsia="仿宋"/>
                <w:kern w:val="0"/>
                <w:lang w:val="en-US" w:eastAsia="zh-CN"/>
              </w:rPr>
            </w:pPr>
            <w:r>
              <w:rPr>
                <w:rFonts w:hint="eastAsia" w:ascii="宋体" w:hAnsi="宋体" w:eastAsia="仿宋"/>
                <w:kern w:val="0"/>
                <w:lang w:val="en-US" w:eastAsia="zh-CN"/>
              </w:rPr>
              <w:t>报价（元）</w:t>
            </w:r>
          </w:p>
        </w:tc>
        <w:tc>
          <w:tcPr>
            <w:tcW w:w="921" w:type="pct"/>
            <w:noWrap w:val="0"/>
            <w:vAlign w:val="center"/>
          </w:tcPr>
          <w:p w14:paraId="4499B1E4">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宋体" w:hAnsi="宋体" w:eastAsia="仿宋"/>
                <w:kern w:val="0"/>
                <w:lang w:val="en-US" w:eastAsia="zh-CN"/>
              </w:rPr>
            </w:pPr>
            <w:r>
              <w:rPr>
                <w:rFonts w:hint="eastAsia" w:ascii="宋体" w:hAnsi="宋体" w:eastAsia="仿宋"/>
                <w:kern w:val="0"/>
                <w:lang w:val="en-US" w:eastAsia="zh-CN"/>
              </w:rPr>
              <w:t>备注</w:t>
            </w:r>
          </w:p>
        </w:tc>
      </w:tr>
      <w:tr w14:paraId="020ED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7" w:type="pct"/>
            <w:vMerge w:val="restart"/>
            <w:noWrap w:val="0"/>
            <w:vAlign w:val="center"/>
          </w:tcPr>
          <w:p w14:paraId="4B97C262">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391" w:type="pct"/>
            <w:vMerge w:val="restart"/>
            <w:noWrap w:val="0"/>
            <w:vAlign w:val="center"/>
          </w:tcPr>
          <w:p w14:paraId="1AAC6985">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四川省人民医院老年医学中心污水站MBR膜清洗采购项目</w:t>
            </w:r>
          </w:p>
        </w:tc>
        <w:tc>
          <w:tcPr>
            <w:tcW w:w="1137" w:type="pct"/>
            <w:noWrap w:val="0"/>
            <w:vAlign w:val="center"/>
          </w:tcPr>
          <w:p w14:paraId="6DC8DC09">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整装清洗</w:t>
            </w:r>
          </w:p>
          <w:p w14:paraId="23DAA007">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872" w:type="pct"/>
            <w:noWrap w:val="0"/>
            <w:vAlign w:val="center"/>
          </w:tcPr>
          <w:p w14:paraId="3A184DC8">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921" w:type="pct"/>
            <w:noWrap w:val="0"/>
            <w:vAlign w:val="center"/>
          </w:tcPr>
          <w:p w14:paraId="5975F3FC">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r>
      <w:tr w14:paraId="3E7EA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7" w:type="pct"/>
            <w:vMerge w:val="continue"/>
            <w:noWrap w:val="0"/>
            <w:vAlign w:val="center"/>
          </w:tcPr>
          <w:p w14:paraId="068508ED">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391" w:type="pct"/>
            <w:vMerge w:val="continue"/>
            <w:noWrap w:val="0"/>
            <w:vAlign w:val="center"/>
          </w:tcPr>
          <w:p w14:paraId="3E2A7874">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137" w:type="pct"/>
            <w:noWrap w:val="0"/>
            <w:vAlign w:val="center"/>
          </w:tcPr>
          <w:p w14:paraId="02A28B5F">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深度拆卸清洗</w:t>
            </w:r>
          </w:p>
        </w:tc>
        <w:tc>
          <w:tcPr>
            <w:tcW w:w="872" w:type="pct"/>
            <w:noWrap w:val="0"/>
            <w:vAlign w:val="center"/>
          </w:tcPr>
          <w:p w14:paraId="4B4692FF">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921" w:type="pct"/>
            <w:noWrap w:val="0"/>
            <w:vAlign w:val="center"/>
          </w:tcPr>
          <w:p w14:paraId="43828A3F">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r>
      <w:tr w14:paraId="2778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noWrap w:val="0"/>
            <w:vAlign w:val="center"/>
          </w:tcPr>
          <w:p w14:paraId="642D9FEB">
            <w:pPr>
              <w:pStyle w:val="8"/>
              <w:keepNext w:val="0"/>
              <w:keepLines w:val="0"/>
              <w:pageBreakBefore w:val="0"/>
              <w:widowControl w:val="0"/>
              <w:kinsoku/>
              <w:wordWrap/>
              <w:overflowPunct/>
              <w:topLinePunct w:val="0"/>
              <w:autoSpaceDE/>
              <w:autoSpaceDN/>
              <w:bidi w:val="0"/>
              <w:adjustRightInd/>
              <w:snapToGrid/>
              <w:spacing w:after="0"/>
              <w:jc w:val="left"/>
              <w:textAlignment w:val="auto"/>
              <w:rPr>
                <w:rFonts w:hint="default" w:ascii="仿宋" w:hAnsi="仿宋" w:eastAsia="仿宋" w:cs="仿宋"/>
                <w:sz w:val="24"/>
                <w:szCs w:val="24"/>
                <w:lang w:val="en-US"/>
              </w:rPr>
            </w:pPr>
            <w:r>
              <w:rPr>
                <w:rFonts w:hint="eastAsia" w:ascii="仿宋" w:hAnsi="仿宋" w:eastAsia="仿宋" w:cs="仿宋"/>
                <w:sz w:val="24"/>
                <w:szCs w:val="24"/>
                <w:lang w:val="en-US" w:eastAsia="zh-CN"/>
              </w:rPr>
              <w:t>合计金额：小写</w:t>
            </w:r>
            <w:r>
              <w:rPr>
                <w:rFonts w:hint="eastAsia" w:ascii="仿宋" w:hAnsi="仿宋" w:eastAsia="仿宋" w:cs="仿宋"/>
                <w:sz w:val="24"/>
                <w:szCs w:val="24"/>
                <w:u w:val="single"/>
                <w:lang w:val="en-US" w:eastAsia="zh-CN"/>
              </w:rPr>
              <w:t xml:space="preserve">               元，</w:t>
            </w:r>
            <w:r>
              <w:rPr>
                <w:rFonts w:hint="eastAsia" w:ascii="仿宋" w:hAnsi="仿宋" w:eastAsia="仿宋" w:cs="仿宋"/>
                <w:sz w:val="24"/>
                <w:szCs w:val="24"/>
                <w:u w:val="none"/>
                <w:lang w:val="en-US" w:eastAsia="zh-CN"/>
              </w:rPr>
              <w:t>大写</w:t>
            </w:r>
            <w:r>
              <w:rPr>
                <w:rFonts w:hint="eastAsia" w:ascii="仿宋" w:hAnsi="仿宋" w:eastAsia="仿宋" w:cs="仿宋"/>
                <w:sz w:val="24"/>
                <w:szCs w:val="24"/>
                <w:u w:val="single"/>
                <w:lang w:val="en-US" w:eastAsia="zh-CN"/>
              </w:rPr>
              <w:t xml:space="preserve">：                                        </w:t>
            </w:r>
          </w:p>
        </w:tc>
      </w:tr>
    </w:tbl>
    <w:p w14:paraId="03329087">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8"/>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2"/>
        <w:rPr>
          <w:sz w:val="48"/>
          <w:szCs w:val="48"/>
          <w:highlight w:val="none"/>
        </w:rPr>
      </w:pPr>
      <w:r>
        <w:rPr>
          <w:rFonts w:hint="eastAsia"/>
          <w:sz w:val="48"/>
          <w:szCs w:val="48"/>
          <w:highlight w:val="none"/>
        </w:rPr>
        <w:t>*</w:t>
      </w:r>
      <w:r>
        <w:rPr>
          <w:sz w:val="48"/>
          <w:szCs w:val="48"/>
          <w:highlight w:val="none"/>
        </w:rPr>
        <w:t>**</w:t>
      </w:r>
      <w:r>
        <w:rPr>
          <w:rFonts w:hint="eastAsia"/>
          <w:sz w:val="48"/>
          <w:szCs w:val="48"/>
          <w:highlight w:val="none"/>
        </w:rPr>
        <w:t>服务项目</w:t>
      </w:r>
    </w:p>
    <w:p w14:paraId="622B975B">
      <w:pPr>
        <w:pStyle w:val="42"/>
        <w:rPr>
          <w:sz w:val="48"/>
          <w:szCs w:val="48"/>
          <w:highlight w:val="none"/>
        </w:rPr>
      </w:pPr>
      <w:r>
        <w:rPr>
          <w:rFonts w:hint="eastAsia"/>
          <w:sz w:val="48"/>
          <w:szCs w:val="48"/>
          <w:highlight w:val="none"/>
        </w:rPr>
        <w:t>采购</w:t>
      </w:r>
      <w:r>
        <w:rPr>
          <w:sz w:val="48"/>
          <w:szCs w:val="48"/>
          <w:highlight w:val="none"/>
        </w:rPr>
        <w:t>合同</w:t>
      </w:r>
    </w:p>
    <w:p w14:paraId="3987C57D">
      <w:pPr>
        <w:rPr>
          <w:sz w:val="24"/>
          <w:highlight w:val="none"/>
        </w:rPr>
        <w:sectPr>
          <w:headerReference r:id="rId6" w:type="default"/>
          <w:footerReference r:id="rId7" w:type="default"/>
          <w:footerReference r:id="rId8" w:type="even"/>
          <w:pgSz w:w="11906" w:h="16838"/>
          <w:pgMar w:top="1440" w:right="1123" w:bottom="1440" w:left="1123" w:header="850" w:footer="567" w:gutter="0"/>
          <w:pgNumType w:fmt="decimal"/>
          <w:cols w:space="425" w:num="1"/>
          <w:docGrid w:linePitch="312" w:charSpace="0"/>
        </w:sectPr>
      </w:pPr>
    </w:p>
    <w:p w14:paraId="51A81929">
      <w:pPr>
        <w:adjustRightInd w:val="0"/>
        <w:ind w:firstLine="420" w:firstLineChars="200"/>
        <w:contextualSpacing/>
        <w:jc w:val="left"/>
        <w:rPr>
          <w:color w:val="000000"/>
          <w:szCs w:val="21"/>
          <w:highlight w:val="none"/>
        </w:rPr>
      </w:pPr>
    </w:p>
    <w:p w14:paraId="38DA1C0D">
      <w:pPr>
        <w:adjustRightInd w:val="0"/>
        <w:ind w:firstLine="420" w:firstLineChars="200"/>
        <w:contextualSpacing/>
        <w:jc w:val="left"/>
        <w:rPr>
          <w:color w:val="000000"/>
          <w:szCs w:val="21"/>
          <w:highlight w:val="none"/>
        </w:rPr>
      </w:pPr>
    </w:p>
    <w:tbl>
      <w:tblPr>
        <w:tblStyle w:val="19"/>
        <w:tblW w:w="5000" w:type="pct"/>
        <w:jc w:val="center"/>
        <w:tblLayout w:type="autofit"/>
        <w:tblCellMar>
          <w:top w:w="0" w:type="dxa"/>
          <w:left w:w="0" w:type="dxa"/>
          <w:bottom w:w="0" w:type="dxa"/>
          <w:right w:w="0" w:type="dxa"/>
        </w:tblCellMar>
      </w:tblPr>
      <w:tblGrid>
        <w:gridCol w:w="4709"/>
        <w:gridCol w:w="4929"/>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highlight w:val="none"/>
              </w:rPr>
            </w:pPr>
            <w:r>
              <w:rPr>
                <w:b/>
                <w:bCs/>
                <w:color w:val="000000"/>
                <w:szCs w:val="21"/>
                <w:highlight w:val="none"/>
              </w:rPr>
              <w:t>合同编号</w:t>
            </w:r>
            <w:r>
              <w:rPr>
                <w:color w:val="000000"/>
                <w:szCs w:val="21"/>
                <w:highlight w:val="none"/>
              </w:rPr>
              <w:t>：CGZX-***</w:t>
            </w:r>
          </w:p>
          <w:p w14:paraId="2F6BC159">
            <w:pP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highlight w:val="none"/>
              </w:rPr>
            </w:pPr>
            <w:r>
              <w:rPr>
                <w:b/>
                <w:bCs/>
                <w:szCs w:val="21"/>
                <w:highlight w:val="none"/>
              </w:rPr>
              <w:t>采购人（以下简称甲方）</w:t>
            </w:r>
            <w:r>
              <w:rPr>
                <w:szCs w:val="21"/>
                <w:highlight w:val="none"/>
              </w:rPr>
              <w:t>：四川省人民医院</w:t>
            </w:r>
          </w:p>
          <w:p w14:paraId="2FDD4CAB">
            <w:pPr>
              <w:rPr>
                <w:szCs w:val="21"/>
                <w:highlight w:val="none"/>
              </w:rPr>
            </w:pPr>
            <w:r>
              <w:rPr>
                <w:b/>
                <w:bCs/>
                <w:szCs w:val="21"/>
                <w:highlight w:val="none"/>
              </w:rPr>
              <w:t>地址</w:t>
            </w:r>
            <w:r>
              <w:rPr>
                <w:szCs w:val="21"/>
                <w:highlight w:val="none"/>
              </w:rPr>
              <w:t>：四川省成都市一环路西二段32号</w:t>
            </w:r>
          </w:p>
          <w:p w14:paraId="0C626314">
            <w:pPr>
              <w:rPr>
                <w:szCs w:val="21"/>
                <w:highlight w:val="none"/>
              </w:rPr>
            </w:pPr>
            <w:r>
              <w:rPr>
                <w:b/>
                <w:bCs/>
                <w:szCs w:val="21"/>
                <w:highlight w:val="none"/>
              </w:rPr>
              <w:t>项目联系人：</w:t>
            </w:r>
            <w:r>
              <w:rPr>
                <w:rFonts w:hint="eastAsia"/>
                <w:szCs w:val="21"/>
                <w:highlight w:val="none"/>
                <w:lang w:val="en-US" w:eastAsia="zh-CN"/>
              </w:rPr>
              <w:t>费老师</w:t>
            </w:r>
            <w:r>
              <w:rPr>
                <w:szCs w:val="21"/>
                <w:highlight w:val="none"/>
              </w:rPr>
              <w:t xml:space="preserve"> </w:t>
            </w:r>
          </w:p>
          <w:p w14:paraId="55B6CA4B">
            <w:pPr>
              <w:rPr>
                <w:highlight w:val="none"/>
              </w:rPr>
            </w:pPr>
            <w:r>
              <w:rPr>
                <w:b/>
                <w:bCs/>
                <w:szCs w:val="21"/>
                <w:highlight w:val="none"/>
              </w:rPr>
              <w:t>电话：</w:t>
            </w:r>
            <w:r>
              <w:rPr>
                <w:szCs w:val="21"/>
                <w:highlight w:val="none"/>
              </w:rPr>
              <w:t>028-</w:t>
            </w:r>
            <w:r>
              <w:rPr>
                <w:rFonts w:hint="eastAsia"/>
                <w:szCs w:val="21"/>
                <w:highlight w:val="none"/>
                <w:lang w:val="en-US" w:eastAsia="zh-CN"/>
              </w:rPr>
              <w:t>87394783</w:t>
            </w:r>
          </w:p>
        </w:tc>
        <w:tc>
          <w:tcPr>
            <w:tcW w:w="5242" w:type="dxa"/>
          </w:tcPr>
          <w:p w14:paraId="607B7137">
            <w:pPr>
              <w:rPr>
                <w:b/>
                <w:bCs/>
                <w:szCs w:val="21"/>
                <w:highlight w:val="none"/>
              </w:rPr>
            </w:pPr>
            <w:r>
              <w:rPr>
                <w:b/>
                <w:bCs/>
                <w:szCs w:val="21"/>
                <w:highlight w:val="none"/>
              </w:rPr>
              <w:t>供应商（以下简称乙方）：***</w:t>
            </w:r>
          </w:p>
          <w:p w14:paraId="7AB3403D">
            <w:pPr>
              <w:rPr>
                <w:b/>
                <w:bCs/>
                <w:szCs w:val="21"/>
                <w:highlight w:val="none"/>
              </w:rPr>
            </w:pPr>
            <w:r>
              <w:rPr>
                <w:b/>
                <w:bCs/>
                <w:szCs w:val="21"/>
                <w:highlight w:val="none"/>
              </w:rPr>
              <w:t>地址：***</w:t>
            </w:r>
          </w:p>
          <w:p w14:paraId="49B46EA1">
            <w:pPr>
              <w:rPr>
                <w:b/>
                <w:bCs/>
                <w:szCs w:val="21"/>
                <w:highlight w:val="none"/>
              </w:rPr>
            </w:pPr>
            <w:r>
              <w:rPr>
                <w:b/>
                <w:bCs/>
                <w:szCs w:val="21"/>
                <w:highlight w:val="none"/>
              </w:rPr>
              <w:t>移动电话：***</w:t>
            </w:r>
          </w:p>
          <w:p w14:paraId="2A04E3BE">
            <w:pPr>
              <w:contextualSpacing/>
              <w:rPr>
                <w:b/>
                <w:bCs/>
                <w:szCs w:val="21"/>
                <w:highlight w:val="none"/>
              </w:rPr>
            </w:pPr>
            <w:r>
              <w:rPr>
                <w:b/>
                <w:bCs/>
                <w:szCs w:val="21"/>
                <w:highlight w:val="none"/>
              </w:rPr>
              <w:t>联系人：***</w:t>
            </w:r>
          </w:p>
          <w:p w14:paraId="18A1ADEB">
            <w:pPr>
              <w:rPr>
                <w:bCs/>
                <w:szCs w:val="21"/>
                <w:highlight w:val="none"/>
              </w:rPr>
            </w:pPr>
            <w:r>
              <w:rPr>
                <w:rFonts w:hint="eastAsia"/>
                <w:b/>
                <w:bCs/>
                <w:szCs w:val="21"/>
                <w:highlight w:val="none"/>
              </w:rPr>
              <w:t>电子邮件：</w:t>
            </w:r>
            <w:r>
              <w:rPr>
                <w:rFonts w:hint="eastAsia"/>
                <w:szCs w:val="21"/>
                <w:highlight w:val="none"/>
              </w:rPr>
              <w:t>*</w:t>
            </w:r>
            <w:r>
              <w:rPr>
                <w:szCs w:val="21"/>
                <w:highlight w:val="none"/>
              </w:rPr>
              <w:t>**</w:t>
            </w:r>
          </w:p>
        </w:tc>
      </w:tr>
    </w:tbl>
    <w:p w14:paraId="5F2EEB2D">
      <w:pPr>
        <w:ind w:firstLine="420" w:firstLineChars="200"/>
        <w:contextualSpacing/>
        <w:jc w:val="left"/>
        <w:rPr>
          <w:color w:val="000000"/>
          <w:szCs w:val="21"/>
          <w:highlight w:val="none"/>
        </w:rPr>
      </w:pPr>
    </w:p>
    <w:p w14:paraId="2600F949">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0E683A7E">
      <w:pPr>
        <w:contextualSpacing/>
        <w:jc w:val="left"/>
        <w:rPr>
          <w:b/>
          <w:szCs w:val="21"/>
          <w:highlight w:val="none"/>
        </w:rPr>
      </w:pPr>
    </w:p>
    <w:p w14:paraId="4F98A680">
      <w:pPr>
        <w:pStyle w:val="30"/>
        <w:numPr>
          <w:ilvl w:val="0"/>
          <w:numId w:val="20"/>
        </w:numPr>
        <w:ind w:left="0" w:firstLine="0" w:firstLineChars="0"/>
        <w:contextualSpacing/>
        <w:jc w:val="left"/>
        <w:rPr>
          <w:b/>
          <w:szCs w:val="21"/>
          <w:highlight w:val="none"/>
        </w:rPr>
      </w:pPr>
      <w:r>
        <w:rPr>
          <w:b/>
          <w:szCs w:val="21"/>
          <w:highlight w:val="none"/>
        </w:rPr>
        <w:t>合同标的</w:t>
      </w:r>
    </w:p>
    <w:p w14:paraId="2E385537">
      <w:pPr>
        <w:pStyle w:val="10"/>
        <w:numPr>
          <w:ilvl w:val="0"/>
          <w:numId w:val="21"/>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4229FB38">
      <w:pPr>
        <w:pStyle w:val="10"/>
        <w:numPr>
          <w:ilvl w:val="0"/>
          <w:numId w:val="21"/>
        </w:numPr>
        <w:spacing w:after="0" w:line="240" w:lineRule="auto"/>
        <w:ind w:left="210" w:leftChars="0" w:hanging="210" w:hangingChars="100"/>
        <w:contextualSpacing/>
        <w:jc w:val="left"/>
        <w:rPr>
          <w:szCs w:val="21"/>
          <w:highlight w:val="none"/>
        </w:rPr>
      </w:pPr>
      <w:r>
        <w:rPr>
          <w:rFonts w:hint="eastAsia"/>
          <w:szCs w:val="21"/>
          <w:highlight w:val="none"/>
        </w:rPr>
        <w:t>乙方向甲方提供服务的主要内容：*</w:t>
      </w:r>
      <w:r>
        <w:rPr>
          <w:szCs w:val="21"/>
          <w:highlight w:val="none"/>
        </w:rPr>
        <w:t>**</w:t>
      </w:r>
      <w:r>
        <w:rPr>
          <w:rFonts w:hint="eastAsia"/>
          <w:szCs w:val="21"/>
          <w:highlight w:val="none"/>
        </w:rPr>
        <w:t>。</w:t>
      </w:r>
    </w:p>
    <w:p w14:paraId="5F975DD2">
      <w:pPr>
        <w:pStyle w:val="10"/>
        <w:numPr>
          <w:ilvl w:val="0"/>
          <w:numId w:val="21"/>
        </w:numPr>
        <w:spacing w:after="0" w:line="240" w:lineRule="auto"/>
        <w:ind w:left="210" w:leftChars="0" w:hanging="210" w:hangingChars="100"/>
        <w:contextualSpacing/>
        <w:jc w:val="left"/>
        <w:rPr>
          <w:szCs w:val="21"/>
          <w:highlight w:val="none"/>
        </w:rPr>
      </w:pPr>
      <w:r>
        <w:rPr>
          <w:rFonts w:hint="eastAsia"/>
          <w:szCs w:val="21"/>
          <w:highlight w:val="none"/>
        </w:rPr>
        <w:t>服务分项明细：</w:t>
      </w:r>
      <w:r>
        <w:rPr>
          <w:rFonts w:hint="eastAsia"/>
          <w:i/>
          <w:iCs/>
          <w:color w:val="000000"/>
          <w:szCs w:val="21"/>
          <w:highlight w:val="none"/>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0"/>
              <w:ind w:firstLine="0" w:firstLineChars="0"/>
              <w:jc w:val="center"/>
              <w:rPr>
                <w:color w:val="000000"/>
                <w:szCs w:val="21"/>
                <w:highlight w:val="none"/>
              </w:rPr>
            </w:pPr>
            <w:r>
              <w:rPr>
                <w:color w:val="000000"/>
                <w:szCs w:val="21"/>
                <w:highlight w:val="none"/>
              </w:rPr>
              <w:t>序号</w:t>
            </w:r>
          </w:p>
        </w:tc>
        <w:tc>
          <w:tcPr>
            <w:tcW w:w="2977" w:type="dxa"/>
            <w:vAlign w:val="center"/>
          </w:tcPr>
          <w:p w14:paraId="42032E31">
            <w:pPr>
              <w:pStyle w:val="30"/>
              <w:ind w:firstLine="0" w:firstLineChars="0"/>
              <w:jc w:val="center"/>
              <w:rPr>
                <w:color w:val="000000"/>
                <w:szCs w:val="21"/>
                <w:highlight w:val="none"/>
              </w:rPr>
            </w:pPr>
            <w:r>
              <w:rPr>
                <w:color w:val="000000"/>
                <w:szCs w:val="21"/>
                <w:highlight w:val="none"/>
              </w:rPr>
              <w:t>分项</w:t>
            </w:r>
            <w:r>
              <w:rPr>
                <w:rFonts w:hint="eastAsia"/>
                <w:color w:val="000000"/>
                <w:szCs w:val="21"/>
                <w:highlight w:val="none"/>
              </w:rPr>
              <w:t>服务</w:t>
            </w:r>
            <w:r>
              <w:rPr>
                <w:color w:val="000000"/>
                <w:szCs w:val="21"/>
                <w:highlight w:val="none"/>
              </w:rPr>
              <w:t>名称</w:t>
            </w:r>
          </w:p>
        </w:tc>
        <w:tc>
          <w:tcPr>
            <w:tcW w:w="3686" w:type="dxa"/>
            <w:vAlign w:val="center"/>
          </w:tcPr>
          <w:p w14:paraId="0F0FDBF4">
            <w:pPr>
              <w:pStyle w:val="30"/>
              <w:ind w:firstLine="0" w:firstLineChars="0"/>
              <w:jc w:val="center"/>
              <w:rPr>
                <w:color w:val="000000"/>
                <w:szCs w:val="21"/>
                <w:highlight w:val="none"/>
              </w:rPr>
            </w:pPr>
            <w:r>
              <w:rPr>
                <w:color w:val="000000"/>
                <w:szCs w:val="21"/>
                <w:highlight w:val="none"/>
              </w:rPr>
              <w:t>具体内容</w:t>
            </w:r>
          </w:p>
        </w:tc>
        <w:tc>
          <w:tcPr>
            <w:tcW w:w="963" w:type="dxa"/>
            <w:vAlign w:val="center"/>
          </w:tcPr>
          <w:p w14:paraId="6E75E46C">
            <w:pPr>
              <w:pStyle w:val="30"/>
              <w:ind w:firstLine="0" w:firstLineChars="0"/>
              <w:jc w:val="center"/>
              <w:rPr>
                <w:color w:val="000000"/>
                <w:szCs w:val="21"/>
                <w:highlight w:val="none"/>
              </w:rPr>
            </w:pPr>
            <w:r>
              <w:rPr>
                <w:color w:val="000000"/>
                <w:szCs w:val="21"/>
                <w:highlight w:val="none"/>
              </w:rPr>
              <w:t>分项价格（万元）</w:t>
            </w:r>
          </w:p>
        </w:tc>
        <w:tc>
          <w:tcPr>
            <w:tcW w:w="2016" w:type="dxa"/>
          </w:tcPr>
          <w:p w14:paraId="3BC8F9B2">
            <w:pPr>
              <w:pStyle w:val="30"/>
              <w:ind w:firstLine="0" w:firstLineChars="0"/>
              <w:jc w:val="center"/>
              <w:rPr>
                <w:color w:val="000000"/>
                <w:szCs w:val="21"/>
                <w:highlight w:val="none"/>
              </w:rPr>
            </w:pPr>
            <w:r>
              <w:rPr>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0"/>
              <w:ind w:firstLine="0" w:firstLineChars="0"/>
              <w:jc w:val="center"/>
              <w:rPr>
                <w:color w:val="000000"/>
                <w:szCs w:val="21"/>
                <w:highlight w:val="none"/>
              </w:rPr>
            </w:pPr>
            <w:r>
              <w:rPr>
                <w:rFonts w:hint="eastAsia"/>
                <w:color w:val="000000"/>
                <w:szCs w:val="21"/>
                <w:highlight w:val="none"/>
              </w:rPr>
              <w:t>1</w:t>
            </w:r>
          </w:p>
        </w:tc>
        <w:tc>
          <w:tcPr>
            <w:tcW w:w="2977" w:type="dxa"/>
            <w:vAlign w:val="center"/>
          </w:tcPr>
          <w:p w14:paraId="629F7C51">
            <w:pPr>
              <w:pStyle w:val="30"/>
              <w:ind w:firstLine="0" w:firstLineChars="0"/>
              <w:rPr>
                <w:color w:val="000000"/>
                <w:szCs w:val="21"/>
                <w:highlight w:val="none"/>
              </w:rPr>
            </w:pPr>
          </w:p>
        </w:tc>
        <w:tc>
          <w:tcPr>
            <w:tcW w:w="3686" w:type="dxa"/>
            <w:vAlign w:val="center"/>
          </w:tcPr>
          <w:p w14:paraId="1B711F72">
            <w:pPr>
              <w:pStyle w:val="30"/>
              <w:ind w:firstLine="0" w:firstLineChars="0"/>
              <w:rPr>
                <w:color w:val="000000"/>
                <w:szCs w:val="21"/>
                <w:highlight w:val="none"/>
              </w:rPr>
            </w:pPr>
          </w:p>
        </w:tc>
        <w:tc>
          <w:tcPr>
            <w:tcW w:w="963" w:type="dxa"/>
            <w:vAlign w:val="center"/>
          </w:tcPr>
          <w:p w14:paraId="5DD02118">
            <w:pPr>
              <w:pStyle w:val="30"/>
              <w:ind w:firstLine="0" w:firstLineChars="0"/>
              <w:jc w:val="center"/>
              <w:rPr>
                <w:color w:val="000000"/>
                <w:szCs w:val="21"/>
                <w:highlight w:val="none"/>
              </w:rPr>
            </w:pPr>
          </w:p>
        </w:tc>
        <w:tc>
          <w:tcPr>
            <w:tcW w:w="2016" w:type="dxa"/>
          </w:tcPr>
          <w:p w14:paraId="149276E7">
            <w:pPr>
              <w:pStyle w:val="30"/>
              <w:ind w:firstLine="0" w:firstLineChars="0"/>
              <w:rPr>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0"/>
              <w:ind w:firstLine="0" w:firstLineChars="0"/>
              <w:jc w:val="center"/>
              <w:rPr>
                <w:color w:val="000000"/>
                <w:szCs w:val="21"/>
                <w:highlight w:val="none"/>
              </w:rPr>
            </w:pPr>
            <w:r>
              <w:rPr>
                <w:rFonts w:hint="eastAsia"/>
                <w:color w:val="000000"/>
                <w:szCs w:val="21"/>
                <w:highlight w:val="none"/>
              </w:rPr>
              <w:t>2</w:t>
            </w:r>
          </w:p>
        </w:tc>
        <w:tc>
          <w:tcPr>
            <w:tcW w:w="2977" w:type="dxa"/>
            <w:vAlign w:val="center"/>
          </w:tcPr>
          <w:p w14:paraId="0E44D544">
            <w:pPr>
              <w:pStyle w:val="30"/>
              <w:ind w:firstLine="0" w:firstLineChars="0"/>
              <w:rPr>
                <w:color w:val="000000"/>
                <w:szCs w:val="21"/>
                <w:highlight w:val="none"/>
              </w:rPr>
            </w:pPr>
          </w:p>
        </w:tc>
        <w:tc>
          <w:tcPr>
            <w:tcW w:w="3686" w:type="dxa"/>
            <w:vAlign w:val="center"/>
          </w:tcPr>
          <w:p w14:paraId="01B65D9C">
            <w:pPr>
              <w:pStyle w:val="30"/>
              <w:ind w:firstLine="0" w:firstLineChars="0"/>
              <w:rPr>
                <w:color w:val="000000"/>
                <w:szCs w:val="21"/>
                <w:highlight w:val="none"/>
              </w:rPr>
            </w:pPr>
          </w:p>
        </w:tc>
        <w:tc>
          <w:tcPr>
            <w:tcW w:w="963" w:type="dxa"/>
            <w:vAlign w:val="center"/>
          </w:tcPr>
          <w:p w14:paraId="4C31DD39">
            <w:pPr>
              <w:pStyle w:val="30"/>
              <w:ind w:firstLine="0" w:firstLineChars="0"/>
              <w:jc w:val="center"/>
              <w:rPr>
                <w:color w:val="000000"/>
                <w:szCs w:val="21"/>
                <w:highlight w:val="none"/>
              </w:rPr>
            </w:pPr>
          </w:p>
        </w:tc>
        <w:tc>
          <w:tcPr>
            <w:tcW w:w="2016" w:type="dxa"/>
          </w:tcPr>
          <w:p w14:paraId="3000AC5A">
            <w:pPr>
              <w:pStyle w:val="30"/>
              <w:ind w:firstLine="0" w:firstLineChars="0"/>
              <w:rPr>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2" w:type="dxa"/>
            <w:vAlign w:val="center"/>
          </w:tcPr>
          <w:p w14:paraId="5CFD05D7">
            <w:pPr>
              <w:pStyle w:val="30"/>
              <w:ind w:firstLine="0" w:firstLineChars="0"/>
              <w:jc w:val="center"/>
              <w:rPr>
                <w:color w:val="000000"/>
                <w:szCs w:val="21"/>
                <w:highlight w:val="none"/>
              </w:rPr>
            </w:pPr>
            <w:r>
              <w:rPr>
                <w:rFonts w:hint="eastAsia"/>
                <w:color w:val="000000"/>
                <w:szCs w:val="21"/>
                <w:highlight w:val="none"/>
              </w:rPr>
              <w:t>3</w:t>
            </w:r>
          </w:p>
        </w:tc>
        <w:tc>
          <w:tcPr>
            <w:tcW w:w="2977" w:type="dxa"/>
            <w:vAlign w:val="center"/>
          </w:tcPr>
          <w:p w14:paraId="71D5F885">
            <w:pPr>
              <w:pStyle w:val="30"/>
              <w:ind w:firstLine="0" w:firstLineChars="0"/>
              <w:rPr>
                <w:color w:val="000000"/>
                <w:szCs w:val="21"/>
                <w:highlight w:val="none"/>
              </w:rPr>
            </w:pPr>
          </w:p>
        </w:tc>
        <w:tc>
          <w:tcPr>
            <w:tcW w:w="3686" w:type="dxa"/>
            <w:vAlign w:val="center"/>
          </w:tcPr>
          <w:p w14:paraId="38AC0A57">
            <w:pPr>
              <w:pStyle w:val="30"/>
              <w:ind w:firstLine="0" w:firstLineChars="0"/>
              <w:rPr>
                <w:color w:val="000000"/>
                <w:szCs w:val="21"/>
                <w:highlight w:val="none"/>
              </w:rPr>
            </w:pPr>
          </w:p>
        </w:tc>
        <w:tc>
          <w:tcPr>
            <w:tcW w:w="963" w:type="dxa"/>
            <w:vAlign w:val="center"/>
          </w:tcPr>
          <w:p w14:paraId="3B158765">
            <w:pPr>
              <w:pStyle w:val="30"/>
              <w:ind w:firstLine="0" w:firstLineChars="0"/>
              <w:jc w:val="center"/>
              <w:rPr>
                <w:color w:val="000000"/>
                <w:szCs w:val="21"/>
                <w:highlight w:val="none"/>
              </w:rPr>
            </w:pPr>
          </w:p>
        </w:tc>
        <w:tc>
          <w:tcPr>
            <w:tcW w:w="2016" w:type="dxa"/>
          </w:tcPr>
          <w:p w14:paraId="43F7F4B9">
            <w:pPr>
              <w:pStyle w:val="30"/>
              <w:ind w:firstLine="0" w:firstLineChars="0"/>
              <w:rPr>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0"/>
              <w:ind w:firstLine="0" w:firstLineChars="0"/>
              <w:jc w:val="center"/>
              <w:rPr>
                <w:color w:val="000000"/>
                <w:szCs w:val="21"/>
                <w:highlight w:val="none"/>
              </w:rPr>
            </w:pPr>
            <w:r>
              <w:rPr>
                <w:color w:val="000000"/>
                <w:szCs w:val="21"/>
                <w:highlight w:val="none"/>
              </w:rPr>
              <w:t>…</w:t>
            </w:r>
          </w:p>
        </w:tc>
        <w:tc>
          <w:tcPr>
            <w:tcW w:w="2977" w:type="dxa"/>
            <w:vAlign w:val="center"/>
          </w:tcPr>
          <w:p w14:paraId="492CFE5D">
            <w:pPr>
              <w:pStyle w:val="30"/>
              <w:ind w:firstLine="0" w:firstLineChars="0"/>
              <w:rPr>
                <w:color w:val="000000"/>
                <w:szCs w:val="21"/>
                <w:highlight w:val="none"/>
              </w:rPr>
            </w:pPr>
          </w:p>
        </w:tc>
        <w:tc>
          <w:tcPr>
            <w:tcW w:w="3686" w:type="dxa"/>
            <w:vAlign w:val="center"/>
          </w:tcPr>
          <w:p w14:paraId="5E27032F">
            <w:pPr>
              <w:pStyle w:val="30"/>
              <w:ind w:firstLine="0" w:firstLineChars="0"/>
              <w:rPr>
                <w:color w:val="000000"/>
                <w:szCs w:val="21"/>
                <w:highlight w:val="none"/>
              </w:rPr>
            </w:pPr>
          </w:p>
        </w:tc>
        <w:tc>
          <w:tcPr>
            <w:tcW w:w="963" w:type="dxa"/>
            <w:vAlign w:val="center"/>
          </w:tcPr>
          <w:p w14:paraId="19B21445">
            <w:pPr>
              <w:pStyle w:val="30"/>
              <w:ind w:firstLine="0" w:firstLineChars="0"/>
              <w:jc w:val="center"/>
              <w:rPr>
                <w:color w:val="000000"/>
                <w:szCs w:val="21"/>
                <w:highlight w:val="none"/>
              </w:rPr>
            </w:pPr>
          </w:p>
        </w:tc>
        <w:tc>
          <w:tcPr>
            <w:tcW w:w="2016" w:type="dxa"/>
          </w:tcPr>
          <w:p w14:paraId="5FC047A6">
            <w:pPr>
              <w:pStyle w:val="30"/>
              <w:ind w:firstLine="0" w:firstLineChars="0"/>
              <w:rPr>
                <w:color w:val="000000"/>
                <w:szCs w:val="21"/>
                <w:highlight w:val="none"/>
              </w:rPr>
            </w:pPr>
          </w:p>
        </w:tc>
      </w:tr>
    </w:tbl>
    <w:p w14:paraId="2D35C912">
      <w:pPr>
        <w:pStyle w:val="30"/>
        <w:numPr>
          <w:ilvl w:val="0"/>
          <w:numId w:val="20"/>
        </w:numPr>
        <w:ind w:firstLineChars="0"/>
        <w:jc w:val="left"/>
        <w:rPr>
          <w:b/>
          <w:szCs w:val="21"/>
          <w:highlight w:val="none"/>
        </w:rPr>
      </w:pPr>
      <w:r>
        <w:rPr>
          <w:b/>
          <w:szCs w:val="21"/>
          <w:highlight w:val="none"/>
        </w:rPr>
        <w:t>合同</w:t>
      </w:r>
      <w:r>
        <w:rPr>
          <w:rFonts w:hint="eastAsia"/>
          <w:b/>
          <w:szCs w:val="21"/>
          <w:highlight w:val="none"/>
        </w:rPr>
        <w:t>价款</w:t>
      </w:r>
    </w:p>
    <w:p w14:paraId="036F89BD">
      <w:pPr>
        <w:ind w:firstLine="480"/>
        <w:contextualSpacing/>
        <w:jc w:val="left"/>
        <w:rPr>
          <w:szCs w:val="21"/>
          <w:highlight w:val="none"/>
        </w:rPr>
      </w:pPr>
      <w:bookmarkStart w:id="95" w:name="OLE_LINK2"/>
      <w:bookmarkStart w:id="96" w:name="OLE_LINK1"/>
      <w:r>
        <w:rPr>
          <w:color w:val="000000"/>
          <w:szCs w:val="21"/>
          <w:highlight w:val="none"/>
        </w:rPr>
        <w:sym w:font="Wingdings 2" w:char="F052"/>
      </w:r>
      <w:r>
        <w:rPr>
          <w:rFonts w:hint="eastAsia"/>
          <w:szCs w:val="21"/>
          <w:highlight w:val="none"/>
        </w:rPr>
        <w:t>全包服务</w:t>
      </w:r>
    </w:p>
    <w:p w14:paraId="6903D519">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53131E2F">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1F79E5D1">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7" w:name="OLE_LINK28"/>
      <w:r>
        <w:rPr>
          <w:szCs w:val="21"/>
          <w:highlight w:val="none"/>
        </w:rPr>
        <w:t>人民币大写：*** 圆整，即RMB *** 元</w:t>
      </w:r>
      <w:bookmarkEnd w:id="97"/>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22723641">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12981F5A">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70F77AF6">
      <w:pP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，依据本合同单价进行结算，结算单价详见附件1《结算单价清单》。</w:t>
      </w:r>
    </w:p>
    <w:bookmarkEnd w:id="95"/>
    <w:bookmarkEnd w:id="96"/>
    <w:p w14:paraId="61352334">
      <w:pPr>
        <w:pStyle w:val="30"/>
        <w:numPr>
          <w:ilvl w:val="0"/>
          <w:numId w:val="20"/>
        </w:numPr>
        <w:ind w:left="0" w:firstLine="0" w:firstLineChars="0"/>
        <w:jc w:val="left"/>
        <w:rPr>
          <w:b/>
          <w:szCs w:val="21"/>
          <w:highlight w:val="none"/>
        </w:rPr>
      </w:pPr>
      <w:r>
        <w:rPr>
          <w:b/>
          <w:szCs w:val="21"/>
          <w:highlight w:val="none"/>
        </w:rPr>
        <w:t>服务期限</w:t>
      </w:r>
      <w:r>
        <w:rPr>
          <w:i/>
          <w:iCs/>
          <w:szCs w:val="21"/>
          <w:highlight w:val="none"/>
        </w:rPr>
        <w:t>&lt;根据项目实际情况选择&gt;</w:t>
      </w:r>
    </w:p>
    <w:p w14:paraId="4E947B0D">
      <w:pPr>
        <w:pStyle w:val="30"/>
        <w:jc w:val="left"/>
        <w:rPr>
          <w:bCs/>
          <w:szCs w:val="21"/>
          <w:highlight w:val="none"/>
        </w:rPr>
      </w:pPr>
      <w:r>
        <w:rPr>
          <w:color w:val="000000"/>
          <w:szCs w:val="21"/>
          <w:highlight w:val="none"/>
        </w:rPr>
        <w:sym w:font="Wingdings 2" w:char="F052"/>
      </w:r>
      <w:r>
        <w:rPr>
          <w:rFonts w:hint="eastAsia"/>
          <w:color w:val="000000"/>
          <w:szCs w:val="21"/>
          <w:highlight w:val="none"/>
        </w:rPr>
        <w:t>本</w:t>
      </w:r>
      <w:r>
        <w:rPr>
          <w:bCs/>
          <w:szCs w:val="21"/>
          <w:highlight w:val="none"/>
        </w:rPr>
        <w:t>合同服务期限为 *** 年，自 202* 年 *** 月 *** 日起至 202* 年 *** 月 *** 日。</w:t>
      </w:r>
    </w:p>
    <w:p w14:paraId="3141708C">
      <w:pPr>
        <w:pStyle w:val="30"/>
        <w:jc w:val="left"/>
        <w:rPr>
          <w:bCs/>
          <w:szCs w:val="21"/>
          <w:highlight w:val="none"/>
        </w:rPr>
      </w:pPr>
    </w:p>
    <w:p w14:paraId="368787FF">
      <w:pPr>
        <w:pStyle w:val="30"/>
        <w:jc w:val="left"/>
        <w:rPr>
          <w:bCs/>
          <w:szCs w:val="21"/>
          <w:highlight w:val="none"/>
        </w:rPr>
      </w:pPr>
      <w:r>
        <w:rPr>
          <w:color w:val="000000"/>
          <w:szCs w:val="21"/>
          <w:highlight w:val="none"/>
        </w:rPr>
        <w:sym w:font="Wingdings 2" w:char="F052"/>
      </w:r>
      <w:r>
        <w:rPr>
          <w:bCs/>
          <w:szCs w:val="21"/>
          <w:highlight w:val="none"/>
        </w:rPr>
        <w:t>本合同服务期限为</w:t>
      </w:r>
      <w:r>
        <w:rPr>
          <w:rFonts w:hint="eastAsia"/>
          <w:bCs/>
          <w:szCs w:val="21"/>
          <w:highlight w:val="none"/>
        </w:rPr>
        <w:t xml:space="preserve">双方签字盖章生效之日起 </w:t>
      </w:r>
      <w:r>
        <w:rPr>
          <w:bCs/>
          <w:szCs w:val="21"/>
          <w:highlight w:val="none"/>
        </w:rPr>
        <w:t>*** 年，</w:t>
      </w:r>
      <w:r>
        <w:rPr>
          <w:rFonts w:hint="eastAsia"/>
          <w:bCs/>
          <w:szCs w:val="21"/>
          <w:highlight w:val="none"/>
        </w:rPr>
        <w:t>即</w:t>
      </w:r>
      <w:r>
        <w:rPr>
          <w:bCs/>
          <w:szCs w:val="21"/>
          <w:highlight w:val="none"/>
        </w:rPr>
        <w:t>自 202* 年 *** 月 *** 日起至 202* 年 *** 月 *** 日。</w:t>
      </w:r>
    </w:p>
    <w:p w14:paraId="08791303">
      <w:pPr>
        <w:pStyle w:val="30"/>
        <w:jc w:val="left"/>
        <w:rPr>
          <w:bCs/>
          <w:szCs w:val="21"/>
          <w:highlight w:val="none"/>
        </w:rPr>
      </w:pPr>
    </w:p>
    <w:p w14:paraId="27DB179C">
      <w:pPr>
        <w:pStyle w:val="30"/>
        <w:ind w:left="105" w:leftChars="50" w:firstLine="315" w:firstLineChars="150"/>
        <w:jc w:val="left"/>
        <w:rPr>
          <w:b/>
          <w:szCs w:val="21"/>
          <w:highlight w:val="none"/>
        </w:rPr>
      </w:pPr>
      <w:r>
        <w:rPr>
          <w:color w:val="000000"/>
          <w:szCs w:val="21"/>
          <w:highlight w:val="none"/>
        </w:rPr>
        <w:sym w:font="Wingdings 2" w:char="F052"/>
      </w: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8"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8"/>
      <w:r>
        <w:rPr>
          <w:bCs/>
          <w:szCs w:val="21"/>
          <w:highlight w:val="none"/>
        </w:rPr>
        <w:t>。</w:t>
      </w:r>
    </w:p>
    <w:p w14:paraId="1B257405">
      <w:pPr>
        <w:pStyle w:val="30"/>
        <w:numPr>
          <w:ilvl w:val="0"/>
          <w:numId w:val="20"/>
        </w:numPr>
        <w:ind w:left="0" w:firstLine="0" w:firstLineChars="0"/>
        <w:contextualSpacing/>
        <w:jc w:val="left"/>
        <w:rPr>
          <w:b/>
          <w:szCs w:val="21"/>
          <w:highlight w:val="none"/>
        </w:rPr>
      </w:pPr>
      <w:r>
        <w:rPr>
          <w:b/>
          <w:szCs w:val="21"/>
          <w:highlight w:val="none"/>
        </w:rPr>
        <w:t>服务</w:t>
      </w:r>
      <w:r>
        <w:rPr>
          <w:rFonts w:hint="eastAsia"/>
          <w:b/>
          <w:szCs w:val="21"/>
          <w:highlight w:val="none"/>
        </w:rPr>
        <w:t>方案</w:t>
      </w:r>
    </w:p>
    <w:p w14:paraId="06E0AE13">
      <w:pP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7482C29A">
      <w:pPr>
        <w:pStyle w:val="30"/>
        <w:numPr>
          <w:ilvl w:val="0"/>
          <w:numId w:val="20"/>
        </w:numPr>
        <w:ind w:left="0" w:firstLine="0" w:firstLineChars="0"/>
        <w:contextualSpacing/>
        <w:jc w:val="left"/>
        <w:rPr>
          <w:b/>
          <w:szCs w:val="21"/>
          <w:highlight w:val="none"/>
        </w:rPr>
      </w:pPr>
      <w:r>
        <w:rPr>
          <w:b/>
          <w:szCs w:val="21"/>
          <w:highlight w:val="none"/>
        </w:rPr>
        <w:t>验收</w:t>
      </w:r>
    </w:p>
    <w:p w14:paraId="57707485">
      <w:pPr>
        <w:pStyle w:val="30"/>
        <w:numPr>
          <w:ilvl w:val="0"/>
          <w:numId w:val="22"/>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103305C9">
      <w:pPr>
        <w:pStyle w:val="30"/>
        <w:numPr>
          <w:ilvl w:val="0"/>
          <w:numId w:val="22"/>
        </w:numPr>
        <w:ind w:left="0" w:firstLine="0" w:firstLineChars="0"/>
        <w:contextualSpacing/>
        <w:rPr>
          <w:szCs w:val="21"/>
          <w:highlight w:val="none"/>
        </w:rPr>
      </w:pPr>
      <w:r>
        <w:rPr>
          <w:szCs w:val="21"/>
          <w:highlight w:val="none"/>
        </w:rPr>
        <w:t>验收方案：</w:t>
      </w:r>
    </w:p>
    <w:p w14:paraId="10719FFA">
      <w:pPr>
        <w:pStyle w:val="30"/>
        <w:numPr>
          <w:ilvl w:val="0"/>
          <w:numId w:val="23"/>
        </w:numPr>
        <w:ind w:firstLineChars="0"/>
        <w:contextualSpacing/>
        <w:rPr>
          <w:color w:val="000000"/>
          <w:szCs w:val="21"/>
          <w:highlight w:val="none"/>
        </w:rPr>
      </w:pPr>
      <w:r>
        <w:rPr>
          <w:rFonts w:hint="eastAsia"/>
          <w:color w:val="000000"/>
          <w:szCs w:val="21"/>
          <w:highlight w:val="none"/>
        </w:rPr>
        <w:t>验收主体：甲方</w:t>
      </w:r>
    </w:p>
    <w:p w14:paraId="7212F6E2">
      <w:pPr>
        <w:pStyle w:val="30"/>
        <w:numPr>
          <w:ilvl w:val="0"/>
          <w:numId w:val="23"/>
        </w:numPr>
        <w:ind w:firstLineChars="0"/>
        <w:contextualSpacing/>
        <w:rPr>
          <w:color w:val="000000"/>
          <w:szCs w:val="21"/>
          <w:highlight w:val="none"/>
        </w:rPr>
      </w:pPr>
      <w:r>
        <w:rPr>
          <w:rFonts w:hint="eastAsia"/>
          <w:color w:val="000000"/>
          <w:szCs w:val="21"/>
          <w:highlight w:val="none"/>
        </w:rPr>
        <w:t>验收组织方式：自行验收</w:t>
      </w:r>
    </w:p>
    <w:p w14:paraId="5C963DBA">
      <w:pPr>
        <w:pStyle w:val="30"/>
        <w:numPr>
          <w:ilvl w:val="0"/>
          <w:numId w:val="23"/>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0ACAEB8E">
      <w:pPr>
        <w:pStyle w:val="30"/>
        <w:numPr>
          <w:ilvl w:val="0"/>
          <w:numId w:val="23"/>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25BB580A">
      <w:pPr>
        <w:pStyle w:val="30"/>
        <w:numPr>
          <w:ilvl w:val="0"/>
          <w:numId w:val="23"/>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1F2D4CFA">
      <w:pPr>
        <w:pStyle w:val="30"/>
        <w:numPr>
          <w:ilvl w:val="0"/>
          <w:numId w:val="23"/>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7EEE864">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3560871">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668E8ECC">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甲</w:t>
      </w:r>
      <w:r>
        <w:rPr>
          <w:rFonts w:hint="eastAsia" w:ascii="Times New Roman" w:hAnsi="Times New Roman"/>
          <w:color w:val="000000"/>
          <w:szCs w:val="21"/>
          <w:highlight w:val="none"/>
        </w:rPr>
        <w:t>方</w:t>
      </w:r>
      <w:r>
        <w:rPr>
          <w:rFonts w:ascii="Times New Roman" w:hAnsi="Times New Roman"/>
          <w:color w:val="000000"/>
          <w:szCs w:val="21"/>
          <w:highlight w:val="none"/>
        </w:rPr>
        <w:t>完成考核后X日内组织验收</w:t>
      </w:r>
    </w:p>
    <w:p w14:paraId="06090759">
      <w:pPr>
        <w:pStyle w:val="17"/>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0A943DA8">
      <w:pPr>
        <w:pStyle w:val="30"/>
        <w:numPr>
          <w:ilvl w:val="0"/>
          <w:numId w:val="23"/>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40E083B">
      <w:pPr>
        <w:pStyle w:val="30"/>
        <w:numPr>
          <w:ilvl w:val="0"/>
          <w:numId w:val="23"/>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595EB419">
      <w:pPr>
        <w:pStyle w:val="30"/>
        <w:numPr>
          <w:ilvl w:val="0"/>
          <w:numId w:val="23"/>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212FF5E1">
      <w:pPr>
        <w:pStyle w:val="30"/>
        <w:numPr>
          <w:ilvl w:val="0"/>
          <w:numId w:val="23"/>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7F88790">
      <w:pPr>
        <w:pStyle w:val="30"/>
        <w:numPr>
          <w:ilvl w:val="0"/>
          <w:numId w:val="23"/>
        </w:numPr>
        <w:ind w:firstLineChars="0"/>
        <w:contextualSpacing/>
        <w:rPr>
          <w:szCs w:val="21"/>
          <w:highlight w:val="none"/>
        </w:rPr>
      </w:pPr>
      <w:r>
        <w:rPr>
          <w:szCs w:val="21"/>
          <w:highlight w:val="none"/>
        </w:rPr>
        <w:t>验收标准：</w:t>
      </w:r>
    </w:p>
    <w:p w14:paraId="24757C73">
      <w:pPr>
        <w:pStyle w:val="17"/>
        <w:numPr>
          <w:ilvl w:val="0"/>
          <w:numId w:val="24"/>
        </w:numPr>
        <w:spacing w:after="0"/>
        <w:ind w:firstLineChars="0"/>
        <w:contextualSpacing/>
        <w:rPr>
          <w:rFonts w:ascii="Times New Roman" w:hAnsi="Times New Roman"/>
          <w:szCs w:val="21"/>
          <w:highlight w:val="none"/>
        </w:rPr>
      </w:pPr>
      <w:bookmarkStart w:id="99" w:name="OLE_LINK4"/>
      <w:r>
        <w:rPr>
          <w:rFonts w:ascii="Times New Roman" w:hAnsi="Times New Roman"/>
          <w:szCs w:val="21"/>
          <w:highlight w:val="none"/>
          <w:shd w:val="clear" w:color="auto" w:fill="FFFFFF"/>
        </w:rPr>
        <w:t>国家相关法律法规、行业标准、技术规范。</w:t>
      </w:r>
    </w:p>
    <w:p w14:paraId="4A341926">
      <w:pPr>
        <w:pStyle w:val="17"/>
        <w:numPr>
          <w:ilvl w:val="0"/>
          <w:numId w:val="24"/>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4BB5AAAF">
      <w:pPr>
        <w:pStyle w:val="17"/>
        <w:numPr>
          <w:ilvl w:val="0"/>
          <w:numId w:val="24"/>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bookmarkEnd w:id="99"/>
    <w:p w14:paraId="2BFFECC6">
      <w:pPr>
        <w:pStyle w:val="17"/>
        <w:numPr>
          <w:ilvl w:val="0"/>
          <w:numId w:val="24"/>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142B41FF">
      <w:pPr>
        <w:pStyle w:val="17"/>
        <w:numPr>
          <w:ilvl w:val="0"/>
          <w:numId w:val="24"/>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5A8F93D9">
      <w:pPr>
        <w:pStyle w:val="17"/>
        <w:numPr>
          <w:ilvl w:val="0"/>
          <w:numId w:val="24"/>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5FCD4D1B">
      <w:pPr>
        <w:pStyle w:val="30"/>
        <w:numPr>
          <w:ilvl w:val="0"/>
          <w:numId w:val="23"/>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6213DBF3">
      <w:pPr>
        <w:pStyle w:val="30"/>
        <w:numPr>
          <w:ilvl w:val="0"/>
          <w:numId w:val="22"/>
        </w:numPr>
        <w:ind w:left="0" w:firstLine="0" w:firstLineChars="0"/>
        <w:rPr>
          <w:szCs w:val="21"/>
          <w:highlight w:val="none"/>
        </w:rPr>
      </w:pPr>
      <w:r>
        <w:rPr>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rPr>
        <w:t>10</w:t>
      </w:r>
      <w:r>
        <w:rPr>
          <w:szCs w:val="21"/>
          <w:highlight w:val="none"/>
        </w:rPr>
        <w:t>%的违约金给甲方，违约金不能弥补甲方损失的，乙方应全额赔偿。</w:t>
      </w:r>
    </w:p>
    <w:p w14:paraId="2EE9DCA2">
      <w:pPr>
        <w:pStyle w:val="30"/>
        <w:numPr>
          <w:ilvl w:val="0"/>
          <w:numId w:val="20"/>
        </w:numPr>
        <w:ind w:left="0" w:firstLine="0" w:firstLineChars="0"/>
        <w:contextualSpacing/>
        <w:jc w:val="left"/>
        <w:rPr>
          <w:b/>
          <w:szCs w:val="21"/>
          <w:highlight w:val="none"/>
        </w:rPr>
      </w:pPr>
      <w:r>
        <w:rPr>
          <w:b/>
          <w:szCs w:val="21"/>
          <w:highlight w:val="none"/>
        </w:rPr>
        <w:t>付款方式</w:t>
      </w:r>
    </w:p>
    <w:p w14:paraId="1A98FD8C">
      <w:pPr>
        <w:pStyle w:val="10"/>
        <w:numPr>
          <w:ilvl w:val="0"/>
          <w:numId w:val="25"/>
        </w:numPr>
        <w:spacing w:after="0" w:line="240" w:lineRule="auto"/>
        <w:ind w:left="227" w:leftChars="0" w:hanging="227"/>
        <w:contextualSpacing/>
        <w:jc w:val="left"/>
        <w:rPr>
          <w:rFonts w:ascii="Times New Roman" w:hAnsi="Times New Roman"/>
          <w:color w:val="000000"/>
          <w:szCs w:val="21"/>
          <w:highlight w:val="none"/>
        </w:rPr>
      </w:pPr>
      <w:r>
        <w:rPr>
          <w:szCs w:val="21"/>
          <w:highlight w:val="none"/>
        </w:rPr>
        <w:t>履约保证金：</w:t>
      </w:r>
    </w:p>
    <w:p w14:paraId="49FD9F1E">
      <w:pPr>
        <w:pStyle w:val="17"/>
        <w:keepNext w:val="0"/>
        <w:keepLines w:val="0"/>
        <w:pageBreakBefore w:val="0"/>
        <w:widowControl w:val="0"/>
        <w:kinsoku/>
        <w:wordWrap/>
        <w:overflowPunct/>
        <w:topLinePunct w:val="0"/>
        <w:autoSpaceDE/>
        <w:autoSpaceDN/>
        <w:bidi w:val="0"/>
        <w:spacing w:after="0" w:line="360" w:lineRule="auto"/>
        <w:ind w:left="0" w:leftChars="0" w:firstLine="210" w:firstLineChars="100"/>
        <w:contextualSpacing/>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①</w:t>
      </w:r>
      <w:r>
        <w:rPr>
          <w:rFonts w:hint="eastAsia" w:ascii="仿宋" w:hAnsi="仿宋" w:eastAsia="仿宋" w:cs="仿宋"/>
          <w:color w:val="000000"/>
          <w:sz w:val="21"/>
          <w:szCs w:val="21"/>
          <w:highlight w:val="none"/>
        </w:rPr>
        <w:t>乙方在合同签订生效之日起的</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个工作日内，按合同总价</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%支付履约保证金；本合同服务期满且验收合格后，甲方接到乙方付款申请后</w:t>
      </w:r>
      <w:r>
        <w:rPr>
          <w:rFonts w:hint="eastAsia" w:ascii="仿宋" w:hAnsi="仿宋" w:eastAsia="仿宋" w:cs="仿宋"/>
          <w:color w:val="000000"/>
          <w:sz w:val="21"/>
          <w:szCs w:val="21"/>
          <w:highlight w:val="none"/>
          <w:u w:val="single"/>
        </w:rPr>
        <w:t>30</w:t>
      </w:r>
      <w:r>
        <w:rPr>
          <w:rFonts w:hint="eastAsia" w:ascii="仿宋" w:hAnsi="仿宋" w:eastAsia="仿宋" w:cs="仿宋"/>
          <w:color w:val="000000"/>
          <w:sz w:val="21"/>
          <w:szCs w:val="21"/>
          <w:highlight w:val="none"/>
        </w:rPr>
        <w:t>个工作日内，甲方一次性无息退还乙方的履约保证金；经验收后乙方履约不合格的，履约保证金不予退还。</w:t>
      </w:r>
    </w:p>
    <w:p w14:paraId="348CDE95">
      <w:pPr>
        <w:pStyle w:val="17"/>
        <w:keepNext w:val="0"/>
        <w:keepLines w:val="0"/>
        <w:pageBreakBefore w:val="0"/>
        <w:widowControl w:val="0"/>
        <w:kinsoku/>
        <w:wordWrap/>
        <w:overflowPunct/>
        <w:topLinePunct w:val="0"/>
        <w:autoSpaceDE/>
        <w:autoSpaceDN/>
        <w:bidi w:val="0"/>
        <w:spacing w:after="0" w:line="360" w:lineRule="auto"/>
        <w:ind w:left="0" w:leftChars="0" w:firstLine="210" w:firstLineChars="100"/>
        <w:contextualSpacing/>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②收款单位:四川省人民医院</w:t>
      </w:r>
    </w:p>
    <w:p w14:paraId="24903D2C">
      <w:pPr>
        <w:pStyle w:val="17"/>
        <w:keepNext w:val="0"/>
        <w:keepLines w:val="0"/>
        <w:pageBreakBefore w:val="0"/>
        <w:widowControl w:val="0"/>
        <w:kinsoku/>
        <w:wordWrap/>
        <w:overflowPunct/>
        <w:topLinePunct w:val="0"/>
        <w:autoSpaceDE/>
        <w:autoSpaceDN/>
        <w:bidi w:val="0"/>
        <w:spacing w:after="0" w:line="360" w:lineRule="auto"/>
        <w:ind w:left="0" w:leftChars="0" w:firstLine="420" w:firstLineChars="200"/>
        <w:contextualSpacing/>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开户行:建设银行成都青羊支行</w:t>
      </w:r>
    </w:p>
    <w:p w14:paraId="2CF6E7EA">
      <w:pPr>
        <w:pStyle w:val="17"/>
        <w:spacing w:after="0"/>
        <w:ind w:left="420" w:leftChars="200" w:firstLine="0" w:firstLineChars="0"/>
        <w:contextualSpacing/>
        <w:rPr>
          <w:rFonts w:ascii="Times New Roman" w:hAnsi="Times New Roman"/>
          <w:color w:val="000000"/>
          <w:szCs w:val="21"/>
          <w:highlight w:val="none"/>
        </w:rPr>
      </w:pPr>
      <w:r>
        <w:rPr>
          <w:rFonts w:hint="eastAsia" w:ascii="仿宋" w:hAnsi="仿宋" w:eastAsia="仿宋" w:cs="仿宋"/>
          <w:color w:val="000000"/>
          <w:sz w:val="21"/>
          <w:szCs w:val="21"/>
          <w:highlight w:val="none"/>
          <w:lang w:eastAsia="zh-CN"/>
        </w:rPr>
        <w:t>银行账号:5100 1446 4360 50374282</w:t>
      </w:r>
    </w:p>
    <w:p w14:paraId="7A4394EF">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0DB5940E">
      <w:pPr>
        <w:pStyle w:val="10"/>
        <w:numPr>
          <w:ilvl w:val="0"/>
          <w:numId w:val="25"/>
        </w:numPr>
        <w:spacing w:after="0" w:line="240" w:lineRule="auto"/>
        <w:ind w:left="227" w:leftChars="0" w:hanging="227"/>
        <w:contextualSpacing/>
        <w:jc w:val="left"/>
        <w:rPr>
          <w:szCs w:val="21"/>
          <w:highlight w:val="none"/>
        </w:rPr>
      </w:pPr>
      <w:r>
        <w:rPr>
          <w:szCs w:val="21"/>
          <w:highlight w:val="none"/>
        </w:rPr>
        <w:t>本</w:t>
      </w:r>
      <w:r>
        <w:rPr>
          <w:rFonts w:hint="eastAsia"/>
          <w:szCs w:val="21"/>
          <w:highlight w:val="none"/>
        </w:rPr>
        <w:t>合同</w:t>
      </w:r>
      <w:r>
        <w:rPr>
          <w:szCs w:val="21"/>
          <w:highlight w:val="none"/>
        </w:rPr>
        <w:t>价款采用以下方式支付，以人民币结算：</w:t>
      </w:r>
    </w:p>
    <w:p w14:paraId="09FDA0E6">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621259CA">
      <w:pPr>
        <w:pStyle w:val="17"/>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u w:val="single"/>
        </w:rPr>
        <w:t>5</w:t>
      </w:r>
      <w:r>
        <w:rPr>
          <w:rFonts w:ascii="Times New Roman" w:hAnsi="Times New Roman"/>
          <w:szCs w:val="21"/>
          <w:highlight w:val="none"/>
        </w:rPr>
        <w:t>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w:t>
      </w:r>
      <w:r>
        <w:rPr>
          <w:rFonts w:ascii="Times New Roman" w:hAnsi="Times New Roman"/>
          <w:color w:val="000000"/>
          <w:szCs w:val="21"/>
          <w:highlight w:val="none"/>
          <w:u w:val="single"/>
        </w:rPr>
        <w:t>55</w:t>
      </w:r>
      <w:r>
        <w:rPr>
          <w:rFonts w:ascii="Times New Roman" w:hAnsi="Times New Roman"/>
          <w:color w:val="000000"/>
          <w:szCs w:val="21"/>
          <w:highlight w:val="none"/>
        </w:rPr>
        <w:t>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750B8A19">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w:t>
      </w:r>
      <w:r>
        <w:rPr>
          <w:rFonts w:hint="eastAsia" w:ascii="Times New Roman" w:hAnsi="Times New Roman"/>
          <w:color w:val="000000"/>
          <w:szCs w:val="21"/>
          <w:highlight w:val="none"/>
        </w:rPr>
        <w:t>、方式</w:t>
      </w:r>
      <w:r>
        <w:rPr>
          <w:rFonts w:ascii="Times New Roman" w:hAnsi="Times New Roman"/>
          <w:color w:val="000000"/>
          <w:szCs w:val="21"/>
          <w:highlight w:val="none"/>
        </w:rPr>
        <w:t>及额度如下：</w:t>
      </w:r>
    </w:p>
    <w:p w14:paraId="56BDDA9D">
      <w:pPr>
        <w:pStyle w:val="17"/>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（1）</w:t>
      </w:r>
      <w:bookmarkStart w:id="100" w:name="OLE_LINK30"/>
      <w:r>
        <w:rPr>
          <w:rFonts w:hint="eastAsia"/>
          <w:szCs w:val="21"/>
          <w:highlight w:val="none"/>
        </w:rPr>
        <w:t>固定部分价款</w:t>
      </w:r>
      <w:bookmarkEnd w:id="100"/>
      <w:r>
        <w:rPr>
          <w:rFonts w:ascii="Times New Roman" w:hAnsi="Times New Roman"/>
          <w:color w:val="000000"/>
          <w:szCs w:val="21"/>
          <w:highlight w:val="none"/>
        </w:rPr>
        <w:t>：</w:t>
      </w: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rPr>
        <w:t>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w:t>
      </w:r>
      <w:r>
        <w:rPr>
          <w:rFonts w:hint="eastAsia" w:ascii="Times New Roman" w:hAnsi="Times New Roman"/>
          <w:color w:val="000000"/>
          <w:szCs w:val="21"/>
          <w:highlight w:val="none"/>
        </w:rPr>
        <w:t>向乙方</w:t>
      </w:r>
      <w:r>
        <w:rPr>
          <w:rFonts w:ascii="Times New Roman" w:hAnsi="Times New Roman"/>
          <w:color w:val="000000"/>
          <w:szCs w:val="21"/>
          <w:highlight w:val="none"/>
        </w:rPr>
        <w:t>支付</w:t>
      </w:r>
      <w:r>
        <w:rPr>
          <w:rFonts w:hint="eastAsia" w:ascii="Times New Roman" w:hAnsi="Times New Roman"/>
          <w:color w:val="000000"/>
          <w:szCs w:val="21"/>
          <w:highlight w:val="none"/>
        </w:rPr>
        <w:t>本合同</w:t>
      </w:r>
      <w:r>
        <w:rPr>
          <w:rFonts w:hint="eastAsia" w:ascii="Times New Roman" w:hAnsi="Times New Roman"/>
          <w:color w:val="000000"/>
          <w:szCs w:val="21"/>
          <w:highlight w:val="none"/>
          <w:u w:val="single"/>
        </w:rPr>
        <w:t>第二条</w:t>
      </w:r>
      <w:r>
        <w:rPr>
          <w:rFonts w:hint="eastAsia" w:ascii="Times New Roman" w:hAnsi="Times New Roman"/>
          <w:color w:val="000000"/>
          <w:szCs w:val="21"/>
          <w:highlight w:val="none"/>
        </w:rPr>
        <w:t>写明的全部</w:t>
      </w:r>
      <w:r>
        <w:rPr>
          <w:rFonts w:hint="eastAsia"/>
          <w:szCs w:val="21"/>
          <w:highlight w:val="none"/>
        </w:rPr>
        <w:t>固定部分价款</w:t>
      </w:r>
      <w:r>
        <w:rPr>
          <w:rFonts w:ascii="Times New Roman" w:hAnsi="Times New Roman"/>
          <w:color w:val="000000"/>
          <w:szCs w:val="21"/>
          <w:highlight w:val="none"/>
        </w:rPr>
        <w:t>。</w:t>
      </w:r>
    </w:p>
    <w:p w14:paraId="4C3983EC">
      <w:pPr>
        <w:pStyle w:val="17"/>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（2）</w:t>
      </w:r>
      <w:r>
        <w:rPr>
          <w:rFonts w:hint="eastAsia" w:ascii="Times New Roman" w:hAnsi="Times New Roman"/>
          <w:color w:val="000000"/>
          <w:szCs w:val="21"/>
          <w:highlight w:val="none"/>
        </w:rPr>
        <w:t>按实结算部分：每</w:t>
      </w:r>
      <w:r>
        <w:rPr>
          <w:rFonts w:hint="eastAsia" w:ascii="Times New Roman" w:hAnsi="Times New Roman"/>
          <w:color w:val="000000"/>
          <w:szCs w:val="21"/>
          <w:highlight w:val="none"/>
          <w:u w:val="single"/>
        </w:rPr>
        <w:t>XX</w:t>
      </w:r>
      <w:r>
        <w:rPr>
          <w:rFonts w:ascii="Times New Roman" w:hAnsi="Times New Roman"/>
          <w:i/>
          <w:iCs/>
          <w:szCs w:val="21"/>
          <w:highlight w:val="none"/>
        </w:rPr>
        <w:t>&lt;</w:t>
      </w:r>
      <w:r>
        <w:rPr>
          <w:rFonts w:hint="eastAsia" w:ascii="Times New Roman" w:hAnsi="Times New Roman"/>
          <w:i/>
          <w:iCs/>
          <w:szCs w:val="21"/>
          <w:highlight w:val="none"/>
        </w:rPr>
        <w:t>约定按固定周期支付的（如每季度），</w:t>
      </w:r>
      <w:r>
        <w:rPr>
          <w:rFonts w:ascii="Times New Roman" w:hAnsi="Times New Roman"/>
          <w:i/>
          <w:iCs/>
          <w:szCs w:val="21"/>
          <w:highlight w:val="none"/>
        </w:rPr>
        <w:t>可根据项目具体情况编制</w:t>
      </w:r>
      <w:r>
        <w:rPr>
          <w:rFonts w:hint="eastAsia" w:ascii="Times New Roman" w:hAnsi="Times New Roman"/>
          <w:i/>
          <w:iCs/>
          <w:szCs w:val="21"/>
          <w:highlight w:val="none"/>
        </w:rPr>
        <w:t>本条款</w:t>
      </w:r>
      <w:r>
        <w:rPr>
          <w:rFonts w:ascii="Times New Roman" w:hAnsi="Times New Roman"/>
          <w:i/>
          <w:iCs/>
          <w:szCs w:val="21"/>
          <w:highlight w:val="none"/>
        </w:rPr>
        <w:t>&gt;</w:t>
      </w:r>
      <w:r>
        <w:rPr>
          <w:rFonts w:hint="eastAsia" w:ascii="Times New Roman" w:hAnsi="Times New Roman"/>
          <w:color w:val="000000"/>
          <w:szCs w:val="21"/>
          <w:highlight w:val="none"/>
        </w:rPr>
        <w:t>结算一次费用，结算单价以</w:t>
      </w:r>
      <w:r>
        <w:rPr>
          <w:rFonts w:hint="eastAsia"/>
          <w:szCs w:val="21"/>
          <w:highlight w:val="none"/>
        </w:rPr>
        <w:t>《结算单价清单》</w:t>
      </w:r>
      <w:r>
        <w:rPr>
          <w:rFonts w:hint="eastAsia" w:ascii="Times New Roman" w:hAnsi="Times New Roman"/>
          <w:color w:val="000000"/>
          <w:szCs w:val="21"/>
          <w:highlight w:val="none"/>
        </w:rPr>
        <w:t>为准。</w:t>
      </w:r>
      <w:r>
        <w:rPr>
          <w:rFonts w:hint="eastAsia"/>
          <w:highlight w:val="none"/>
          <w:lang w:bidi="ar"/>
        </w:rPr>
        <w:t>结算前，乙方须向甲方提供结算费用清单进行确认，并在确认后 5 日内按清单金额向甲方提供合法有效票据及其他相关请款资料，甲方接到乙方请款资料后的</w:t>
      </w:r>
      <w:r>
        <w:rPr>
          <w:rFonts w:hint="eastAsia"/>
          <w:highlight w:val="none"/>
          <w:u w:val="single"/>
          <w:lang w:bidi="ar"/>
        </w:rPr>
        <w:t>55</w:t>
      </w:r>
      <w:r>
        <w:rPr>
          <w:rFonts w:hint="eastAsia"/>
          <w:highlight w:val="none"/>
          <w:lang w:bidi="ar"/>
        </w:rPr>
        <w:t>日内，向乙方全额支付上述结算费用。</w:t>
      </w:r>
    </w:p>
    <w:p w14:paraId="5586C7FB">
      <w:pPr>
        <w:pStyle w:val="10"/>
        <w:numPr>
          <w:ilvl w:val="0"/>
          <w:numId w:val="25"/>
        </w:numPr>
        <w:spacing w:after="0" w:line="240" w:lineRule="auto"/>
        <w:ind w:left="227" w:leftChars="0" w:hanging="227"/>
        <w:contextualSpacing/>
        <w:jc w:val="left"/>
        <w:rPr>
          <w:szCs w:val="21"/>
          <w:highlight w:val="none"/>
        </w:rPr>
      </w:pPr>
      <w:r>
        <w:rPr>
          <w:szCs w:val="21"/>
          <w:highlight w:val="none"/>
        </w:rPr>
        <w:t>甲方付款前，乙方需</w:t>
      </w:r>
      <w:r>
        <w:rPr>
          <w:rFonts w:hint="eastAsia"/>
          <w:highlight w:val="none"/>
          <w:lang w:bidi="ar"/>
        </w:rPr>
        <w:t>提供合法有效票据及其他相关请款资料</w:t>
      </w:r>
      <w:r>
        <w:rPr>
          <w:szCs w:val="21"/>
          <w:highlight w:val="none"/>
        </w:rPr>
        <w:t>，否则甲方有权拒绝支付且不承担任何违约责任，且乙方不得因此停止</w:t>
      </w:r>
      <w:r>
        <w:rPr>
          <w:rFonts w:hint="eastAsia"/>
          <w:szCs w:val="21"/>
          <w:highlight w:val="none"/>
        </w:rPr>
        <w:t>服务</w:t>
      </w:r>
      <w:r>
        <w:rPr>
          <w:szCs w:val="21"/>
          <w:highlight w:val="none"/>
        </w:rPr>
        <w:t>。</w:t>
      </w:r>
    </w:p>
    <w:p w14:paraId="2EB2BA75">
      <w:pPr>
        <w:pStyle w:val="10"/>
        <w:numPr>
          <w:ilvl w:val="0"/>
          <w:numId w:val="25"/>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19A7DEEB">
      <w:pPr>
        <w:pStyle w:val="30"/>
        <w:numPr>
          <w:ilvl w:val="0"/>
          <w:numId w:val="20"/>
        </w:numPr>
        <w:ind w:left="0" w:firstLine="0" w:firstLineChars="0"/>
        <w:contextualSpacing/>
        <w:jc w:val="left"/>
        <w:rPr>
          <w:b/>
          <w:szCs w:val="21"/>
          <w:highlight w:val="none"/>
        </w:rPr>
      </w:pPr>
      <w:r>
        <w:rPr>
          <w:b/>
          <w:szCs w:val="21"/>
          <w:highlight w:val="none"/>
        </w:rPr>
        <w:t>双方权利与义务</w:t>
      </w:r>
    </w:p>
    <w:p w14:paraId="581F8AA0">
      <w:pPr>
        <w:pStyle w:val="10"/>
        <w:numPr>
          <w:ilvl w:val="0"/>
          <w:numId w:val="26"/>
        </w:numPr>
        <w:spacing w:after="0" w:line="240" w:lineRule="auto"/>
        <w:ind w:left="227" w:leftChars="0" w:hanging="227"/>
        <w:contextualSpacing/>
        <w:jc w:val="left"/>
        <w:rPr>
          <w:szCs w:val="21"/>
          <w:highlight w:val="none"/>
        </w:rPr>
      </w:pPr>
      <w:r>
        <w:rPr>
          <w:szCs w:val="21"/>
          <w:highlight w:val="none"/>
        </w:rPr>
        <w:t>甲方权利与义务</w:t>
      </w:r>
    </w:p>
    <w:p w14:paraId="4D16113D">
      <w:pPr>
        <w:pStyle w:val="30"/>
        <w:numPr>
          <w:ilvl w:val="0"/>
          <w:numId w:val="27"/>
        </w:numPr>
        <w:adjustRightInd w:val="0"/>
        <w:ind w:left="525" w:hanging="525" w:hangingChars="250"/>
        <w:contextualSpacing/>
        <w:jc w:val="left"/>
        <w:rPr>
          <w:szCs w:val="21"/>
          <w:highlight w:val="none"/>
        </w:rPr>
      </w:pPr>
      <w:r>
        <w:rPr>
          <w:szCs w:val="21"/>
          <w:highlight w:val="none"/>
        </w:rPr>
        <w:t>按合同约定向乙方支付费用。</w:t>
      </w:r>
    </w:p>
    <w:p w14:paraId="62A02753">
      <w:pPr>
        <w:pStyle w:val="30"/>
        <w:numPr>
          <w:ilvl w:val="0"/>
          <w:numId w:val="27"/>
        </w:numPr>
        <w:adjustRightInd w:val="0"/>
        <w:ind w:left="525" w:hanging="525" w:hangingChars="250"/>
        <w:contextualSpacing/>
        <w:jc w:val="left"/>
        <w:rPr>
          <w:szCs w:val="21"/>
          <w:highlight w:val="none"/>
        </w:rPr>
      </w:pPr>
      <w:r>
        <w:rPr>
          <w:szCs w:val="21"/>
          <w:highlight w:val="none"/>
        </w:rPr>
        <w:t>保证乙方实施服务所必须的外部条件如电源、水源的正常供应及开启、关闭等。</w:t>
      </w:r>
    </w:p>
    <w:p w14:paraId="35119703">
      <w:pPr>
        <w:pStyle w:val="30"/>
        <w:numPr>
          <w:ilvl w:val="0"/>
          <w:numId w:val="27"/>
        </w:numPr>
        <w:adjustRightInd w:val="0"/>
        <w:ind w:left="525" w:hanging="525" w:hangingChars="250"/>
        <w:contextualSpacing/>
        <w:jc w:val="left"/>
        <w:rPr>
          <w:szCs w:val="21"/>
          <w:highlight w:val="none"/>
        </w:rPr>
      </w:pPr>
      <w:r>
        <w:rPr>
          <w:szCs w:val="21"/>
          <w:highlight w:val="none"/>
        </w:rPr>
        <w:t>对于乙方在提供</w:t>
      </w:r>
      <w:r>
        <w:rPr>
          <w:rFonts w:hint="eastAsia"/>
          <w:szCs w:val="21"/>
          <w:highlight w:val="none"/>
        </w:rPr>
        <w:t>服务</w:t>
      </w:r>
      <w:r>
        <w:rPr>
          <w:szCs w:val="21"/>
          <w:highlight w:val="none"/>
        </w:rPr>
        <w:t>期间所提供的信息，甲方应予保密，未经乙方书面同意，甲方不得擅自使用或透露给第三方。</w:t>
      </w:r>
    </w:p>
    <w:p w14:paraId="7EDB0B3A">
      <w:pPr>
        <w:pStyle w:val="30"/>
        <w:numPr>
          <w:ilvl w:val="0"/>
          <w:numId w:val="27"/>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344AB8AA">
      <w:pPr>
        <w:pStyle w:val="10"/>
        <w:numPr>
          <w:ilvl w:val="0"/>
          <w:numId w:val="26"/>
        </w:numPr>
        <w:spacing w:after="0" w:line="240" w:lineRule="auto"/>
        <w:ind w:left="227" w:leftChars="0" w:hanging="227"/>
        <w:contextualSpacing/>
        <w:jc w:val="left"/>
        <w:rPr>
          <w:szCs w:val="21"/>
          <w:highlight w:val="none"/>
        </w:rPr>
      </w:pPr>
      <w:r>
        <w:rPr>
          <w:szCs w:val="21"/>
          <w:highlight w:val="none"/>
        </w:rPr>
        <w:t>乙方权利与义务</w:t>
      </w:r>
    </w:p>
    <w:p w14:paraId="319B30B1">
      <w:pPr>
        <w:pStyle w:val="10"/>
        <w:numPr>
          <w:ilvl w:val="0"/>
          <w:numId w:val="28"/>
        </w:numPr>
        <w:spacing w:after="0" w:line="240" w:lineRule="auto"/>
        <w:ind w:left="525" w:leftChars="0" w:hanging="525" w:hangingChars="250"/>
        <w:contextualSpacing/>
        <w:jc w:val="left"/>
        <w:rPr>
          <w:szCs w:val="21"/>
          <w:highlight w:val="none"/>
        </w:rPr>
      </w:pPr>
      <w:r>
        <w:rPr>
          <w:szCs w:val="21"/>
          <w:highlight w:val="none"/>
        </w:rPr>
        <w:t>按本合同约定向甲方提供服务</w:t>
      </w:r>
      <w:r>
        <w:rPr>
          <w:rFonts w:hint="eastAsia"/>
          <w:szCs w:val="21"/>
          <w:highlight w:val="none"/>
        </w:rPr>
        <w:t>。</w:t>
      </w:r>
    </w:p>
    <w:p w14:paraId="29A7D576">
      <w:pPr>
        <w:pStyle w:val="10"/>
        <w:numPr>
          <w:ilvl w:val="0"/>
          <w:numId w:val="28"/>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26B4DD92">
      <w:pPr>
        <w:pStyle w:val="10"/>
        <w:numPr>
          <w:ilvl w:val="0"/>
          <w:numId w:val="28"/>
        </w:numPr>
        <w:spacing w:after="0" w:line="240" w:lineRule="auto"/>
        <w:ind w:left="525" w:leftChars="0" w:hanging="525" w:hangingChars="250"/>
        <w:contextualSpacing/>
        <w:jc w:val="left"/>
        <w:rPr>
          <w:szCs w:val="21"/>
          <w:highlight w:val="none"/>
        </w:rPr>
      </w:pPr>
      <w:r>
        <w:rPr>
          <w:rFonts w:hint="eastAsia"/>
          <w:szCs w:val="21"/>
          <w:highlight w:val="none"/>
        </w:rPr>
        <w:t>如服务涉及更换备品备件、材料等，</w:t>
      </w:r>
      <w:r>
        <w:rPr>
          <w:szCs w:val="21"/>
          <w:highlight w:val="none"/>
        </w:rPr>
        <w:t>乙方应保证服务中更换的</w:t>
      </w:r>
      <w:r>
        <w:rPr>
          <w:rFonts w:hint="eastAsia"/>
          <w:szCs w:val="21"/>
          <w:highlight w:val="none"/>
        </w:rPr>
        <w:t>备品</w:t>
      </w:r>
      <w:r>
        <w:rPr>
          <w:szCs w:val="21"/>
          <w:highlight w:val="none"/>
        </w:rPr>
        <w:t>备件、材料</w:t>
      </w:r>
      <w:r>
        <w:rPr>
          <w:rFonts w:hint="eastAsia"/>
          <w:szCs w:val="21"/>
          <w:highlight w:val="none"/>
        </w:rPr>
        <w:t>达到本项目采购文件及乙方响应文件中的技术要求和质量标准，</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03A4EB61">
      <w:pPr>
        <w:pStyle w:val="10"/>
        <w:numPr>
          <w:ilvl w:val="0"/>
          <w:numId w:val="28"/>
        </w:numPr>
        <w:spacing w:after="0" w:line="240" w:lineRule="auto"/>
        <w:ind w:left="525" w:leftChars="0" w:hanging="525" w:hangingChars="250"/>
        <w:contextualSpacing/>
        <w:jc w:val="left"/>
        <w:rPr>
          <w:szCs w:val="21"/>
          <w:highlight w:val="none"/>
        </w:rPr>
      </w:pPr>
      <w:r>
        <w:rPr>
          <w:szCs w:val="21"/>
          <w:highlight w:val="none"/>
        </w:rPr>
        <w:t>如服务涉及计算机软件产品的，乙方须承诺在服务中设备安装的软件已获得软件厂商的正规授权。</w:t>
      </w:r>
    </w:p>
    <w:p w14:paraId="68E6AAB3">
      <w:pPr>
        <w:pStyle w:val="10"/>
        <w:numPr>
          <w:ilvl w:val="0"/>
          <w:numId w:val="28"/>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742F7349">
      <w:pPr>
        <w:pStyle w:val="30"/>
        <w:numPr>
          <w:ilvl w:val="0"/>
          <w:numId w:val="20"/>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5B66A4B0">
      <w:pPr>
        <w:pStyle w:val="10"/>
        <w:numPr>
          <w:ilvl w:val="0"/>
          <w:numId w:val="29"/>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rFonts w:hint="eastAsia"/>
          <w:szCs w:val="21"/>
          <w:highlight w:val="none"/>
          <w:u w:val="single"/>
          <w:lang w:val="en-US" w:eastAsia="zh-CN"/>
        </w:rPr>
        <w:t xml:space="preserve">  </w:t>
      </w:r>
      <w:r>
        <w:rPr>
          <w:szCs w:val="21"/>
          <w:highlight w:val="none"/>
          <w:u w:val="single"/>
        </w:rPr>
        <w:t>%</w:t>
      </w:r>
      <w:r>
        <w:rPr>
          <w:rFonts w:hint="eastAsia"/>
          <w:szCs w:val="21"/>
          <w:highlight w:val="none"/>
        </w:rPr>
        <w:t>作为</w:t>
      </w:r>
      <w:r>
        <w:rPr>
          <w:szCs w:val="21"/>
          <w:highlight w:val="none"/>
        </w:rPr>
        <w:t>违约金。</w:t>
      </w:r>
    </w:p>
    <w:p w14:paraId="0BC8E6CE">
      <w:pPr>
        <w:pStyle w:val="30"/>
        <w:numPr>
          <w:ilvl w:val="0"/>
          <w:numId w:val="29"/>
        </w:numPr>
        <w:ind w:left="0" w:firstLine="0" w:firstLineChars="0"/>
        <w:rPr>
          <w:szCs w:val="21"/>
          <w:highlight w:val="none"/>
        </w:rPr>
      </w:pPr>
      <w:r>
        <w:rPr>
          <w:szCs w:val="21"/>
          <w:highlight w:val="none"/>
        </w:rPr>
        <w:t>乙方违约责任：</w:t>
      </w:r>
    </w:p>
    <w:p w14:paraId="354B31C5">
      <w:pPr>
        <w:pStyle w:val="10"/>
        <w:numPr>
          <w:ilvl w:val="0"/>
          <w:numId w:val="30"/>
        </w:numPr>
        <w:spacing w:after="0" w:line="240" w:lineRule="auto"/>
        <w:ind w:left="525" w:leftChars="0" w:hanging="525" w:hangingChars="250"/>
        <w:contextualSpacing/>
        <w:jc w:val="left"/>
        <w:rPr>
          <w:szCs w:val="21"/>
          <w:highlight w:val="none"/>
        </w:rPr>
      </w:pPr>
      <w:bookmarkStart w:id="101" w:name="OLE_LINK18"/>
      <w:bookmarkStart w:id="102" w:name="OLE_LINK17"/>
      <w:r>
        <w:rPr>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r>
        <w:rPr>
          <w:rFonts w:hint="eastAsia" w:ascii="宋体" w:hAnsi="宋体" w:eastAsia="宋体" w:cs="宋体"/>
          <w:szCs w:val="21"/>
          <w:highlight w:val="none"/>
        </w:rPr>
        <w:t>乙方应赔偿由此给甲方造成的实际损失并向甲方支付合同总额10%的违约金。</w:t>
      </w:r>
    </w:p>
    <w:p w14:paraId="20C1309B">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因乙方在服务中更换的</w:t>
      </w:r>
      <w:r>
        <w:rPr>
          <w:rFonts w:hint="eastAsia"/>
          <w:szCs w:val="21"/>
          <w:highlight w:val="none"/>
        </w:rPr>
        <w:t>备品</w:t>
      </w:r>
      <w:r>
        <w:rPr>
          <w:szCs w:val="21"/>
          <w:highlight w:val="none"/>
        </w:rPr>
        <w:t>备件</w:t>
      </w:r>
      <w:r>
        <w:rPr>
          <w:rFonts w:hint="eastAsia"/>
          <w:szCs w:val="21"/>
          <w:highlight w:val="none"/>
        </w:rPr>
        <w:t>或原</w:t>
      </w:r>
      <w:r>
        <w:rPr>
          <w:szCs w:val="21"/>
          <w:highlight w:val="none"/>
        </w:rPr>
        <w:t>材料在质保期内并在正常使用情况下出现质量原因导致甲方或第三方财产或人身损害的，由乙方承担赔偿责任。</w:t>
      </w:r>
      <w:r>
        <w:rPr>
          <w:rFonts w:hint="eastAsia" w:ascii="宋体" w:hAnsi="宋体" w:eastAsia="宋体" w:cs="宋体"/>
          <w:szCs w:val="21"/>
          <w:highlight w:val="none"/>
        </w:rPr>
        <w:t>乙方应赔偿由此给甲方造成的实际损失并向甲方支付合同总额10%的违约金。</w:t>
      </w:r>
    </w:p>
    <w:p w14:paraId="2E725C36">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r>
        <w:rPr>
          <w:rFonts w:hint="eastAsia" w:ascii="宋体" w:hAnsi="宋体" w:eastAsia="宋体" w:cs="宋体"/>
          <w:szCs w:val="21"/>
          <w:highlight w:val="none"/>
        </w:rPr>
        <w:t>乙方应赔偿由此给甲方造成的实际损失并向甲方支付合同总额10%的违约金。</w:t>
      </w:r>
    </w:p>
    <w:p w14:paraId="74485C68">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在本合同履行中，</w:t>
      </w:r>
      <w:r>
        <w:rPr>
          <w:rFonts w:hint="eastAsia"/>
          <w:szCs w:val="21"/>
          <w:highlight w:val="none"/>
        </w:rPr>
        <w:t>如</w:t>
      </w:r>
      <w:r>
        <w:rPr>
          <w:szCs w:val="21"/>
          <w:highlight w:val="none"/>
        </w:rPr>
        <w:t>乙方</w:t>
      </w:r>
      <w:r>
        <w:rPr>
          <w:rFonts w:hint="eastAsia"/>
          <w:szCs w:val="21"/>
          <w:highlight w:val="none"/>
        </w:rPr>
        <w:t>未按本合同约定及时向甲方提供服务</w:t>
      </w:r>
      <w:r>
        <w:rPr>
          <w:szCs w:val="21"/>
          <w:highlight w:val="none"/>
        </w:rPr>
        <w:t>，每发生一次，乙方应按</w:t>
      </w:r>
      <w:r>
        <w:rPr>
          <w:rFonts w:hint="eastAsia"/>
          <w:szCs w:val="21"/>
          <w:highlight w:val="none"/>
          <w:u w:val="single"/>
        </w:rPr>
        <w:t>合同总金额</w:t>
      </w:r>
      <w:r>
        <w:rPr>
          <w:szCs w:val="21"/>
          <w:highlight w:val="none"/>
        </w:rPr>
        <w:t>的</w:t>
      </w:r>
      <w:r>
        <w:rPr>
          <w:rFonts w:hint="eastAsia"/>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170DE4FD">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支付</w:t>
      </w:r>
      <w:r>
        <w:rPr>
          <w:szCs w:val="21"/>
          <w:highlight w:val="none"/>
        </w:rPr>
        <w:t>违约金。</w:t>
      </w:r>
    </w:p>
    <w:p w14:paraId="0B168445">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u w:val="single"/>
        </w:rPr>
        <w:t>合同总金额</w:t>
      </w:r>
      <w:r>
        <w:rPr>
          <w:rFonts w:hint="eastAsia"/>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作为</w:t>
      </w:r>
      <w:r>
        <w:rPr>
          <w:szCs w:val="21"/>
          <w:highlight w:val="none"/>
        </w:rPr>
        <w:t>违约金。</w:t>
      </w:r>
    </w:p>
    <w:bookmarkEnd w:id="101"/>
    <w:bookmarkEnd w:id="102"/>
    <w:p w14:paraId="79DD140B">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3156E70D">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10"/>
        <w:numPr>
          <w:ilvl w:val="0"/>
          <w:numId w:val="30"/>
        </w:numPr>
        <w:snapToGrid w:val="0"/>
        <w:spacing w:after="0" w:line="240" w:lineRule="auto"/>
        <w:ind w:left="525" w:leftChars="0" w:hanging="525" w:hangingChars="250"/>
        <w:contextualSpacing/>
        <w:jc w:val="left"/>
        <w:rPr>
          <w:szCs w:val="21"/>
          <w:highlight w:val="none"/>
        </w:rPr>
      </w:pPr>
      <w:r>
        <w:rPr>
          <w:szCs w:val="21"/>
          <w:highlight w:val="none"/>
        </w:rPr>
        <w:t>如本</w:t>
      </w:r>
      <w:r>
        <w:rPr>
          <w:rFonts w:ascii="宋体" w:hAnsi="宋体" w:cs="微软雅黑"/>
          <w:szCs w:val="21"/>
          <w:highlight w:val="none"/>
        </w:rPr>
        <w:t>合同</w:t>
      </w:r>
      <w:r>
        <w:rPr>
          <w:rFonts w:hint="cs" w:ascii="宋体" w:hAnsi="宋体"/>
          <w:szCs w:val="21"/>
          <w:highlight w:val="none"/>
        </w:rPr>
        <w:t>要</w:t>
      </w:r>
      <w:r>
        <w:rPr>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10"/>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54D0209">
      <w:pPr>
        <w:pStyle w:val="30"/>
        <w:numPr>
          <w:ilvl w:val="0"/>
          <w:numId w:val="20"/>
        </w:numPr>
        <w:ind w:left="0" w:firstLine="0" w:firstLineChars="0"/>
        <w:contextualSpacing/>
        <w:jc w:val="left"/>
        <w:rPr>
          <w:b/>
          <w:szCs w:val="21"/>
          <w:highlight w:val="none"/>
        </w:rPr>
      </w:pPr>
      <w:r>
        <w:rPr>
          <w:b/>
          <w:szCs w:val="21"/>
          <w:highlight w:val="none"/>
        </w:rPr>
        <w:t>不可抗力</w:t>
      </w:r>
    </w:p>
    <w:p w14:paraId="26541785">
      <w:pPr>
        <w:pStyle w:val="30"/>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rPr>
        <w:t>日</w:t>
      </w:r>
      <w:r>
        <w:rPr>
          <w:bCs/>
          <w:szCs w:val="21"/>
          <w:highlight w:val="none"/>
        </w:rPr>
        <w:t>，甲方有权解除合同，双方互不承担违约责任。</w:t>
      </w:r>
    </w:p>
    <w:p w14:paraId="031713B9">
      <w:pPr>
        <w:pStyle w:val="30"/>
        <w:numPr>
          <w:ilvl w:val="0"/>
          <w:numId w:val="20"/>
        </w:numPr>
        <w:ind w:left="0" w:firstLine="0" w:firstLineChars="0"/>
        <w:contextualSpacing/>
        <w:jc w:val="left"/>
        <w:rPr>
          <w:b/>
          <w:szCs w:val="21"/>
          <w:highlight w:val="none"/>
        </w:rPr>
      </w:pPr>
      <w:r>
        <w:rPr>
          <w:b/>
          <w:szCs w:val="21"/>
          <w:highlight w:val="none"/>
        </w:rPr>
        <w:t>合同终止及解除</w:t>
      </w:r>
    </w:p>
    <w:p w14:paraId="275C61D9">
      <w:pPr>
        <w:pStyle w:val="30"/>
        <w:numPr>
          <w:ilvl w:val="0"/>
          <w:numId w:val="31"/>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0"/>
        <w:numPr>
          <w:ilvl w:val="0"/>
          <w:numId w:val="31"/>
        </w:numPr>
        <w:ind w:left="0" w:firstLine="0" w:firstLineChars="0"/>
        <w:rPr>
          <w:szCs w:val="21"/>
          <w:highlight w:val="none"/>
        </w:rPr>
      </w:pPr>
      <w:r>
        <w:rPr>
          <w:szCs w:val="21"/>
          <w:highlight w:val="none"/>
        </w:rPr>
        <w:t>在甲、乙任何一方有严重违约行为时，另一方有权单方解除合同。</w:t>
      </w:r>
    </w:p>
    <w:p w14:paraId="2BA7B89E">
      <w:pPr>
        <w:pStyle w:val="30"/>
        <w:numPr>
          <w:ilvl w:val="0"/>
          <w:numId w:val="20"/>
        </w:numPr>
        <w:ind w:left="0" w:firstLine="0" w:firstLineChars="0"/>
        <w:contextualSpacing/>
        <w:jc w:val="left"/>
        <w:rPr>
          <w:b/>
          <w:szCs w:val="21"/>
          <w:highlight w:val="none"/>
        </w:rPr>
      </w:pPr>
      <w:r>
        <w:rPr>
          <w:b/>
          <w:szCs w:val="21"/>
          <w:highlight w:val="none"/>
        </w:rPr>
        <w:t>争议解决办法</w:t>
      </w:r>
    </w:p>
    <w:p w14:paraId="5C6244A3">
      <w:pPr>
        <w:pStyle w:val="30"/>
        <w:numPr>
          <w:ilvl w:val="0"/>
          <w:numId w:val="32"/>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30"/>
        <w:numPr>
          <w:ilvl w:val="0"/>
          <w:numId w:val="32"/>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533F8595">
      <w:pPr>
        <w:pStyle w:val="30"/>
        <w:numPr>
          <w:ilvl w:val="0"/>
          <w:numId w:val="20"/>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46F487CF">
      <w:pPr>
        <w:pStyle w:val="35"/>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2E0AF282">
      <w:pPr>
        <w:pStyle w:val="35"/>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750624B0">
      <w:pPr>
        <w:pStyle w:val="35"/>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0"/>
        <w:numPr>
          <w:ilvl w:val="0"/>
          <w:numId w:val="20"/>
        </w:numPr>
        <w:ind w:left="0" w:firstLine="0" w:firstLineChars="0"/>
        <w:contextualSpacing/>
        <w:jc w:val="left"/>
        <w:rPr>
          <w:b/>
          <w:szCs w:val="21"/>
          <w:highlight w:val="none"/>
        </w:rPr>
      </w:pPr>
      <w:r>
        <w:rPr>
          <w:b/>
          <w:szCs w:val="21"/>
          <w:highlight w:val="none"/>
        </w:rPr>
        <w:t>其他</w:t>
      </w:r>
    </w:p>
    <w:p w14:paraId="162904B6">
      <w:pPr>
        <w:pStyle w:val="30"/>
        <w:numPr>
          <w:ilvl w:val="0"/>
          <w:numId w:val="34"/>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3EA6778F">
      <w:pPr>
        <w:pStyle w:val="30"/>
        <w:numPr>
          <w:ilvl w:val="0"/>
          <w:numId w:val="34"/>
        </w:numPr>
        <w:ind w:left="0" w:firstLine="0" w:firstLineChars="0"/>
        <w:rPr>
          <w:szCs w:val="21"/>
          <w:highlight w:val="none"/>
        </w:rPr>
      </w:pPr>
      <w:r>
        <w:rPr>
          <w:szCs w:val="21"/>
          <w:highlight w:val="none"/>
        </w:rPr>
        <w:t>本合同一式四份，自双方</w:t>
      </w:r>
      <w:r>
        <w:rPr>
          <w:rFonts w:hint="eastAsia"/>
          <w:szCs w:val="21"/>
          <w:highlight w:val="none"/>
        </w:rPr>
        <w:t>签字且盖章之</w:t>
      </w:r>
      <w:r>
        <w:rPr>
          <w:szCs w:val="21"/>
          <w:highlight w:val="none"/>
        </w:rPr>
        <w:t>日起生效。甲方三份，乙方一份。</w:t>
      </w:r>
    </w:p>
    <w:p w14:paraId="134580B1">
      <w:pPr>
        <w:pStyle w:val="30"/>
        <w:numPr>
          <w:ilvl w:val="0"/>
          <w:numId w:val="20"/>
        </w:numPr>
        <w:ind w:left="0" w:firstLine="0" w:firstLineChars="0"/>
        <w:contextualSpacing/>
        <w:jc w:val="left"/>
        <w:rPr>
          <w:b/>
          <w:szCs w:val="21"/>
          <w:highlight w:val="none"/>
        </w:rPr>
      </w:pPr>
      <w:r>
        <w:rPr>
          <w:b/>
          <w:szCs w:val="21"/>
          <w:highlight w:val="none"/>
        </w:rPr>
        <w:t>合同附件</w:t>
      </w:r>
    </w:p>
    <w:p w14:paraId="6C66D4AC">
      <w:pP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3FF9CA8A">
      <w:pPr>
        <w:jc w:val="left"/>
        <w:outlineLvl w:val="0"/>
        <w:rPr>
          <w:szCs w:val="21"/>
          <w:highlight w:val="none"/>
        </w:rPr>
      </w:pPr>
      <w:r>
        <w:rPr>
          <w:rFonts w:hint="eastAsia"/>
          <w:szCs w:val="21"/>
          <w:highlight w:val="none"/>
        </w:rPr>
        <w:t>附件1《</w:t>
      </w:r>
      <w:bookmarkStart w:id="103" w:name="OLE_LINK32"/>
      <w:r>
        <w:rPr>
          <w:rFonts w:hint="eastAsia"/>
          <w:szCs w:val="21"/>
          <w:highlight w:val="none"/>
        </w:rPr>
        <w:t>结算单价清单</w:t>
      </w:r>
      <w:bookmarkEnd w:id="103"/>
      <w:r>
        <w:rPr>
          <w:rFonts w:hint="eastAsia"/>
          <w:szCs w:val="21"/>
          <w:highlight w:val="none"/>
        </w:rPr>
        <w:t>》</w:t>
      </w:r>
    </w:p>
    <w:p w14:paraId="6CDBD3F1">
      <w:pPr>
        <w:jc w:val="left"/>
        <w:outlineLvl w:val="0"/>
        <w:rPr>
          <w:szCs w:val="21"/>
          <w:highlight w:val="none"/>
        </w:rPr>
      </w:pPr>
      <w:r>
        <w:rPr>
          <w:rFonts w:hint="eastAsia"/>
          <w:szCs w:val="21"/>
          <w:highlight w:val="none"/>
        </w:rPr>
        <w:t>附件2《考核标准》</w:t>
      </w:r>
    </w:p>
    <w:p w14:paraId="485EAD27">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73257A85">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9"/>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highlight w:val="none"/>
              </w:rPr>
            </w:pPr>
            <w:r>
              <w:rPr>
                <w:szCs w:val="21"/>
                <w:highlight w:val="none"/>
              </w:rPr>
              <w:t>签订时间：</w:t>
            </w:r>
            <w:r>
              <w:rPr>
                <w:highlight w:val="none"/>
              </w:rPr>
              <w:t>202*</w:t>
            </w:r>
            <w:r>
              <w:rPr>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highlight w:val="none"/>
              </w:rPr>
            </w:pPr>
            <w:r>
              <w:rPr>
                <w:szCs w:val="21"/>
                <w:highlight w:val="none"/>
              </w:rPr>
              <w:t>甲方：四川省人民医院（盖章）</w:t>
            </w:r>
          </w:p>
          <w:p w14:paraId="1BF2641A">
            <w:pPr>
              <w:rPr>
                <w:szCs w:val="21"/>
                <w:highlight w:val="none"/>
              </w:rPr>
            </w:pPr>
            <w:r>
              <w:rPr>
                <w:szCs w:val="21"/>
                <w:highlight w:val="none"/>
              </w:rPr>
              <w:t>法定代表人（授权代表签字）：</w:t>
            </w:r>
          </w:p>
          <w:p w14:paraId="3CF6E833">
            <w:pPr>
              <w:rPr>
                <w:szCs w:val="21"/>
                <w:highlight w:val="none"/>
              </w:rPr>
            </w:pPr>
            <w:r>
              <w:rPr>
                <w:szCs w:val="21"/>
                <w:highlight w:val="none"/>
              </w:rPr>
              <w:t>地    址：四川省成都市一环路西二段32号</w:t>
            </w:r>
          </w:p>
          <w:p w14:paraId="6736D38D">
            <w:pPr>
              <w:rPr>
                <w:szCs w:val="21"/>
                <w:highlight w:val="none"/>
              </w:rPr>
            </w:pPr>
            <w:r>
              <w:rPr>
                <w:szCs w:val="21"/>
                <w:highlight w:val="none"/>
              </w:rPr>
              <w:t>开户银行：建设银行成都青羊支行</w:t>
            </w:r>
          </w:p>
          <w:p w14:paraId="3D5EBF0F">
            <w:pPr>
              <w:rPr>
                <w:szCs w:val="21"/>
                <w:highlight w:val="none"/>
              </w:rPr>
            </w:pPr>
            <w:r>
              <w:rPr>
                <w:szCs w:val="21"/>
                <w:highlight w:val="none"/>
              </w:rPr>
              <w:t>账号：5100 1446 4360 5037 4282</w:t>
            </w:r>
          </w:p>
        </w:tc>
        <w:tc>
          <w:tcPr>
            <w:tcW w:w="5247" w:type="dxa"/>
          </w:tcPr>
          <w:p w14:paraId="76D47F6F">
            <w:pPr>
              <w:rPr>
                <w:szCs w:val="21"/>
                <w:highlight w:val="none"/>
              </w:rPr>
            </w:pPr>
            <w:r>
              <w:rPr>
                <w:szCs w:val="21"/>
                <w:highlight w:val="none"/>
              </w:rPr>
              <w:t>乙方：</w:t>
            </w:r>
            <w:permStart w:id="2" w:edGrp="everyone"/>
            <w:r>
              <w:rPr>
                <w:szCs w:val="21"/>
                <w:highlight w:val="none"/>
              </w:rPr>
              <w:t>***</w:t>
            </w:r>
            <w:permEnd w:id="2"/>
            <w:r>
              <w:rPr>
                <w:szCs w:val="21"/>
                <w:highlight w:val="none"/>
              </w:rPr>
              <w:t>（盖章）</w:t>
            </w:r>
          </w:p>
          <w:p w14:paraId="5129AF1F">
            <w:pPr>
              <w:rPr>
                <w:szCs w:val="21"/>
                <w:highlight w:val="none"/>
              </w:rPr>
            </w:pPr>
            <w:r>
              <w:rPr>
                <w:szCs w:val="21"/>
                <w:highlight w:val="none"/>
              </w:rPr>
              <w:t>法定代表人（授权代表签字）：</w:t>
            </w:r>
          </w:p>
          <w:p w14:paraId="47302462">
            <w:pPr>
              <w:rPr>
                <w:szCs w:val="21"/>
                <w:highlight w:val="none"/>
              </w:rPr>
            </w:pPr>
            <w:r>
              <w:rPr>
                <w:szCs w:val="21"/>
                <w:highlight w:val="none"/>
              </w:rPr>
              <w:t>地址：</w:t>
            </w:r>
            <w:permStart w:id="3" w:edGrp="everyone"/>
            <w:r>
              <w:rPr>
                <w:szCs w:val="21"/>
                <w:highlight w:val="none"/>
              </w:rPr>
              <w:t>***</w:t>
            </w:r>
            <w:permEnd w:id="3"/>
          </w:p>
          <w:p w14:paraId="1CF0A190">
            <w:pPr>
              <w:rPr>
                <w:szCs w:val="21"/>
                <w:highlight w:val="none"/>
              </w:rPr>
            </w:pPr>
            <w:r>
              <w:rPr>
                <w:szCs w:val="21"/>
                <w:highlight w:val="none"/>
              </w:rPr>
              <w:t>开户银行：</w:t>
            </w:r>
            <w:permStart w:id="4" w:edGrp="everyone"/>
            <w:r>
              <w:rPr>
                <w:szCs w:val="21"/>
                <w:highlight w:val="none"/>
              </w:rPr>
              <w:t>***</w:t>
            </w:r>
          </w:p>
          <w:permEnd w:id="4"/>
          <w:p w14:paraId="5672E29C">
            <w:pPr>
              <w:widowControl/>
              <w:jc w:val="left"/>
              <w:rPr>
                <w:highlight w:val="none"/>
              </w:rPr>
            </w:pPr>
            <w:r>
              <w:rPr>
                <w:szCs w:val="21"/>
                <w:highlight w:val="none"/>
              </w:rPr>
              <w:t>账号：</w:t>
            </w:r>
            <w:permStart w:id="5" w:edGrp="everyone"/>
            <w:r>
              <w:rPr>
                <w:szCs w:val="21"/>
                <w:highlight w:val="none"/>
              </w:rPr>
              <w:t>***</w:t>
            </w:r>
            <w:permEnd w:id="5"/>
          </w:p>
        </w:tc>
      </w:tr>
    </w:tbl>
    <w:p w14:paraId="1A128CAE">
      <w:pPr>
        <w:widowControl/>
        <w:jc w:val="left"/>
        <w:rPr>
          <w:szCs w:val="21"/>
          <w:highlight w:val="none"/>
        </w:rPr>
        <w:sectPr>
          <w:type w:val="continuous"/>
          <w:pgSz w:w="11906" w:h="16838"/>
          <w:pgMar w:top="851" w:right="1134" w:bottom="851" w:left="1134" w:header="0" w:footer="567" w:gutter="0"/>
          <w:pgNumType w:fmt="decimal"/>
          <w:cols w:space="425" w:num="1"/>
          <w:docGrid w:linePitch="312" w:charSpace="0"/>
        </w:sectPr>
      </w:pPr>
    </w:p>
    <w:p w14:paraId="7B4B943E">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1D831279">
      <w:pPr>
        <w:widowControl/>
        <w:jc w:val="left"/>
        <w:rPr>
          <w:szCs w:val="21"/>
          <w:highlight w:val="none"/>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highlight w:val="none"/>
              </w:rPr>
            </w:pPr>
            <w:r>
              <w:rPr>
                <w:rFonts w:hint="eastAsia"/>
                <w:b/>
                <w:bCs/>
                <w:szCs w:val="21"/>
                <w:highlight w:val="none"/>
              </w:rPr>
              <w:t>序号</w:t>
            </w:r>
          </w:p>
        </w:tc>
        <w:tc>
          <w:tcPr>
            <w:tcW w:w="3686" w:type="dxa"/>
            <w:vAlign w:val="center"/>
          </w:tcPr>
          <w:p w14:paraId="6C23FD50">
            <w:pPr>
              <w:widowControl/>
              <w:jc w:val="center"/>
              <w:rPr>
                <w:b/>
                <w:bCs/>
                <w:szCs w:val="21"/>
                <w:highlight w:val="none"/>
              </w:rPr>
            </w:pPr>
            <w:r>
              <w:rPr>
                <w:rFonts w:hint="eastAsia"/>
                <w:b/>
                <w:bCs/>
                <w:szCs w:val="21"/>
                <w:highlight w:val="none"/>
              </w:rPr>
              <w:t>结算项目名称</w:t>
            </w:r>
          </w:p>
        </w:tc>
        <w:tc>
          <w:tcPr>
            <w:tcW w:w="3402" w:type="dxa"/>
            <w:vAlign w:val="center"/>
          </w:tcPr>
          <w:p w14:paraId="3BB9E943">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66368B46">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5589F7C3">
            <w:pPr>
              <w:widowControl/>
              <w:jc w:val="center"/>
              <w:rPr>
                <w:b/>
                <w:bCs/>
                <w:szCs w:val="21"/>
                <w:highlight w:val="none"/>
              </w:rPr>
            </w:pPr>
            <w:r>
              <w:rPr>
                <w:rFonts w:hint="eastAsia"/>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highlight w:val="none"/>
              </w:rPr>
            </w:pPr>
            <w:r>
              <w:rPr>
                <w:rFonts w:hint="eastAsia"/>
                <w:szCs w:val="21"/>
                <w:highlight w:val="none"/>
              </w:rPr>
              <w:t>1</w:t>
            </w:r>
          </w:p>
        </w:tc>
        <w:tc>
          <w:tcPr>
            <w:tcW w:w="3686" w:type="dxa"/>
            <w:vAlign w:val="center"/>
          </w:tcPr>
          <w:p w14:paraId="4A635D96">
            <w:pPr>
              <w:widowControl/>
              <w:jc w:val="left"/>
              <w:rPr>
                <w:szCs w:val="21"/>
                <w:highlight w:val="none"/>
              </w:rPr>
            </w:pPr>
          </w:p>
        </w:tc>
        <w:tc>
          <w:tcPr>
            <w:tcW w:w="3402" w:type="dxa"/>
            <w:vAlign w:val="center"/>
          </w:tcPr>
          <w:p w14:paraId="610A0DF8">
            <w:pPr>
              <w:widowControl/>
              <w:jc w:val="left"/>
              <w:rPr>
                <w:szCs w:val="21"/>
                <w:highlight w:val="none"/>
              </w:rPr>
            </w:pPr>
          </w:p>
        </w:tc>
        <w:tc>
          <w:tcPr>
            <w:tcW w:w="992" w:type="dxa"/>
            <w:vAlign w:val="center"/>
          </w:tcPr>
          <w:p w14:paraId="59C6D210">
            <w:pPr>
              <w:widowControl/>
              <w:jc w:val="center"/>
              <w:rPr>
                <w:szCs w:val="21"/>
                <w:highlight w:val="none"/>
              </w:rPr>
            </w:pPr>
          </w:p>
        </w:tc>
        <w:tc>
          <w:tcPr>
            <w:tcW w:w="986" w:type="dxa"/>
            <w:vAlign w:val="center"/>
          </w:tcPr>
          <w:p w14:paraId="3B758A07">
            <w:pPr>
              <w:widowControl/>
              <w:jc w:val="center"/>
              <w:rPr>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highlight w:val="none"/>
              </w:rPr>
            </w:pPr>
            <w:r>
              <w:rPr>
                <w:rFonts w:hint="eastAsia"/>
                <w:szCs w:val="21"/>
                <w:highlight w:val="none"/>
              </w:rPr>
              <w:t>2</w:t>
            </w:r>
          </w:p>
        </w:tc>
        <w:tc>
          <w:tcPr>
            <w:tcW w:w="3686" w:type="dxa"/>
            <w:vAlign w:val="center"/>
          </w:tcPr>
          <w:p w14:paraId="2C25F4E1">
            <w:pPr>
              <w:widowControl/>
              <w:jc w:val="left"/>
              <w:rPr>
                <w:szCs w:val="21"/>
                <w:highlight w:val="none"/>
              </w:rPr>
            </w:pPr>
          </w:p>
        </w:tc>
        <w:tc>
          <w:tcPr>
            <w:tcW w:w="3402" w:type="dxa"/>
            <w:vAlign w:val="center"/>
          </w:tcPr>
          <w:p w14:paraId="473015E2">
            <w:pPr>
              <w:widowControl/>
              <w:jc w:val="left"/>
              <w:rPr>
                <w:szCs w:val="21"/>
                <w:highlight w:val="none"/>
              </w:rPr>
            </w:pPr>
          </w:p>
        </w:tc>
        <w:tc>
          <w:tcPr>
            <w:tcW w:w="992" w:type="dxa"/>
            <w:vAlign w:val="center"/>
          </w:tcPr>
          <w:p w14:paraId="1AC45725">
            <w:pPr>
              <w:widowControl/>
              <w:jc w:val="center"/>
              <w:rPr>
                <w:szCs w:val="21"/>
                <w:highlight w:val="none"/>
              </w:rPr>
            </w:pPr>
          </w:p>
        </w:tc>
        <w:tc>
          <w:tcPr>
            <w:tcW w:w="986" w:type="dxa"/>
            <w:vAlign w:val="center"/>
          </w:tcPr>
          <w:p w14:paraId="794FEA53">
            <w:pPr>
              <w:widowControl/>
              <w:jc w:val="center"/>
              <w:rPr>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highlight w:val="none"/>
              </w:rPr>
            </w:pPr>
            <w:r>
              <w:rPr>
                <w:szCs w:val="21"/>
                <w:highlight w:val="none"/>
              </w:rPr>
              <w:t>…</w:t>
            </w:r>
          </w:p>
        </w:tc>
        <w:tc>
          <w:tcPr>
            <w:tcW w:w="3686" w:type="dxa"/>
            <w:vAlign w:val="center"/>
          </w:tcPr>
          <w:p w14:paraId="09F89178">
            <w:pPr>
              <w:widowControl/>
              <w:jc w:val="left"/>
              <w:rPr>
                <w:szCs w:val="21"/>
                <w:highlight w:val="none"/>
              </w:rPr>
            </w:pPr>
          </w:p>
        </w:tc>
        <w:tc>
          <w:tcPr>
            <w:tcW w:w="3402" w:type="dxa"/>
            <w:vAlign w:val="center"/>
          </w:tcPr>
          <w:p w14:paraId="1FF16C42">
            <w:pPr>
              <w:widowControl/>
              <w:jc w:val="left"/>
              <w:rPr>
                <w:szCs w:val="21"/>
                <w:highlight w:val="none"/>
              </w:rPr>
            </w:pPr>
          </w:p>
        </w:tc>
        <w:tc>
          <w:tcPr>
            <w:tcW w:w="992" w:type="dxa"/>
            <w:vAlign w:val="center"/>
          </w:tcPr>
          <w:p w14:paraId="0BD2D448">
            <w:pPr>
              <w:widowControl/>
              <w:jc w:val="center"/>
              <w:rPr>
                <w:szCs w:val="21"/>
                <w:highlight w:val="none"/>
              </w:rPr>
            </w:pPr>
          </w:p>
        </w:tc>
        <w:tc>
          <w:tcPr>
            <w:tcW w:w="986" w:type="dxa"/>
            <w:vAlign w:val="center"/>
          </w:tcPr>
          <w:p w14:paraId="32267964">
            <w:pPr>
              <w:widowControl/>
              <w:jc w:val="center"/>
              <w:rPr>
                <w:szCs w:val="21"/>
                <w:highlight w:val="none"/>
              </w:rPr>
            </w:pPr>
          </w:p>
        </w:tc>
      </w:tr>
    </w:tbl>
    <w:p w14:paraId="799425E9">
      <w:pPr>
        <w:widowControl/>
        <w:jc w:val="left"/>
        <w:rPr>
          <w:szCs w:val="21"/>
          <w:highlight w:val="none"/>
        </w:rPr>
        <w:sectPr>
          <w:footerReference r:id="rId9" w:type="default"/>
          <w:pgSz w:w="11906" w:h="16838"/>
          <w:pgMar w:top="851" w:right="1134" w:bottom="851" w:left="1134" w:header="0" w:footer="567" w:gutter="0"/>
          <w:pgNumType w:fmt="decimal"/>
          <w:cols w:space="425" w:num="1"/>
          <w:docGrid w:linePitch="312" w:charSpace="0"/>
        </w:sectPr>
      </w:pPr>
    </w:p>
    <w:p w14:paraId="6BEFDD75">
      <w:pPr>
        <w:widowControl/>
        <w:jc w:val="left"/>
        <w:rPr>
          <w:rFonts w:ascii="宋体" w:hAnsi="宋体"/>
          <w:b/>
          <w:bCs/>
          <w:szCs w:val="21"/>
          <w:highlight w:val="none"/>
        </w:rPr>
      </w:pPr>
      <w:r>
        <w:rPr>
          <w:rFonts w:hint="eastAsia" w:ascii="宋体" w:hAnsi="宋体"/>
          <w:b/>
          <w:bCs/>
          <w:szCs w:val="21"/>
          <w:highlight w:val="none"/>
        </w:rPr>
        <w:t>附件2：考核标准</w:t>
      </w:r>
    </w:p>
    <w:p w14:paraId="6C0FC75D">
      <w:pPr>
        <w:rPr>
          <w:highlight w:val="none"/>
        </w:rPr>
      </w:pPr>
    </w:p>
    <w:p w14:paraId="5A024B68">
      <w:pPr>
        <w:rPr>
          <w:highlight w:val="none"/>
        </w:rPr>
        <w:sectPr>
          <w:footerReference r:id="rId10" w:type="default"/>
          <w:pgSz w:w="11906" w:h="16838"/>
          <w:pgMar w:top="851" w:right="1134" w:bottom="851" w:left="1134" w:header="0" w:footer="567" w:gutter="0"/>
          <w:pgNumType w:fmt="decimal"/>
          <w:cols w:space="425" w:num="1"/>
          <w:docGrid w:linePitch="312" w:charSpace="0"/>
        </w:sectPr>
      </w:pPr>
      <w:r>
        <w:rPr>
          <w:rFonts w:hint="eastAsia"/>
          <w:highlight w:val="none"/>
        </w:rPr>
        <w:t>*</w:t>
      </w:r>
      <w:r>
        <w:rPr>
          <w:highlight w:val="none"/>
        </w:rPr>
        <w:t>**</w:t>
      </w:r>
    </w:p>
    <w:p w14:paraId="692BA005">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49A6C9EA">
      <w:pPr>
        <w:rPr>
          <w:highlight w:val="none"/>
        </w:rPr>
      </w:pPr>
    </w:p>
    <w:p w14:paraId="1E9CF7A4">
      <w:pPr>
        <w:rPr>
          <w:highlight w:val="none"/>
        </w:rPr>
      </w:pPr>
      <w:r>
        <w:rPr>
          <w:rFonts w:hint="eastAsia"/>
          <w:highlight w:val="none"/>
        </w:rPr>
        <w:t>*</w:t>
      </w:r>
      <w:r>
        <w:rPr>
          <w:highlight w:val="none"/>
        </w:rP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27852A60">
      <w:pPr>
        <w:pStyle w:val="27"/>
        <w:rPr>
          <w:rFonts w:ascii="Times New Roman" w:hAnsi="Times New Roman"/>
        </w:rPr>
      </w:pPr>
    </w:p>
    <w:sectPr>
      <w:headerReference r:id="rId11" w:type="default"/>
      <w:footerReference r:id="rId12"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8848905-70F5-4A8F-ADA9-5E30511E892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0BDE6E7-3D50-44FE-8D2F-38ECDBFCE39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8113159-AC67-4053-9F91-7F58A740EE8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4E539A4-F2F1-4630-B5E3-F766C4F13BC9}"/>
  </w:font>
  <w:font w:name="Segoe UI Symbol">
    <w:panose1 w:val="020B0502040204020203"/>
    <w:charset w:val="00"/>
    <w:family w:val="swiss"/>
    <w:pitch w:val="default"/>
    <w:sig w:usb0="800001E3" w:usb1="1200FFEF" w:usb2="00040000" w:usb3="04000000" w:csb0="00000001" w:csb1="40000000"/>
    <w:embedRegular r:id="rId5" w:fontKey="{C0BF95A3-7AB5-4EF2-BBE8-006AB8781CEE}"/>
  </w:font>
  <w:font w:name="Wingdings 2">
    <w:altName w:val="Wingdings"/>
    <w:panose1 w:val="05020102010507070707"/>
    <w:charset w:val="4D"/>
    <w:family w:val="decorative"/>
    <w:pitch w:val="default"/>
    <w:sig w:usb0="00000000" w:usb1="00000000" w:usb2="00000000" w:usb3="00000000" w:csb0="80000001" w:csb1="00000000"/>
  </w:font>
  <w:font w:name="微软雅黑">
    <w:panose1 w:val="020B0503020204020204"/>
    <w:charset w:val="86"/>
    <w:family w:val="auto"/>
    <w:pitch w:val="default"/>
    <w:sig w:usb0="80000287" w:usb1="2ACF3C50" w:usb2="00000016" w:usb3="00000000" w:csb0="0004001F" w:csb1="00000000"/>
    <w:embedRegular r:id="rId6" w:fontKey="{7EEB0A0B-E8F4-41D8-97C4-CDFF6A6EF50C}"/>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12"/>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8E4C22">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28E4C22">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12"/>
      <w:framePr w:wrap="around" w:vAnchor="text" w:hAnchor="margin" w:xAlign="center" w:y="1"/>
      <w:rPr>
        <w:rStyle w:val="23"/>
      </w:rPr>
    </w:pPr>
    <w:r>
      <w:rPr>
        <w:rStyle w:val="23"/>
      </w:rPr>
      <w:fldChar w:fldCharType="begin"/>
    </w:r>
    <w:r>
      <w:rPr>
        <w:rStyle w:val="23"/>
      </w:rPr>
      <w:instrText xml:space="preserve">PAGE  </w:instrText>
    </w:r>
    <w:r>
      <w:rPr>
        <w:rStyle w:val="23"/>
      </w:rPr>
      <w:fldChar w:fldCharType="separate"/>
    </w:r>
    <w:r>
      <w:rPr>
        <w:rStyle w:val="23"/>
      </w:rPr>
      <w:t>1</w:t>
    </w:r>
    <w:r>
      <w:rPr>
        <w:rStyle w:val="23"/>
      </w:rPr>
      <w:fldChar w:fldCharType="end"/>
    </w:r>
  </w:p>
  <w:p w14:paraId="33EBEC3C">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852DEE">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852DEE">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E3BA3">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2A7043">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E2A7043">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1C0F">
    <w:pPr>
      <w:pStyle w:val="13"/>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21D19"/>
    <w:multiLevelType w:val="singleLevel"/>
    <w:tmpl w:val="81321D19"/>
    <w:lvl w:ilvl="0" w:tentative="0">
      <w:start w:val="3"/>
      <w:numFmt w:val="chineseCounting"/>
      <w:suff w:val="nothing"/>
      <w:lvlText w:val="%1、"/>
      <w:lvlJc w:val="left"/>
      <w:rPr>
        <w:rFonts w:hint="eastAsia"/>
      </w:rPr>
    </w:lvl>
  </w:abstractNum>
  <w:abstractNum w:abstractNumId="1">
    <w:nsid w:val="929A9E7E"/>
    <w:multiLevelType w:val="singleLevel"/>
    <w:tmpl w:val="929A9E7E"/>
    <w:lvl w:ilvl="0" w:tentative="0">
      <w:start w:val="1"/>
      <w:numFmt w:val="decimal"/>
      <w:lvlText w:val="%1."/>
      <w:lvlJc w:val="left"/>
      <w:pPr>
        <w:ind w:left="425" w:hanging="425"/>
      </w:pPr>
      <w:rPr>
        <w:rFonts w:hint="default"/>
      </w:rPr>
    </w:lvl>
  </w:abstractNum>
  <w:abstractNum w:abstractNumId="2">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AC53E092"/>
    <w:multiLevelType w:val="singleLevel"/>
    <w:tmpl w:val="AC53E092"/>
    <w:lvl w:ilvl="0" w:tentative="0">
      <w:start w:val="12"/>
      <w:numFmt w:val="decimal"/>
      <w:suff w:val="nothing"/>
      <w:lvlText w:val="（%1）"/>
      <w:lvlJc w:val="left"/>
    </w:lvl>
  </w:abstractNum>
  <w:abstractNum w:abstractNumId="5">
    <w:nsid w:val="CED24438"/>
    <w:multiLevelType w:val="singleLevel"/>
    <w:tmpl w:val="CED24438"/>
    <w:lvl w:ilvl="0" w:tentative="0">
      <w:start w:val="1"/>
      <w:numFmt w:val="decimal"/>
      <w:lvlText w:val="(%1)"/>
      <w:lvlJc w:val="left"/>
      <w:pPr>
        <w:ind w:left="425" w:hanging="425"/>
      </w:pPr>
      <w:rPr>
        <w:rFonts w:hint="default"/>
      </w:rPr>
    </w:lvl>
  </w:abstractNum>
  <w:abstractNum w:abstractNumId="6">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7">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8">
    <w:nsid w:val="FCA5E3A8"/>
    <w:multiLevelType w:val="singleLevel"/>
    <w:tmpl w:val="FCA5E3A8"/>
    <w:lvl w:ilvl="0" w:tentative="0">
      <w:start w:val="1"/>
      <w:numFmt w:val="decimal"/>
      <w:suff w:val="nothing"/>
      <w:lvlText w:val="（%1）"/>
      <w:lvlJc w:val="left"/>
      <w:pPr>
        <w:ind w:left="-210"/>
      </w:pPr>
    </w:lvl>
  </w:abstractNum>
  <w:abstractNum w:abstractNumId="9">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0AB1600"/>
    <w:multiLevelType w:val="singleLevel"/>
    <w:tmpl w:val="00AB1600"/>
    <w:lvl w:ilvl="0" w:tentative="0">
      <w:start w:val="4"/>
      <w:numFmt w:val="chineseCounting"/>
      <w:suff w:val="nothing"/>
      <w:lvlText w:val="（%1）"/>
      <w:lvlJc w:val="left"/>
      <w:rPr>
        <w:rFonts w:hint="eastAsia"/>
        <w:b/>
        <w:bCs/>
      </w:rPr>
    </w:lvl>
  </w:abstractNum>
  <w:abstractNum w:abstractNumId="11">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4">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6">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7">
    <w:nsid w:val="1F712D09"/>
    <w:multiLevelType w:val="singleLevel"/>
    <w:tmpl w:val="1F712D09"/>
    <w:lvl w:ilvl="0" w:tentative="0">
      <w:start w:val="1"/>
      <w:numFmt w:val="decimal"/>
      <w:lvlText w:val="(%1)"/>
      <w:lvlJc w:val="left"/>
      <w:pPr>
        <w:ind w:left="218" w:hanging="425"/>
      </w:pPr>
      <w:rPr>
        <w:rFonts w:hint="default"/>
      </w:rPr>
    </w:lvl>
  </w:abstractNum>
  <w:abstractNum w:abstractNumId="18">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0">
    <w:nsid w:val="3A69C7D9"/>
    <w:multiLevelType w:val="singleLevel"/>
    <w:tmpl w:val="3A69C7D9"/>
    <w:lvl w:ilvl="0" w:tentative="0">
      <w:start w:val="1"/>
      <w:numFmt w:val="decimal"/>
      <w:lvlText w:val="(%1)"/>
      <w:lvlJc w:val="left"/>
      <w:pPr>
        <w:ind w:left="425" w:hanging="425"/>
      </w:pPr>
      <w:rPr>
        <w:rFonts w:hint="default"/>
      </w:rPr>
    </w:lvl>
  </w:abstractNum>
  <w:abstractNum w:abstractNumId="21">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2">
    <w:nsid w:val="4D7F70D5"/>
    <w:multiLevelType w:val="singleLevel"/>
    <w:tmpl w:val="4D7F70D5"/>
    <w:lvl w:ilvl="0" w:tentative="0">
      <w:start w:val="1"/>
      <w:numFmt w:val="decimal"/>
      <w:lvlText w:val="(%1)"/>
      <w:lvlJc w:val="left"/>
      <w:pPr>
        <w:ind w:left="425" w:hanging="425"/>
      </w:pPr>
      <w:rPr>
        <w:rFonts w:hint="default"/>
      </w:rPr>
    </w:lvl>
  </w:abstractNum>
  <w:abstractNum w:abstractNumId="23">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4">
    <w:nsid w:val="5646069C"/>
    <w:multiLevelType w:val="singleLevel"/>
    <w:tmpl w:val="5646069C"/>
    <w:lvl w:ilvl="0" w:tentative="0">
      <w:start w:val="1"/>
      <w:numFmt w:val="decimal"/>
      <w:lvlText w:val="(%1)"/>
      <w:lvlJc w:val="left"/>
      <w:pPr>
        <w:ind w:left="425" w:hanging="425"/>
      </w:pPr>
      <w:rPr>
        <w:rFonts w:hint="default"/>
      </w:r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8D69591"/>
    <w:multiLevelType w:val="singleLevel"/>
    <w:tmpl w:val="58D69591"/>
    <w:lvl w:ilvl="0" w:tentative="0">
      <w:start w:val="1"/>
      <w:numFmt w:val="decimal"/>
      <w:lvlText w:val="%1."/>
      <w:lvlJc w:val="left"/>
      <w:pPr>
        <w:ind w:left="425" w:hanging="425"/>
      </w:pPr>
      <w:rPr>
        <w:rFonts w:hint="default"/>
      </w:rPr>
    </w:lvl>
  </w:abstractNum>
  <w:abstractNum w:abstractNumId="2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9">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30">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31">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32">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9"/>
  </w:num>
  <w:num w:numId="2">
    <w:abstractNumId w:val="7"/>
  </w:num>
  <w:num w:numId="3">
    <w:abstractNumId w:val="21"/>
  </w:num>
  <w:num w:numId="4">
    <w:abstractNumId w:val="33"/>
  </w:num>
  <w:num w:numId="5">
    <w:abstractNumId w:val="17"/>
  </w:num>
  <w:num w:numId="6">
    <w:abstractNumId w:val="28"/>
  </w:num>
  <w:num w:numId="7">
    <w:abstractNumId w:val="20"/>
  </w:num>
  <w:num w:numId="8">
    <w:abstractNumId w:val="6"/>
  </w:num>
  <w:num w:numId="9">
    <w:abstractNumId w:val="3"/>
  </w:num>
  <w:num w:numId="10">
    <w:abstractNumId w:val="2"/>
  </w:num>
  <w:num w:numId="11">
    <w:abstractNumId w:val="8"/>
  </w:num>
  <w:num w:numId="12">
    <w:abstractNumId w:val="0"/>
  </w:num>
  <w:num w:numId="13">
    <w:abstractNumId w:val="5"/>
  </w:num>
  <w:num w:numId="14">
    <w:abstractNumId w:val="24"/>
  </w:num>
  <w:num w:numId="15">
    <w:abstractNumId w:val="10"/>
  </w:num>
  <w:num w:numId="16">
    <w:abstractNumId w:val="27"/>
  </w:num>
  <w:num w:numId="17">
    <w:abstractNumId w:val="1"/>
  </w:num>
  <w:num w:numId="18">
    <w:abstractNumId w:val="22"/>
  </w:num>
  <w:num w:numId="19">
    <w:abstractNumId w:val="4"/>
  </w:num>
  <w:num w:numId="20">
    <w:abstractNumId w:val="16"/>
  </w:num>
  <w:num w:numId="21">
    <w:abstractNumId w:val="29"/>
  </w:num>
  <w:num w:numId="22">
    <w:abstractNumId w:val="32"/>
  </w:num>
  <w:num w:numId="23">
    <w:abstractNumId w:val="25"/>
  </w:num>
  <w:num w:numId="24">
    <w:abstractNumId w:val="13"/>
  </w:num>
  <w:num w:numId="25">
    <w:abstractNumId w:val="11"/>
  </w:num>
  <w:num w:numId="26">
    <w:abstractNumId w:val="30"/>
  </w:num>
  <w:num w:numId="27">
    <w:abstractNumId w:val="23"/>
  </w:num>
  <w:num w:numId="28">
    <w:abstractNumId w:val="12"/>
  </w:num>
  <w:num w:numId="29">
    <w:abstractNumId w:val="15"/>
  </w:num>
  <w:num w:numId="30">
    <w:abstractNumId w:val="31"/>
  </w:num>
  <w:num w:numId="31">
    <w:abstractNumId w:val="9"/>
  </w:num>
  <w:num w:numId="32">
    <w:abstractNumId w:val="26"/>
  </w:num>
  <w:num w:numId="33">
    <w:abstractNumId w:val="14"/>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84DA9"/>
    <w:rsid w:val="009C452F"/>
    <w:rsid w:val="009D1014"/>
    <w:rsid w:val="00A12C4A"/>
    <w:rsid w:val="00A4099C"/>
    <w:rsid w:val="00A40D81"/>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812738"/>
    <w:rsid w:val="05644471"/>
    <w:rsid w:val="058C78B0"/>
    <w:rsid w:val="05964489"/>
    <w:rsid w:val="05D03B7D"/>
    <w:rsid w:val="05D90BCF"/>
    <w:rsid w:val="05E13064"/>
    <w:rsid w:val="05F872A7"/>
    <w:rsid w:val="06484A8E"/>
    <w:rsid w:val="072F6604"/>
    <w:rsid w:val="07464042"/>
    <w:rsid w:val="078A573C"/>
    <w:rsid w:val="07AA637F"/>
    <w:rsid w:val="08147C9D"/>
    <w:rsid w:val="08602EE2"/>
    <w:rsid w:val="0895702F"/>
    <w:rsid w:val="08DB3083"/>
    <w:rsid w:val="093A3733"/>
    <w:rsid w:val="096D58B6"/>
    <w:rsid w:val="09CF2899"/>
    <w:rsid w:val="0A15691E"/>
    <w:rsid w:val="0A945568"/>
    <w:rsid w:val="0B3001A8"/>
    <w:rsid w:val="0B4508AE"/>
    <w:rsid w:val="0B584344"/>
    <w:rsid w:val="0B6A3BAC"/>
    <w:rsid w:val="0C9028FF"/>
    <w:rsid w:val="0CAF268A"/>
    <w:rsid w:val="0CF161C9"/>
    <w:rsid w:val="0E0B7FF0"/>
    <w:rsid w:val="0F392D3F"/>
    <w:rsid w:val="0F974177"/>
    <w:rsid w:val="0FA43FFC"/>
    <w:rsid w:val="104829CA"/>
    <w:rsid w:val="117837CA"/>
    <w:rsid w:val="117A5014"/>
    <w:rsid w:val="11911861"/>
    <w:rsid w:val="11927A12"/>
    <w:rsid w:val="127F05A0"/>
    <w:rsid w:val="136D78F8"/>
    <w:rsid w:val="14877312"/>
    <w:rsid w:val="14E8498B"/>
    <w:rsid w:val="15CC4977"/>
    <w:rsid w:val="162A4F7D"/>
    <w:rsid w:val="164C60A4"/>
    <w:rsid w:val="16A82A66"/>
    <w:rsid w:val="178E6A97"/>
    <w:rsid w:val="1841684A"/>
    <w:rsid w:val="18A46E1B"/>
    <w:rsid w:val="1900782A"/>
    <w:rsid w:val="1994787E"/>
    <w:rsid w:val="19B14EE3"/>
    <w:rsid w:val="1A66082C"/>
    <w:rsid w:val="1B1E1106"/>
    <w:rsid w:val="1B2D4565"/>
    <w:rsid w:val="1B3C158C"/>
    <w:rsid w:val="1B8934AF"/>
    <w:rsid w:val="1BF03704"/>
    <w:rsid w:val="1CED4A9E"/>
    <w:rsid w:val="1D1F1166"/>
    <w:rsid w:val="1DD000AF"/>
    <w:rsid w:val="1E09745A"/>
    <w:rsid w:val="1E176351"/>
    <w:rsid w:val="1E2A6014"/>
    <w:rsid w:val="1EBA3314"/>
    <w:rsid w:val="1EED2EB8"/>
    <w:rsid w:val="1F163938"/>
    <w:rsid w:val="1F90634B"/>
    <w:rsid w:val="1FBF453A"/>
    <w:rsid w:val="1FE204EA"/>
    <w:rsid w:val="203C3F13"/>
    <w:rsid w:val="2094622D"/>
    <w:rsid w:val="20A70EA1"/>
    <w:rsid w:val="21ED4E50"/>
    <w:rsid w:val="2201708C"/>
    <w:rsid w:val="22622802"/>
    <w:rsid w:val="22F866E1"/>
    <w:rsid w:val="23D4489F"/>
    <w:rsid w:val="26141908"/>
    <w:rsid w:val="262001B9"/>
    <w:rsid w:val="269811C6"/>
    <w:rsid w:val="27AD39BA"/>
    <w:rsid w:val="27B87AF9"/>
    <w:rsid w:val="27E80EA9"/>
    <w:rsid w:val="28011F09"/>
    <w:rsid w:val="280414A1"/>
    <w:rsid w:val="28570368"/>
    <w:rsid w:val="29675069"/>
    <w:rsid w:val="29882871"/>
    <w:rsid w:val="29C5318E"/>
    <w:rsid w:val="2A355B25"/>
    <w:rsid w:val="2B502F98"/>
    <w:rsid w:val="2B9D1BD3"/>
    <w:rsid w:val="2C153CDF"/>
    <w:rsid w:val="2C9A0A9E"/>
    <w:rsid w:val="2CCA108C"/>
    <w:rsid w:val="2CEA44B0"/>
    <w:rsid w:val="2D18150E"/>
    <w:rsid w:val="2D1C0637"/>
    <w:rsid w:val="2DA70D65"/>
    <w:rsid w:val="2EB95C73"/>
    <w:rsid w:val="2F0F103A"/>
    <w:rsid w:val="31406FDD"/>
    <w:rsid w:val="31664A6D"/>
    <w:rsid w:val="316C46F8"/>
    <w:rsid w:val="31BD2FCF"/>
    <w:rsid w:val="31D07A75"/>
    <w:rsid w:val="33F27F66"/>
    <w:rsid w:val="3427766B"/>
    <w:rsid w:val="343706EB"/>
    <w:rsid w:val="351A08D0"/>
    <w:rsid w:val="36334CE5"/>
    <w:rsid w:val="36A77DAA"/>
    <w:rsid w:val="36C16F69"/>
    <w:rsid w:val="37983B97"/>
    <w:rsid w:val="38995F6A"/>
    <w:rsid w:val="393A3157"/>
    <w:rsid w:val="3A0C5E4C"/>
    <w:rsid w:val="3A551407"/>
    <w:rsid w:val="3A555972"/>
    <w:rsid w:val="3A5F2FAF"/>
    <w:rsid w:val="3AD4466F"/>
    <w:rsid w:val="3B033C36"/>
    <w:rsid w:val="3B070E17"/>
    <w:rsid w:val="3B422966"/>
    <w:rsid w:val="3C595B8C"/>
    <w:rsid w:val="3CCA7E7E"/>
    <w:rsid w:val="3D165E8C"/>
    <w:rsid w:val="3E4E3F12"/>
    <w:rsid w:val="3E5D4E8E"/>
    <w:rsid w:val="3E9A4A05"/>
    <w:rsid w:val="3F1E7DAC"/>
    <w:rsid w:val="3FE25336"/>
    <w:rsid w:val="403D352D"/>
    <w:rsid w:val="40715001"/>
    <w:rsid w:val="40833636"/>
    <w:rsid w:val="41345E57"/>
    <w:rsid w:val="41C850AD"/>
    <w:rsid w:val="41DD28D2"/>
    <w:rsid w:val="42075FF8"/>
    <w:rsid w:val="42842020"/>
    <w:rsid w:val="435E20EE"/>
    <w:rsid w:val="43AB7A1F"/>
    <w:rsid w:val="43D116CA"/>
    <w:rsid w:val="441475BD"/>
    <w:rsid w:val="454342FE"/>
    <w:rsid w:val="45DE130F"/>
    <w:rsid w:val="46226106"/>
    <w:rsid w:val="46244F73"/>
    <w:rsid w:val="4638564A"/>
    <w:rsid w:val="468567BB"/>
    <w:rsid w:val="472E559C"/>
    <w:rsid w:val="4782487D"/>
    <w:rsid w:val="48274C8F"/>
    <w:rsid w:val="485C5F0B"/>
    <w:rsid w:val="486D7A2B"/>
    <w:rsid w:val="49C229F0"/>
    <w:rsid w:val="4A8C1339"/>
    <w:rsid w:val="4ABA5EA6"/>
    <w:rsid w:val="4AC676BD"/>
    <w:rsid w:val="4AD4683C"/>
    <w:rsid w:val="4B257098"/>
    <w:rsid w:val="4B31068E"/>
    <w:rsid w:val="4B6905AE"/>
    <w:rsid w:val="4BA55220"/>
    <w:rsid w:val="4BAD0151"/>
    <w:rsid w:val="4C8F75A2"/>
    <w:rsid w:val="4D165779"/>
    <w:rsid w:val="4D305225"/>
    <w:rsid w:val="4DAD4403"/>
    <w:rsid w:val="4DDA5D3D"/>
    <w:rsid w:val="4DEA0B4B"/>
    <w:rsid w:val="4DF33A40"/>
    <w:rsid w:val="4E0F0536"/>
    <w:rsid w:val="4E28581D"/>
    <w:rsid w:val="4E8C008E"/>
    <w:rsid w:val="4EB14C0F"/>
    <w:rsid w:val="4EBB3F9B"/>
    <w:rsid w:val="4EFC5FB5"/>
    <w:rsid w:val="4F7A087B"/>
    <w:rsid w:val="4FEF758C"/>
    <w:rsid w:val="502124CA"/>
    <w:rsid w:val="507408A5"/>
    <w:rsid w:val="50771A9C"/>
    <w:rsid w:val="510D2AA8"/>
    <w:rsid w:val="5151334A"/>
    <w:rsid w:val="51777A1C"/>
    <w:rsid w:val="51C47F6D"/>
    <w:rsid w:val="531279FF"/>
    <w:rsid w:val="5355574A"/>
    <w:rsid w:val="53EE32EC"/>
    <w:rsid w:val="54280325"/>
    <w:rsid w:val="5455382C"/>
    <w:rsid w:val="54A06326"/>
    <w:rsid w:val="57C20CC8"/>
    <w:rsid w:val="5898359F"/>
    <w:rsid w:val="59A73A9A"/>
    <w:rsid w:val="5A587B2F"/>
    <w:rsid w:val="5BA0525E"/>
    <w:rsid w:val="5C231CFC"/>
    <w:rsid w:val="5D0A3490"/>
    <w:rsid w:val="5D0D6309"/>
    <w:rsid w:val="5D1C1896"/>
    <w:rsid w:val="5D257D21"/>
    <w:rsid w:val="5D5B48FB"/>
    <w:rsid w:val="5D7E0D39"/>
    <w:rsid w:val="5DA019CA"/>
    <w:rsid w:val="5DF254FF"/>
    <w:rsid w:val="5DF80903"/>
    <w:rsid w:val="5E4D1E02"/>
    <w:rsid w:val="5E9D3F29"/>
    <w:rsid w:val="5F817E72"/>
    <w:rsid w:val="5FE50769"/>
    <w:rsid w:val="60384CD1"/>
    <w:rsid w:val="60655808"/>
    <w:rsid w:val="619A6587"/>
    <w:rsid w:val="61D92C5E"/>
    <w:rsid w:val="620F48D2"/>
    <w:rsid w:val="62493F0E"/>
    <w:rsid w:val="635414A1"/>
    <w:rsid w:val="63750A53"/>
    <w:rsid w:val="63A9427A"/>
    <w:rsid w:val="63B3570F"/>
    <w:rsid w:val="63D462B1"/>
    <w:rsid w:val="64002A47"/>
    <w:rsid w:val="641A3596"/>
    <w:rsid w:val="64D96647"/>
    <w:rsid w:val="64F87571"/>
    <w:rsid w:val="655B51E5"/>
    <w:rsid w:val="65C92FEA"/>
    <w:rsid w:val="65E40ADA"/>
    <w:rsid w:val="66252EB1"/>
    <w:rsid w:val="66330B86"/>
    <w:rsid w:val="66360241"/>
    <w:rsid w:val="66495DB0"/>
    <w:rsid w:val="66E22203"/>
    <w:rsid w:val="671C56A9"/>
    <w:rsid w:val="67246FBF"/>
    <w:rsid w:val="6735547A"/>
    <w:rsid w:val="67A467AF"/>
    <w:rsid w:val="681743DC"/>
    <w:rsid w:val="683055A2"/>
    <w:rsid w:val="68B812C9"/>
    <w:rsid w:val="69D50CF4"/>
    <w:rsid w:val="6A822488"/>
    <w:rsid w:val="6B6A0DCB"/>
    <w:rsid w:val="6BAC0E1A"/>
    <w:rsid w:val="6C0B7E9A"/>
    <w:rsid w:val="6C0D6CD2"/>
    <w:rsid w:val="6C31699C"/>
    <w:rsid w:val="6C345001"/>
    <w:rsid w:val="6C487AFD"/>
    <w:rsid w:val="6C7A503E"/>
    <w:rsid w:val="6CB24363"/>
    <w:rsid w:val="6CC16180"/>
    <w:rsid w:val="6D4405D0"/>
    <w:rsid w:val="6DA06C0C"/>
    <w:rsid w:val="6DB07703"/>
    <w:rsid w:val="6DBE6550"/>
    <w:rsid w:val="6E713C0D"/>
    <w:rsid w:val="6EA93466"/>
    <w:rsid w:val="6EDA6337"/>
    <w:rsid w:val="6F792572"/>
    <w:rsid w:val="6FCF0795"/>
    <w:rsid w:val="7080699B"/>
    <w:rsid w:val="71381023"/>
    <w:rsid w:val="71605EEA"/>
    <w:rsid w:val="72C253CE"/>
    <w:rsid w:val="73093C3E"/>
    <w:rsid w:val="735465E8"/>
    <w:rsid w:val="73714961"/>
    <w:rsid w:val="73EA223C"/>
    <w:rsid w:val="749C2798"/>
    <w:rsid w:val="74EF6FAC"/>
    <w:rsid w:val="75175B20"/>
    <w:rsid w:val="754D1D92"/>
    <w:rsid w:val="758350A9"/>
    <w:rsid w:val="75992388"/>
    <w:rsid w:val="76F374B5"/>
    <w:rsid w:val="77884AB3"/>
    <w:rsid w:val="77E51F05"/>
    <w:rsid w:val="78837FF4"/>
    <w:rsid w:val="78BA61D2"/>
    <w:rsid w:val="79687E1D"/>
    <w:rsid w:val="7A4D6861"/>
    <w:rsid w:val="7ADB0533"/>
    <w:rsid w:val="7B560FD7"/>
    <w:rsid w:val="7B5F74F8"/>
    <w:rsid w:val="7B646D7F"/>
    <w:rsid w:val="7B690630"/>
    <w:rsid w:val="7C5123F4"/>
    <w:rsid w:val="7CAF7B16"/>
    <w:rsid w:val="7D040AB6"/>
    <w:rsid w:val="7D1172F8"/>
    <w:rsid w:val="7D4119E6"/>
    <w:rsid w:val="7D787334"/>
    <w:rsid w:val="7DAF162B"/>
    <w:rsid w:val="7DC42B41"/>
    <w:rsid w:val="7DEB7B4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8"/>
    <w:qFormat/>
    <w:uiPriority w:val="0"/>
    <w:pPr>
      <w:jc w:val="left"/>
    </w:pPr>
  </w:style>
  <w:style w:type="paragraph" w:styleId="8">
    <w:name w:val="Body Text"/>
    <w:basedOn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39"/>
    <w:qFormat/>
    <w:uiPriority w:val="0"/>
    <w:rPr>
      <w:b/>
      <w:bCs/>
    </w:rPr>
  </w:style>
  <w:style w:type="paragraph" w:styleId="17">
    <w:name w:val="Body Text First Indent"/>
    <w:basedOn w:val="8"/>
    <w:link w:val="34"/>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page number"/>
    <w:basedOn w:val="21"/>
    <w:semiHidden/>
    <w:qFormat/>
    <w:uiPriority w:val="0"/>
  </w:style>
  <w:style w:type="character" w:styleId="24">
    <w:name w:val="annotation reference"/>
    <w:basedOn w:val="21"/>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17"/>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8"/>
    <w:qFormat/>
    <w:uiPriority w:val="99"/>
    <w:rPr>
      <w:rFonts w:ascii="宋体" w:hAnsi="Times New Roman"/>
      <w:kern w:val="0"/>
      <w:sz w:val="21"/>
      <w:szCs w:val="24"/>
    </w:rPr>
  </w:style>
  <w:style w:type="character" w:customStyle="1" w:styleId="38">
    <w:name w:val="Comment Text Char"/>
    <w:basedOn w:val="21"/>
    <w:link w:val="7"/>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1"/>
    <w:link w:val="11"/>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sht标题1"/>
    <w:basedOn w:val="1"/>
    <w:next w:val="2"/>
    <w:qFormat/>
    <w:uiPriority w:val="0"/>
    <w:pPr>
      <w:jc w:val="center"/>
    </w:pPr>
    <w:rPr>
      <w:rFonts w:eastAsia="黑体"/>
      <w:b/>
      <w:sz w:val="52"/>
      <w:szCs w:val="24"/>
    </w:rPr>
  </w:style>
  <w:style w:type="paragraph" w:customStyle="1" w:styleId="43">
    <w:name w:val="Table Text"/>
    <w:basedOn w:val="1"/>
    <w:semiHidden/>
    <w:qFormat/>
    <w:uiPriority w:val="0"/>
    <w:rPr>
      <w:rFonts w:ascii="宋体" w:hAnsi="宋体" w:eastAsia="宋体" w:cs="宋体"/>
      <w:sz w:val="20"/>
      <w:szCs w:val="20"/>
      <w:lang w:val="en-US" w:eastAsia="en-US" w:bidi="ar-SA"/>
    </w:rPr>
  </w:style>
  <w:style w:type="table" w:customStyle="1" w:styleId="4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1263</Words>
  <Characters>1356</Characters>
  <Lines>72</Lines>
  <Paragraphs>20</Paragraphs>
  <TotalTime>1</TotalTime>
  <ScaleCrop>false</ScaleCrop>
  <LinksUpToDate>false</LinksUpToDate>
  <CharactersWithSpaces>1430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2026-08-24T08:56:36Z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B07F9D8DD9054FB3A9FF193D8F2A02CA_13</vt:lpwstr>
  </property>
  <property fmtid="{D5CDD505-2E9C-101B-9397-08002B2CF9AE}" pid="4" name="KSOTemplateDocerSaveRecord">
    <vt:lpwstr>eyJoZGlkIjoiOTkyMTAwNWNkOWQxN2M2ZGU0YTllNDJiNjQ2ZjgyNjkiLCJ1c2VySWQiOiIzNjM4OTIzNDkifQ==</vt:lpwstr>
  </property>
</Properties>
</file>