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eastAsia="zh-CN"/>
        </w:rPr>
        <w:t>四川省医学科学院·四川省人民医院工会委员会2026年职工工会消费券采购项目</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w:t>
      </w:r>
      <w:bookmarkStart w:id="104" w:name="_GoBack"/>
      <w:bookmarkEnd w:id="104"/>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62832406"/>
      <w:bookmarkStart w:id="3" w:name="_Toc21919"/>
      <w:bookmarkStart w:id="4" w:name="_Toc20358"/>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四川省医学科学院·四川省人民医院工会委员会</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四川省医学科学院·四川省人民医院工会委员会2026年职工工会消费券采购项目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eastAsia="zh-CN"/>
              </w:rPr>
              <w:t>CGZX-GHB20260718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9B61880">
            <w:pPr>
              <w:spacing w:line="360" w:lineRule="auto"/>
              <w:rPr>
                <w:rFonts w:hint="eastAsia" w:ascii="Times New Roman" w:hAnsi="Times New Roman" w:eastAsia="仿宋" w:cs="Times New Roman"/>
                <w:sz w:val="22"/>
                <w:u w:val="none"/>
                <w:lang w:val="en-US" w:eastAsia="zh-CN"/>
              </w:rPr>
            </w:pPr>
            <w:r>
              <w:rPr>
                <w:rFonts w:hint="eastAsia" w:ascii="Times New Roman" w:hAnsi="Times New Roman" w:eastAsia="仿宋" w:cs="Times New Roman"/>
                <w:sz w:val="22"/>
                <w:u w:val="none"/>
                <w:lang w:val="en-US" w:eastAsia="zh-CN"/>
              </w:rPr>
              <w:t>本项目支付上限人民币6800000元。</w:t>
            </w:r>
          </w:p>
          <w:p w14:paraId="2D627A32">
            <w:pPr>
              <w:spacing w:line="360" w:lineRule="auto"/>
              <w:rPr>
                <w:rFonts w:hint="eastAsia" w:ascii="Times New Roman" w:hAnsi="Times New Roman" w:eastAsia="仿宋" w:cs="Times New Roman"/>
                <w:sz w:val="22"/>
                <w:u w:val="none"/>
                <w:lang w:val="en-US" w:eastAsia="zh-CN"/>
              </w:rPr>
            </w:pPr>
            <w:r>
              <w:rPr>
                <w:rFonts w:hint="eastAsia" w:ascii="Times New Roman" w:hAnsi="Times New Roman" w:eastAsia="仿宋" w:cs="Times New Roman"/>
                <w:sz w:val="22"/>
                <w:u w:val="none"/>
                <w:lang w:val="en-US" w:eastAsia="zh-CN"/>
              </w:rPr>
              <w:t>供应商以“1000元/份”为基数报上浮率。履约时，采购人实际可消费额度按以下公式计算：最终可消费额度=（1000 ×（1+供应商填报上浮率））元/份。例如：若供应商填报上浮率为 5%，则采购成功后实际可消费额度为 1000×（1+5%）=1050元/份，采购人仍按1000元/份支付款项。</w:t>
            </w:r>
          </w:p>
          <w:p w14:paraId="1D0C1EB9">
            <w:pPr>
              <w:spacing w:line="360" w:lineRule="auto"/>
              <w:rPr>
                <w:rFonts w:ascii="Times New Roman" w:hAnsi="Times New Roman" w:eastAsia="仿宋" w:cs="Times New Roman"/>
                <w:sz w:val="22"/>
              </w:rPr>
            </w:pPr>
            <w:r>
              <w:rPr>
                <w:rFonts w:hint="eastAsia" w:ascii="Times New Roman" w:hAnsi="Times New Roman" w:eastAsia="仿宋" w:cs="Times New Roman"/>
                <w:sz w:val="22"/>
                <w:u w:val="none"/>
                <w:lang w:val="en-US" w:eastAsia="zh-CN"/>
              </w:rPr>
              <w:t>上浮</w:t>
            </w:r>
            <w:r>
              <w:rPr>
                <w:rFonts w:hint="eastAsia" w:ascii="Times New Roman" w:hAnsi="Times New Roman" w:eastAsia="仿宋" w:cs="Times New Roman"/>
                <w:sz w:val="22"/>
                <w:u w:val="none"/>
                <w:lang w:eastAsia="zh-CN"/>
              </w:rPr>
              <w:t>率为负数的，其</w:t>
            </w:r>
            <w:r>
              <w:rPr>
                <w:rFonts w:hint="eastAsia" w:ascii="Times New Roman" w:hAnsi="Times New Roman" w:eastAsia="仿宋" w:cs="Times New Roman"/>
                <w:sz w:val="22"/>
                <w:u w:val="none"/>
                <w:lang w:val="en-US" w:eastAsia="zh-CN"/>
              </w:rPr>
              <w:t>响应</w:t>
            </w:r>
            <w:r>
              <w:rPr>
                <w:rFonts w:hint="eastAsia" w:ascii="Times New Roman" w:hAnsi="Times New Roman" w:eastAsia="仿宋" w:cs="Times New Roman"/>
                <w:sz w:val="22"/>
                <w:u w:val="none"/>
                <w:lang w:eastAsia="zh-CN"/>
              </w:rPr>
              <w:t>文件按无效文件处理。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FCBCDF6">
            <w:pPr>
              <w:spacing w:line="360" w:lineRule="auto"/>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19AA18E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合同支付上限的10%</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rPr>
              <w:t>四川省医学科学院·四川省人民医院工会委员会</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51001446436050427733</w:t>
            </w:r>
          </w:p>
          <w:p w14:paraId="47D4BE4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hint="eastAsia" w:ascii="Times New Roman" w:hAnsi="Times New Roman" w:eastAsia="仿宋" w:cs="Times New Roman"/>
                <w:sz w:val="22"/>
                <w:szCs w:val="22"/>
                <w:u w:val="single"/>
                <w:lang w:val="en-US" w:eastAsia="zh-CN"/>
              </w:rPr>
              <w:t>天</w:t>
            </w:r>
            <w:r>
              <w:rPr>
                <w:rFonts w:ascii="Times New Roman" w:hAnsi="Times New Roman" w:eastAsia="仿宋" w:cs="Times New Roman"/>
                <w:sz w:val="22"/>
                <w:szCs w:val="22"/>
                <w:lang w:val="zh-CN"/>
              </w:rPr>
              <w:t>内；</w:t>
            </w:r>
          </w:p>
          <w:p w14:paraId="33D0822C">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F09EBE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0BDA4F1">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通过资格、符合性审查且满足谈判文件全部实质性要求的供应商应达到5家以上(含5家)。</w:t>
            </w:r>
          </w:p>
          <w:p w14:paraId="1DA0583B">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2"/>
              </w:rPr>
              <w:t>本项目最终确定3家成交供应商，评审当日经评审小组谈判后，符合资格、符合性审查且满足谈判文件全部实质性要求的供应商均进入本项目入围清单，项目公告显示“中标人”仅代表入围供应商。最终由采购人按照工会工作规范组织相关人员投票确定成交供应商，并由招标采购中心最终发布结果。</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73601360">
            <w:pPr>
              <w:spacing w:line="360" w:lineRule="auto"/>
              <w:ind w:left="210" w:leftChars="100"/>
              <w:rPr>
                <w:rFonts w:ascii="仿宋" w:hAnsi="仿宋" w:eastAsia="仿宋" w:cs="仿宋"/>
                <w:b/>
                <w:bCs/>
                <w:sz w:val="22"/>
              </w:rPr>
            </w:pPr>
            <w:r>
              <w:rPr>
                <w:rFonts w:hint="eastAsia" w:ascii="仿宋" w:hAnsi="仿宋" w:eastAsia="仿宋" w:cs="仿宋"/>
                <w:b/>
                <w:bCs/>
                <w:sz w:val="22"/>
              </w:rPr>
              <w:t>（1）采购部门：招标采购中心</w:t>
            </w:r>
          </w:p>
          <w:p w14:paraId="47D4467B">
            <w:pPr>
              <w:spacing w:line="360" w:lineRule="auto"/>
              <w:ind w:left="210" w:leftChars="100"/>
              <w:rPr>
                <w:rFonts w:hint="default" w:ascii="仿宋" w:hAnsi="仿宋" w:eastAsia="仿宋" w:cs="仿宋"/>
                <w:sz w:val="22"/>
                <w:lang w:val="en-US" w:eastAsia="zh-CN"/>
              </w:rPr>
            </w:pPr>
            <w:r>
              <w:rPr>
                <w:rFonts w:hint="eastAsia" w:ascii="仿宋" w:hAnsi="仿宋" w:eastAsia="仿宋" w:cs="仿宋"/>
                <w:sz w:val="22"/>
              </w:rPr>
              <w:t>联系方式：</w:t>
            </w:r>
            <w:r>
              <w:rPr>
                <w:rFonts w:hint="eastAsia" w:ascii="仿宋" w:hAnsi="仿宋" w:eastAsia="仿宋" w:cs="仿宋"/>
                <w:sz w:val="22"/>
                <w:lang w:val="en-US" w:eastAsia="zh-CN"/>
              </w:rPr>
              <w:t>甘</w:t>
            </w:r>
            <w:r>
              <w:rPr>
                <w:rFonts w:hint="eastAsia" w:ascii="仿宋" w:hAnsi="仿宋" w:eastAsia="仿宋" w:cs="仿宋"/>
                <w:sz w:val="22"/>
              </w:rPr>
              <w:t>老师028-8739</w:t>
            </w:r>
            <w:r>
              <w:rPr>
                <w:rFonts w:hint="eastAsia" w:ascii="仿宋" w:hAnsi="仿宋" w:eastAsia="仿宋" w:cs="仿宋"/>
                <w:sz w:val="22"/>
                <w:lang w:val="en-US" w:eastAsia="zh-CN"/>
              </w:rPr>
              <w:t>3665</w:t>
            </w:r>
          </w:p>
          <w:p w14:paraId="5B40E2B4">
            <w:pPr>
              <w:spacing w:line="360" w:lineRule="auto"/>
              <w:ind w:left="210" w:leftChars="100"/>
              <w:rPr>
                <w:rFonts w:ascii="Times New Roman" w:hAnsi="Times New Roman" w:eastAsia="仿宋" w:cs="Times New Roman"/>
                <w:sz w:val="22"/>
              </w:rPr>
            </w:pPr>
            <w:r>
              <w:rPr>
                <w:rFonts w:hint="eastAsia" w:ascii="仿宋" w:hAnsi="仿宋" w:eastAsia="仿宋" w:cs="仿宋"/>
                <w:b/>
                <w:bCs/>
                <w:sz w:val="22"/>
              </w:rPr>
              <w:t>（2）归口部门：</w:t>
            </w:r>
            <w:r>
              <w:rPr>
                <w:rFonts w:hint="eastAsia" w:ascii="Times New Roman" w:hAnsi="Times New Roman" w:eastAsia="仿宋" w:cs="Times New Roman"/>
                <w:b/>
                <w:bCs/>
                <w:sz w:val="22"/>
              </w:rPr>
              <w:t>工会办公室</w:t>
            </w:r>
          </w:p>
          <w:p w14:paraId="6D1E41CC">
            <w:pPr>
              <w:spacing w:line="360" w:lineRule="auto"/>
              <w:ind w:left="210" w:leftChars="100"/>
              <w:rPr>
                <w:rFonts w:hint="default" w:ascii="仿宋" w:hAnsi="仿宋" w:eastAsia="仿宋" w:cs="仿宋"/>
                <w:sz w:val="22"/>
                <w:lang w:val="en-US" w:eastAsia="zh-CN"/>
              </w:rPr>
            </w:pPr>
            <w:r>
              <w:rPr>
                <w:rFonts w:hint="eastAsia" w:ascii="Times New Roman" w:hAnsi="Times New Roman" w:eastAsia="仿宋" w:cs="Times New Roman"/>
                <w:sz w:val="22"/>
              </w:rPr>
              <w:t>联系方式：安老师 028-87393234</w:t>
            </w:r>
          </w:p>
          <w:p w14:paraId="65A5AE26">
            <w:pPr>
              <w:spacing w:line="360" w:lineRule="auto"/>
              <w:ind w:left="210" w:leftChars="100"/>
              <w:rPr>
                <w:rFonts w:ascii="仿宋" w:hAnsi="仿宋" w:eastAsia="仿宋" w:cs="仿宋"/>
                <w:b/>
                <w:bCs/>
                <w:sz w:val="22"/>
              </w:rPr>
            </w:pPr>
            <w:r>
              <w:rPr>
                <w:rFonts w:hint="eastAsia" w:ascii="仿宋" w:hAnsi="仿宋" w:eastAsia="仿宋" w:cs="仿宋"/>
                <w:b/>
                <w:bCs/>
                <w:sz w:val="22"/>
              </w:rPr>
              <w:t>（3）监督部门：审计部</w:t>
            </w:r>
          </w:p>
          <w:p w14:paraId="2016C398">
            <w:pPr>
              <w:spacing w:line="360" w:lineRule="auto"/>
              <w:ind w:left="210" w:leftChars="100"/>
              <w:rPr>
                <w:rFonts w:ascii="仿宋" w:hAnsi="仿宋" w:eastAsia="仿宋" w:cs="仿宋"/>
                <w:sz w:val="22"/>
              </w:rPr>
            </w:pPr>
            <w:r>
              <w:rPr>
                <w:rFonts w:hint="eastAsia" w:ascii="仿宋" w:hAnsi="仿宋" w:eastAsia="仿宋" w:cs="仿宋"/>
                <w:sz w:val="22"/>
              </w:rPr>
              <w:t>联系方式：028-87394709</w:t>
            </w:r>
          </w:p>
          <w:p w14:paraId="682B5454">
            <w:pPr>
              <w:spacing w:line="360" w:lineRule="auto"/>
              <w:ind w:left="210" w:leftChars="100"/>
              <w:rPr>
                <w:rFonts w:ascii="Times New Roman" w:hAnsi="Times New Roman" w:eastAsia="仿宋" w:cs="Times New Roman"/>
                <w:sz w:val="22"/>
              </w:rPr>
            </w:pPr>
            <w:r>
              <w:rPr>
                <w:rFonts w:hint="eastAsia" w:ascii="仿宋" w:hAnsi="仿宋" w:eastAsia="仿宋" w:cs="仿宋"/>
                <w:b/>
                <w:bCs/>
                <w:sz w:val="22"/>
              </w:rPr>
              <w:t>（4）采购平台</w:t>
            </w:r>
            <w:r>
              <w:rPr>
                <w:rFonts w:hint="eastAsia" w:ascii="仿宋" w:hAnsi="仿宋" w:eastAsia="仿宋" w:cs="仿宋"/>
                <w:sz w:val="22"/>
              </w:rPr>
              <w:t>：隆道云400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9E0062A">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（1）</w:t>
            </w:r>
            <w:r>
              <w:rPr>
                <w:rFonts w:hint="eastAsia" w:ascii="Times New Roman" w:hAnsi="Times New Roman" w:eastAsia="仿宋" w:cs="Times New Roman"/>
                <w:sz w:val="22"/>
              </w:rPr>
              <w:t>谈判小组根据谈判文件对供应商的响应文件进行资格审查、符合性审查及其他有效性审查。审查合格的供应商满足</w:t>
            </w:r>
            <w:r>
              <w:rPr>
                <w:rFonts w:hint="eastAsia" w:ascii="Times New Roman" w:hAnsi="Times New Roman" w:eastAsia="仿宋" w:cs="Times New Roman"/>
                <w:sz w:val="22"/>
                <w:lang w:val="en-US" w:eastAsia="zh-CN"/>
              </w:rPr>
              <w:t>5</w:t>
            </w:r>
            <w:r>
              <w:rPr>
                <w:rFonts w:hint="eastAsia" w:ascii="Times New Roman" w:hAnsi="Times New Roman" w:eastAsia="仿宋" w:cs="Times New Roman"/>
                <w:sz w:val="22"/>
              </w:rPr>
              <w:t>家以上(含</w:t>
            </w:r>
            <w:r>
              <w:rPr>
                <w:rFonts w:hint="eastAsia" w:ascii="Times New Roman" w:hAnsi="Times New Roman" w:eastAsia="仿宋" w:cs="Times New Roman"/>
                <w:sz w:val="22"/>
                <w:lang w:val="en-US" w:eastAsia="zh-CN"/>
              </w:rPr>
              <w:t>5</w:t>
            </w:r>
            <w:r>
              <w:rPr>
                <w:rFonts w:hint="eastAsia" w:ascii="Times New Roman" w:hAnsi="Times New Roman" w:eastAsia="仿宋" w:cs="Times New Roman"/>
                <w:sz w:val="22"/>
              </w:rPr>
              <w:t>家)，谈判小组按照评审方式进行评审</w:t>
            </w:r>
            <w:r>
              <w:rPr>
                <w:rFonts w:hint="eastAsia" w:ascii="Times New Roman" w:hAnsi="Times New Roman" w:eastAsia="仿宋" w:cs="Times New Roman"/>
                <w:sz w:val="22"/>
                <w:lang w:eastAsia="zh-CN"/>
              </w:rPr>
              <w:t>。</w:t>
            </w:r>
          </w:p>
          <w:p w14:paraId="42593F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450F5BE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（3）谈判过程中，供应商进行二轮报价或多轮报价且次轮报价不得高于上轮报价，以供应商的最终报价作为有效报价参与评审。</w:t>
            </w:r>
          </w:p>
          <w:p w14:paraId="74E1B9C3">
            <w:pPr>
              <w:spacing w:line="360" w:lineRule="auto"/>
              <w:ind w:left="210" w:leftChars="100"/>
              <w:rPr>
                <w:rFonts w:hint="eastAsia" w:eastAsia="仿宋"/>
                <w:lang w:val="zh-CN" w:eastAsia="zh-CN"/>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r>
              <w:rPr>
                <w:rFonts w:hint="eastAsia" w:ascii="Times New Roman" w:hAnsi="Times New Roman" w:eastAsia="仿宋" w:cs="Times New Roman"/>
                <w:sz w:val="22"/>
                <w:lang w:eastAsia="zh-CN"/>
              </w:rPr>
              <w:t>。</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2B4778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24695EB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03BAC88B">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w:t>
            </w:r>
            <w:r>
              <w:rPr>
                <w:rFonts w:hint="eastAsia" w:ascii="Times New Roman" w:hAnsi="Times New Roman" w:eastAsia="仿宋" w:cs="Times New Roman"/>
                <w:sz w:val="22"/>
                <w:szCs w:val="22"/>
                <w:lang w:eastAsia="zh-CN"/>
              </w:rPr>
              <w:t>四川省医学科学院·四川省人民医院工会委员会</w:t>
            </w:r>
            <w:r>
              <w:rPr>
                <w:rFonts w:ascii="Times New Roman" w:hAnsi="Times New Roman" w:eastAsia="仿宋" w:cs="Times New Roman"/>
                <w:sz w:val="22"/>
                <w:szCs w:val="22"/>
              </w:rPr>
              <w:t>；</w:t>
            </w:r>
          </w:p>
          <w:p w14:paraId="2FAC36A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8"/>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hint="eastAsia" w:ascii="Times New Roman" w:hAnsi="Times New Roman" w:eastAsia="仿宋" w:cs="Times New Roman"/>
                <w:b/>
                <w:bCs/>
                <w:sz w:val="22"/>
                <w:lang w:val="en-US" w:eastAsia="zh-CN"/>
              </w:rPr>
              <w:t>未被列入“信用中国”失信被执行人、重大税收违法失信主体，未被列入“中国政府采购网”政府采购严重违法失信行为记录名单（在处罚有效期内）。</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482A69A2">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1919DBFE">
            <w:pPr>
              <w:widowControl/>
              <w:numPr>
                <w:ilvl w:val="0"/>
                <w:numId w:val="0"/>
              </w:numPr>
              <w:jc w:val="left"/>
              <w:rPr>
                <w:rFonts w:ascii="Times New Roman" w:hAnsi="Times New Roman" w:eastAsia="仿宋" w:cs="Times New Roman"/>
                <w:b/>
                <w:bCs/>
                <w:sz w:val="22"/>
              </w:rPr>
            </w:pPr>
            <w:r>
              <w:rPr>
                <w:rFonts w:hint="eastAsia" w:ascii="Times New Roman" w:hAnsi="Times New Roman" w:eastAsia="仿宋" w:cs="Times New Roman"/>
                <w:b/>
                <w:bCs/>
                <w:sz w:val="22"/>
                <w:lang w:val="en-US" w:eastAsia="zh-CN"/>
              </w:rPr>
              <w:t xml:space="preserve">供应商须出具能有效保障资金安全的相关证明，且在四川省内可合法合规开展业务；需展示结算财务票据模板（能够开具工会消费券）。 </w:t>
            </w:r>
          </w:p>
        </w:tc>
        <w:tc>
          <w:tcPr>
            <w:tcW w:w="4398" w:type="dxa"/>
            <w:vAlign w:val="center"/>
          </w:tcPr>
          <w:p w14:paraId="5974F786">
            <w:pPr>
              <w:rPr>
                <w:rFonts w:hint="default" w:ascii="Times New Roman" w:hAnsi="Times New Roman" w:eastAsia="仿宋" w:cs="Times New Roman"/>
                <w:sz w:val="22"/>
                <w:u w:val="single"/>
                <w:lang w:val="en-US" w:eastAsia="zh-CN"/>
              </w:rPr>
            </w:pPr>
            <w:r>
              <w:rPr>
                <w:rFonts w:hint="eastAsia" w:ascii="Times New Roman" w:hAnsi="Times New Roman" w:eastAsia="仿宋" w:cs="Times New Roman"/>
                <w:sz w:val="22"/>
                <w:u w:val="single"/>
                <w:lang w:val="en-US" w:eastAsia="zh-CN"/>
              </w:rPr>
              <w:t>供应商提供能有效保障资金安全的相关证明并加盖公章</w:t>
            </w:r>
          </w:p>
        </w:tc>
        <w:tc>
          <w:tcPr>
            <w:tcW w:w="902" w:type="dxa"/>
            <w:vAlign w:val="center"/>
          </w:tcPr>
          <w:p w14:paraId="7748C337">
            <w:pPr>
              <w:jc w:val="left"/>
              <w:rPr>
                <w:rFonts w:ascii="Times New Roman" w:hAnsi="Times New Roman" w:eastAsia="仿宋" w:cs="Times New Roman"/>
                <w:bCs/>
                <w:kern w:val="0"/>
                <w:sz w:val="22"/>
              </w:rPr>
            </w:pPr>
          </w:p>
        </w:tc>
      </w:tr>
      <w:tr w14:paraId="58BC5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06242522">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2524" w:type="dxa"/>
            <w:vAlign w:val="center"/>
          </w:tcPr>
          <w:p w14:paraId="1F9CDDE4">
            <w:pPr>
              <w:widowControl/>
              <w:numPr>
                <w:ilvl w:val="0"/>
                <w:numId w:val="0"/>
              </w:numPr>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 xml:space="preserve">自 2023年1月1日（含）以来，具有不少于2个类似项目履约经验。类似项目指：单家合同服务人数不低于2000人，以提货券、电子积分、工会消费券或其他电子核销券等形式开展的职工福利采购项目，包括但不限于工会消费券、法定节日慰问、生日慰问等。 </w:t>
            </w:r>
          </w:p>
          <w:p w14:paraId="129D700B">
            <w:pPr>
              <w:widowControl/>
              <w:numPr>
                <w:ilvl w:val="0"/>
                <w:numId w:val="0"/>
              </w:numPr>
              <w:jc w:val="left"/>
              <w:rPr>
                <w:rFonts w:hint="eastAsia" w:ascii="Times New Roman" w:hAnsi="Times New Roman" w:eastAsia="仿宋" w:cs="Times New Roman"/>
                <w:b/>
                <w:bCs/>
                <w:sz w:val="22"/>
                <w:lang w:val="en-US" w:eastAsia="zh-CN"/>
              </w:rPr>
            </w:pPr>
          </w:p>
        </w:tc>
        <w:tc>
          <w:tcPr>
            <w:tcW w:w="4398" w:type="dxa"/>
            <w:vAlign w:val="center"/>
          </w:tcPr>
          <w:p w14:paraId="39DA57F4">
            <w:pPr>
              <w:rPr>
                <w:rFonts w:hint="default" w:ascii="Times New Roman" w:hAnsi="Times New Roman" w:eastAsia="仿宋" w:cs="Times New Roman"/>
                <w:sz w:val="22"/>
                <w:u w:val="single"/>
                <w:lang w:val="en-US" w:eastAsia="zh-CN"/>
              </w:rPr>
            </w:pPr>
            <w:r>
              <w:rPr>
                <w:rFonts w:hint="eastAsia" w:ascii="Times New Roman" w:hAnsi="Times New Roman" w:eastAsia="仿宋" w:cs="Times New Roman"/>
                <w:sz w:val="22"/>
                <w:u w:val="single"/>
                <w:lang w:val="en-US" w:eastAsia="zh-CN"/>
              </w:rPr>
              <w:t>提供提供关键页合同复印件并加盖公章。</w:t>
            </w:r>
          </w:p>
        </w:tc>
        <w:tc>
          <w:tcPr>
            <w:tcW w:w="902" w:type="dxa"/>
            <w:vAlign w:val="center"/>
          </w:tcPr>
          <w:p w14:paraId="2F8637E4">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75AF57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一、项目简介</w:t>
      </w:r>
    </w:p>
    <w:p w14:paraId="340452C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按照《四川省基层工会经费收支管理实施办法》及上级工会相关文件要求，四川省人民医院工会（以下简称“采购人”）拟发放工会消费券，需要采购3家具备工会消费券发放、兑换、管理及平台运营能力的供应商，承担四川省人民医院2026年职工工会消费券采购及发放管理工作。</w:t>
      </w:r>
    </w:p>
    <w:p w14:paraId="7FEF52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二、服务内容及要求</w:t>
      </w:r>
    </w:p>
    <w:p w14:paraId="29756D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项目采购内容为工会消费券的发放、使用、管理及数据统计等全流程服务，消费券可用于购买日用消费品或文化旅游产品等。</w:t>
      </w:r>
    </w:p>
    <w:p w14:paraId="48FF8D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（一）技术服务要求</w:t>
      </w:r>
    </w:p>
    <w:p w14:paraId="57DD92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消费券有效期不少于三年（电子消费券自使用人手机账号激活之日起算，实物消费券自采购人签收之日起算）。对已过有效期的消费券，供应商应将消费券领取人、领取时间、失效时间报送采购人，采购人有延期需求的供应商应办理延期，不得直接做失效处理，由此产生的费用由供应商承担，采购人不再另行支付。没有使用的消费券，所有权及使用权等权益均属于采购人，采购人可另行指定使用方式。</w:t>
      </w:r>
    </w:p>
    <w:p w14:paraId="238D5F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2.供应商应建有消费券发放及使用平台，可根据采购人要求发放消费券，用户使用简约快捷的方式即可登录使用（如：手机号验证码或微信小程序授权登录等方式）。</w:t>
      </w:r>
    </w:p>
    <w:p w14:paraId="63E135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采购人在消费券的发放或使用中发生问题时，供应商需第一时间协助采购人予以解决，如更换、补发等。如因使用消费券提取的货物出现质量问题，供应商有义务协助采购人妥善处理退换货事宜，如因质量问题造成采购人的利益受到损害的，供应商需协助采购人进行维权。</w:t>
      </w:r>
    </w:p>
    <w:p w14:paraId="272FFE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4.供应商提供的消费券应可兑换对应商家、电商平台销售的等值物品，且可以根据使用人的需求分多次进行消费，不设置使用门槛。</w:t>
      </w:r>
    </w:p>
    <w:p w14:paraId="00DC38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5.使用消费券应能享受商家对外统一提供的售前、配送、售后等服务。</w:t>
      </w:r>
    </w:p>
    <w:p w14:paraId="74A33C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6.供应商应有能力或措施保障合作期间采购人已付资金的安全及用户信息安全。</w:t>
      </w:r>
    </w:p>
    <w:p w14:paraId="755B74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7.供应商应向采购人提供符合工会相关规定的财务凭证和付款资料。</w:t>
      </w:r>
    </w:p>
    <w:p w14:paraId="3D4336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（二）除需满足上述条件外，供应商应提供以下文字材料供职工代表投票使用。</w:t>
      </w:r>
    </w:p>
    <w:p w14:paraId="25011D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企业基本情况介绍。包括企业成立时间、工会消费券项目使用的基本情况，有哪些企业或单位已在使用类似消费券（可公开的单位数据）。市场经营范围、履盖面，平台合作的线上商家和线下商家情况、使用媒介、使用场景，如为电子券要注明发放方式，且须满足日用消费品和文化旅游产品要求。文字材料要求450字-550字。</w:t>
      </w:r>
    </w:p>
    <w:p w14:paraId="2F4045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2.提供可使用消费场景的详细清单和介绍。如：能够提供的商品或是合作的线上商家、线下商家情况。</w:t>
      </w:r>
    </w:p>
    <w:p w14:paraId="701A79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3.提供不限于价格的优惠方案。</w:t>
      </w:r>
    </w:p>
    <w:p w14:paraId="1E94F2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三、商务要求</w:t>
      </w:r>
    </w:p>
    <w:p w14:paraId="3BA9EF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1、资金支付条款：</w:t>
      </w:r>
    </w:p>
    <w:p w14:paraId="725738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验收合格后，供应商须在5日内向采购人出具合法有效票据及其它相关请款资料，采购人自收到上述票据及资料后55日内向供应商支付合同总金额的100%。本项目支付上限为680万元。</w:t>
      </w:r>
    </w:p>
    <w:p w14:paraId="43DF66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2、服务地点：四川省人民医院（包括所有院区）。</w:t>
      </w:r>
    </w:p>
    <w:p w14:paraId="4BF004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服务期：合同签订后30日内，供应商须向采购人交付所有消费券；如供应商因其自身原因逾期交货，应向采购人按逾期天数支付违约金；如供应商因其自身原因逾期超过10天仍未交货，采购人有权单方面解除合同，供应商应向采购人支付违约金。</w:t>
      </w:r>
    </w:p>
    <w:p w14:paraId="640A63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4、验收方案：</w:t>
      </w:r>
    </w:p>
    <w:p w14:paraId="58B231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4.1验收时间：供应商完成交付后5日内通知采购人验收，采购人接供应商通知后10日内组织验收。 </w:t>
      </w:r>
    </w:p>
    <w:p w14:paraId="4308B5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4.2验收主体：采购人      </w:t>
      </w:r>
    </w:p>
    <w:p w14:paraId="2E89C6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4.3验收组织方式：自行验收</w:t>
      </w:r>
    </w:p>
    <w:p w14:paraId="1B2B13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4.4验收方式：现场整体验收        </w:t>
      </w:r>
    </w:p>
    <w:p w14:paraId="43DF23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4.5验收程序：一次性验收</w:t>
      </w:r>
    </w:p>
    <w:p w14:paraId="1FB9AD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4.6验收内容：按照基于本项目采购需求编制的采购文件要求及供应商响应文件情况，由供应商向采购人交付的全部内容。</w:t>
      </w:r>
    </w:p>
    <w:p w14:paraId="29D0F9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4.7验收标准：</w:t>
      </w:r>
      <w:bookmarkStart w:id="15" w:name="OLE_LINK4"/>
    </w:p>
    <w:p w14:paraId="5F34C4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4.7.1国家相关法律法规、行业标准、技术规范。</w:t>
      </w:r>
    </w:p>
    <w:p w14:paraId="38C433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4.7.2基于本项目采购需求编制的谈判文件相关技术、服务要求、成交供应商响应文件相关响应内容。</w:t>
      </w:r>
    </w:p>
    <w:bookmarkEnd w:id="15"/>
    <w:p w14:paraId="2E48D21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4.7.3产品生产厂家出具的产品说明书、技术白皮书、医疗器械注册证或备案凭证等官方技术资料（如涉及）。</w:t>
      </w:r>
    </w:p>
    <w:p w14:paraId="26BEB2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458A61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4.7.5参照《财政部关于进一步加强政府采购需求和履约验收管理的指导意见》（财库〔2016〕205号）的要求进行验收。</w:t>
      </w:r>
    </w:p>
    <w:p w14:paraId="1261A2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4.7.6 其他验收标准：供应商应向采购人提供符合工会相关规定的财务凭证和付款资料。</w:t>
      </w:r>
    </w:p>
    <w:p w14:paraId="01F525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4.8其它验收要求：无</w:t>
      </w:r>
    </w:p>
    <w:p w14:paraId="256427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4.9是否委托第三方机构验收：否。</w:t>
      </w:r>
    </w:p>
    <w:p w14:paraId="57F37B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4.10是否邀请本项目的其他供应商：否</w:t>
      </w:r>
    </w:p>
    <w:p w14:paraId="689BC2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4.11是否邀请服务对象：否</w:t>
      </w:r>
    </w:p>
    <w:p w14:paraId="0E7FC4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4.12是否邀请专家：否</w:t>
      </w:r>
    </w:p>
    <w:p w14:paraId="5BA7BE80">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w:t>
      </w:r>
      <w:r>
        <w:rPr>
          <w:rFonts w:hint="eastAsia" w:ascii="Times New Roman" w:hAnsi="Times New Roman" w:eastAsia="仿宋" w:cs="Times New Roman"/>
          <w:sz w:val="24"/>
          <w:szCs w:val="24"/>
          <w:lang w:val="en-US" w:eastAsia="zh-CN"/>
        </w:rPr>
        <w:t>所有</w:t>
      </w:r>
      <w:r>
        <w:rPr>
          <w:rFonts w:ascii="Times New Roman" w:hAnsi="Times New Roman" w:eastAsia="仿宋" w:cs="Times New Roman"/>
          <w:sz w:val="24"/>
          <w:szCs w:val="24"/>
        </w:rPr>
        <w:t>的条款为实质性要求，不满足将被作为无效响应处理。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6" w:name="_Toc13768"/>
      <w:bookmarkStart w:id="17" w:name="_Toc22588"/>
      <w:bookmarkStart w:id="18" w:name="_Toc28789"/>
      <w:r>
        <w:rPr>
          <w:rFonts w:ascii="Times New Roman" w:hAnsi="Times New Roman" w:cs="Times New Roman"/>
        </w:rPr>
        <w:t>评分标准</w:t>
      </w:r>
      <w:bookmarkEnd w:id="16"/>
      <w:bookmarkEnd w:id="17"/>
      <w:bookmarkEnd w:id="18"/>
    </w:p>
    <w:p w14:paraId="60F8EC8B">
      <w:pPr>
        <w:rPr>
          <w:lang w:val="zh-CN"/>
        </w:rPr>
      </w:pPr>
    </w:p>
    <w:p w14:paraId="320A839F">
      <w:pPr>
        <w:jc w:val="center"/>
        <w:rPr>
          <w:rFonts w:ascii="Times New Roman" w:hAnsi="Times New Roman" w:cs="Times New Roman"/>
        </w:rPr>
      </w:pPr>
      <w:r>
        <w:rPr>
          <w:rFonts w:hint="eastAsia" w:ascii="Times New Roman" w:hAnsi="Times New Roman" w:cs="Times New Roman"/>
          <w:lang w:eastAsia="zh-CN"/>
        </w:rPr>
        <w:t>（</w:t>
      </w:r>
      <w:r>
        <w:rPr>
          <w:rFonts w:hint="eastAsia" w:ascii="Times New Roman" w:hAnsi="Times New Roman" w:cs="Times New Roman"/>
          <w:lang w:val="en-US" w:eastAsia="zh-CN"/>
        </w:rPr>
        <w:t>本项目不涉及</w:t>
      </w:r>
      <w:r>
        <w:rPr>
          <w:rFonts w:hint="eastAsia" w:ascii="Times New Roman" w:hAnsi="Times New Roman" w:cs="Times New Roman"/>
          <w:lang w:eastAsia="zh-CN"/>
        </w:rPr>
        <w:t>）</w:t>
      </w:r>
      <w:r>
        <w:rPr>
          <w:rFonts w:ascii="Times New Roman" w:hAnsi="Times New Roman" w:cs="Times New Roman"/>
        </w:rPr>
        <w:br w:type="page"/>
      </w:r>
    </w:p>
    <w:p w14:paraId="58682A99">
      <w:pPr>
        <w:pStyle w:val="2"/>
        <w:rPr>
          <w:rFonts w:ascii="Times New Roman" w:hAnsi="Times New Roman" w:cs="Times New Roman"/>
        </w:rPr>
      </w:pPr>
      <w:bookmarkStart w:id="19" w:name="_Toc22827"/>
      <w:bookmarkStart w:id="20" w:name="_Toc3094"/>
      <w:bookmarkStart w:id="21" w:name="_Toc28171"/>
      <w:r>
        <w:rPr>
          <w:rFonts w:ascii="Times New Roman" w:hAnsi="Times New Roman" w:cs="Times New Roman"/>
        </w:rPr>
        <w:t>响应文件格式</w:t>
      </w:r>
      <w:bookmarkEnd w:id="19"/>
      <w:bookmarkEnd w:id="20"/>
      <w:bookmarkEnd w:id="21"/>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2" w:name="_Toc5913"/>
      <w:bookmarkStart w:id="23" w:name="_Toc29819"/>
      <w:bookmarkStart w:id="24" w:name="_Toc4960"/>
      <w:r>
        <w:rPr>
          <w:rFonts w:ascii="Times New Roman" w:hAnsi="Times New Roman" w:eastAsia="仿宋" w:cs="Times New Roman"/>
          <w:sz w:val="28"/>
          <w:szCs w:val="24"/>
        </w:rPr>
        <w:t>（响应文件封面）</w:t>
      </w:r>
      <w:bookmarkEnd w:id="22"/>
      <w:bookmarkEnd w:id="23"/>
      <w:bookmarkEnd w:id="24"/>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5" w:name="_Toc9428"/>
      <w:bookmarkStart w:id="26" w:name="_Toc19851"/>
      <w:bookmarkStart w:id="27" w:name="_Toc30609"/>
      <w:r>
        <w:rPr>
          <w:rFonts w:ascii="Times New Roman" w:hAnsi="Times New Roman" w:eastAsia="仿宋" w:cs="Times New Roman"/>
          <w:sz w:val="24"/>
          <w:szCs w:val="24"/>
        </w:rPr>
        <w:t>项目名称：</w:t>
      </w:r>
      <w:bookmarkEnd w:id="25"/>
      <w:bookmarkEnd w:id="26"/>
      <w:bookmarkEnd w:id="27"/>
    </w:p>
    <w:p w14:paraId="6056BEE9">
      <w:pPr>
        <w:jc w:val="left"/>
        <w:rPr>
          <w:rFonts w:ascii="Times New Roman" w:hAnsi="Times New Roman" w:eastAsia="仿宋" w:cs="Times New Roman"/>
          <w:sz w:val="24"/>
          <w:szCs w:val="24"/>
        </w:rPr>
      </w:pPr>
      <w:bookmarkStart w:id="28" w:name="_Toc9041"/>
      <w:bookmarkStart w:id="29" w:name="_Toc32352"/>
      <w:bookmarkStart w:id="30" w:name="_Toc1544"/>
      <w:r>
        <w:rPr>
          <w:rFonts w:ascii="Times New Roman" w:hAnsi="Times New Roman" w:eastAsia="仿宋" w:cs="Times New Roman"/>
          <w:sz w:val="24"/>
          <w:szCs w:val="24"/>
        </w:rPr>
        <w:t>项目编号：</w:t>
      </w:r>
      <w:bookmarkEnd w:id="28"/>
      <w:bookmarkEnd w:id="29"/>
      <w:bookmarkEnd w:id="30"/>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1" w:name="_Toc24097"/>
      <w:bookmarkStart w:id="32" w:name="_Toc21472"/>
    </w:p>
    <w:bookmarkEnd w:id="31"/>
    <w:bookmarkEnd w:id="32"/>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3" w:name="_Toc32749"/>
      <w:bookmarkStart w:id="34" w:name="_Toc17163"/>
      <w:bookmarkStart w:id="35" w:name="_Toc24859"/>
      <w:bookmarkStart w:id="36" w:name="_Toc1690"/>
      <w:r>
        <w:rPr>
          <w:rFonts w:ascii="Times New Roman" w:hAnsi="Times New Roman" w:eastAsia="仿宋" w:cs="Times New Roman"/>
          <w:sz w:val="28"/>
          <w:szCs w:val="24"/>
        </w:rPr>
        <w:t>供应商名称（公章）：</w:t>
      </w:r>
      <w:bookmarkEnd w:id="33"/>
      <w:bookmarkEnd w:id="34"/>
      <w:bookmarkEnd w:id="35"/>
      <w:bookmarkEnd w:id="36"/>
    </w:p>
    <w:p w14:paraId="7286C9BE">
      <w:pPr>
        <w:jc w:val="left"/>
        <w:rPr>
          <w:rFonts w:ascii="Times New Roman" w:hAnsi="Times New Roman" w:eastAsia="仿宋" w:cs="Times New Roman"/>
          <w:sz w:val="28"/>
          <w:szCs w:val="24"/>
        </w:rPr>
      </w:pPr>
      <w:bookmarkStart w:id="37" w:name="_Toc17905"/>
      <w:bookmarkStart w:id="38" w:name="_Toc24123"/>
      <w:bookmarkStart w:id="39" w:name="_Toc3558"/>
      <w:bookmarkStart w:id="40" w:name="_Toc6803"/>
      <w:r>
        <w:rPr>
          <w:rFonts w:ascii="Times New Roman" w:hAnsi="Times New Roman" w:eastAsia="仿宋" w:cs="Times New Roman"/>
          <w:sz w:val="28"/>
          <w:szCs w:val="24"/>
        </w:rPr>
        <w:t>法定代表人或授权代理人（签字）：</w:t>
      </w:r>
      <w:bookmarkEnd w:id="37"/>
      <w:bookmarkEnd w:id="38"/>
      <w:bookmarkEnd w:id="39"/>
      <w:bookmarkEnd w:id="40"/>
    </w:p>
    <w:p w14:paraId="37F68485">
      <w:pPr>
        <w:jc w:val="left"/>
        <w:rPr>
          <w:rFonts w:ascii="Times New Roman" w:hAnsi="Times New Roman" w:eastAsia="仿宋" w:cs="Times New Roman"/>
          <w:sz w:val="28"/>
          <w:szCs w:val="24"/>
        </w:rPr>
      </w:pPr>
      <w:bookmarkStart w:id="41" w:name="_Toc27526"/>
      <w:bookmarkStart w:id="42" w:name="_Toc5996"/>
      <w:bookmarkStart w:id="43" w:name="_Toc2989"/>
      <w:bookmarkStart w:id="44" w:name="_Toc27135"/>
      <w:r>
        <w:rPr>
          <w:rFonts w:ascii="Times New Roman" w:hAnsi="Times New Roman" w:eastAsia="仿宋" w:cs="Times New Roman"/>
          <w:sz w:val="28"/>
          <w:szCs w:val="24"/>
        </w:rPr>
        <w:t>联系方式（移动电话）：</w:t>
      </w:r>
      <w:bookmarkEnd w:id="41"/>
      <w:bookmarkEnd w:id="42"/>
      <w:bookmarkEnd w:id="43"/>
      <w:bookmarkEnd w:id="44"/>
    </w:p>
    <w:p w14:paraId="0746BDF5">
      <w:pPr>
        <w:jc w:val="left"/>
        <w:rPr>
          <w:rFonts w:ascii="Times New Roman" w:hAnsi="Times New Roman" w:eastAsia="仿宋" w:cs="Times New Roman"/>
          <w:sz w:val="28"/>
          <w:szCs w:val="24"/>
        </w:rPr>
      </w:pPr>
      <w:bookmarkStart w:id="45" w:name="_Toc5056"/>
      <w:bookmarkStart w:id="46" w:name="_Toc7233"/>
      <w:bookmarkStart w:id="47" w:name="_Toc19987"/>
      <w:bookmarkStart w:id="48" w:name="_Toc2031"/>
      <w:r>
        <w:rPr>
          <w:rFonts w:ascii="Times New Roman" w:hAnsi="Times New Roman" w:eastAsia="仿宋" w:cs="Times New Roman"/>
          <w:sz w:val="28"/>
          <w:szCs w:val="24"/>
        </w:rPr>
        <w:t>日期：     年    月     日</w:t>
      </w:r>
      <w:bookmarkEnd w:id="45"/>
      <w:bookmarkEnd w:id="46"/>
      <w:bookmarkEnd w:id="47"/>
      <w:bookmarkEnd w:id="48"/>
    </w:p>
    <w:p w14:paraId="3FF21919">
      <w:pPr>
        <w:jc w:val="center"/>
        <w:rPr>
          <w:rFonts w:ascii="Times New Roman" w:hAnsi="Times New Roman" w:eastAsia="仿宋" w:cs="Times New Roman"/>
          <w:sz w:val="32"/>
          <w:szCs w:val="40"/>
        </w:rPr>
      </w:pPr>
      <w:bookmarkStart w:id="49" w:name="_Toc21519"/>
      <w:bookmarkStart w:id="50" w:name="_Toc3023"/>
      <w:bookmarkStart w:id="51" w:name="_Toc6482"/>
      <w:bookmarkStart w:id="52" w:name="_Toc14829"/>
      <w:bookmarkStart w:id="53" w:name="_Toc16029"/>
      <w:bookmarkStart w:id="54" w:name="_Toc11352"/>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ind w:firstLine="0"/>
      </w:pPr>
      <w:r>
        <w:t>承诺函</w:t>
      </w:r>
      <w:bookmarkEnd w:id="49"/>
      <w:bookmarkEnd w:id="50"/>
      <w:bookmarkEnd w:id="51"/>
      <w:bookmarkEnd w:id="52"/>
      <w:bookmarkEnd w:id="53"/>
      <w:bookmarkEnd w:id="54"/>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5" w:name="_Toc22676"/>
      <w:bookmarkStart w:id="56" w:name="_Toc17857"/>
      <w:bookmarkStart w:id="57" w:name="_Toc4305"/>
      <w:bookmarkStart w:id="58" w:name="_Toc31838"/>
      <w:bookmarkStart w:id="59" w:name="_Toc30971"/>
      <w:r>
        <w:rPr>
          <w:rFonts w:ascii="Times New Roman" w:hAnsi="Times New Roman" w:cs="Times New Roman"/>
        </w:rPr>
        <w:br w:type="page"/>
      </w:r>
    </w:p>
    <w:p w14:paraId="23ED41BF">
      <w:pPr>
        <w:pStyle w:val="3"/>
        <w:ind w:firstLine="0"/>
      </w:pPr>
      <w:r>
        <w:t>具有独立承担民事责任的能力</w:t>
      </w:r>
      <w:bookmarkEnd w:id="55"/>
      <w:bookmarkEnd w:id="56"/>
      <w:bookmarkEnd w:id="57"/>
      <w:bookmarkEnd w:id="58"/>
      <w:bookmarkEnd w:id="59"/>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2"/>
          <w:szCs w:val="28"/>
        </w:rPr>
      </w:pPr>
      <w:r>
        <w:rPr>
          <w:bCs/>
        </w:rPr>
        <w:br w:type="page"/>
      </w:r>
      <w:bookmarkStart w:id="60" w:name="_Toc27186"/>
      <w:bookmarkStart w:id="61" w:name="_Toc15613"/>
      <w:bookmarkStart w:id="62"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13904"/>
      <w:bookmarkStart w:id="64" w:name="_Toc25357"/>
      <w:bookmarkStart w:id="65" w:name="_Toc13706"/>
    </w:p>
    <w:p w14:paraId="6BE6D0D2">
      <w:pPr>
        <w:pStyle w:val="3"/>
        <w:ind w:firstLine="0"/>
        <w:rPr>
          <w:szCs w:val="32"/>
        </w:rPr>
      </w:pPr>
      <w:bookmarkStart w:id="66" w:name="_Toc23146"/>
      <w:bookmarkStart w:id="67" w:name="_Toc15508"/>
      <w:r>
        <w:t>本项目其他资格条件提供的证明材料</w:t>
      </w:r>
      <w:bookmarkEnd w:id="62"/>
      <w:bookmarkEnd w:id="63"/>
      <w:bookmarkEnd w:id="64"/>
      <w:bookmarkEnd w:id="65"/>
      <w:bookmarkEnd w:id="66"/>
      <w:bookmarkEnd w:id="67"/>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8" w:name="_Toc15526"/>
      <w:bookmarkStart w:id="69" w:name="_Toc20589"/>
      <w:bookmarkStart w:id="70" w:name="_Toc11351"/>
      <w:bookmarkStart w:id="71" w:name="_Toc27661"/>
      <w:bookmarkStart w:id="72" w:name="_Toc25638"/>
      <w:bookmarkStart w:id="73" w:name="_Toc12015"/>
      <w:r>
        <w:rPr>
          <w:rStyle w:val="40"/>
          <w:b/>
        </w:rPr>
        <w:t>法定代表人身份证明书</w:t>
      </w:r>
      <w:bookmarkEnd w:id="68"/>
      <w:bookmarkEnd w:id="69"/>
      <w:bookmarkEnd w:id="70"/>
      <w:bookmarkEnd w:id="71"/>
      <w:bookmarkEnd w:id="72"/>
      <w:bookmarkEnd w:id="73"/>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4" w:name="_Toc16435"/>
      <w:bookmarkStart w:id="75" w:name="_Toc1074"/>
      <w:bookmarkStart w:id="76" w:name="_Toc23967"/>
      <w:bookmarkStart w:id="77" w:name="_Toc26969"/>
      <w:bookmarkStart w:id="78" w:name="_Toc12967"/>
      <w:bookmarkStart w:id="79" w:name="_Toc2041"/>
      <w:r>
        <w:rPr>
          <w:rStyle w:val="40"/>
          <w:b/>
        </w:rPr>
        <w:t>采购需求偏离表</w:t>
      </w:r>
      <w:bookmarkEnd w:id="74"/>
      <w:bookmarkEnd w:id="75"/>
      <w:bookmarkEnd w:id="76"/>
      <w:bookmarkEnd w:id="77"/>
      <w:bookmarkEnd w:id="78"/>
      <w:bookmarkEnd w:id="79"/>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80" w:name="_Toc26839"/>
      <w:bookmarkStart w:id="81" w:name="_Toc28634"/>
      <w:bookmarkStart w:id="82" w:name="_Toc31686"/>
      <w:bookmarkStart w:id="83" w:name="_Toc1369"/>
      <w:bookmarkStart w:id="84" w:name="_Toc24806"/>
      <w:bookmarkStart w:id="85" w:name="_Toc21082"/>
      <w:r>
        <w:rPr>
          <w:rStyle w:val="40"/>
          <w:b/>
        </w:rPr>
        <w:t>评分需要提供的证明材料</w:t>
      </w:r>
      <w:bookmarkEnd w:id="80"/>
      <w:bookmarkEnd w:id="81"/>
      <w:bookmarkEnd w:id="82"/>
      <w:bookmarkEnd w:id="83"/>
      <w:bookmarkEnd w:id="84"/>
      <w:bookmarkEnd w:id="85"/>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2605"/>
      <w:bookmarkStart w:id="87" w:name="_Toc24494"/>
      <w:bookmarkStart w:id="88" w:name="_Toc3871"/>
    </w:p>
    <w:p w14:paraId="05758452">
      <w:pPr>
        <w:pStyle w:val="3"/>
        <w:ind w:firstLine="0"/>
      </w:pPr>
      <w:bookmarkStart w:id="89" w:name="_Toc15065"/>
      <w:r>
        <w:t>报价单</w:t>
      </w:r>
      <w:bookmarkEnd w:id="89"/>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3778"/>
        <w:gridCol w:w="1862"/>
        <w:gridCol w:w="3368"/>
      </w:tblGrid>
      <w:tr w14:paraId="7D2BC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427" w:type="pct"/>
            <w:vAlign w:val="center"/>
          </w:tcPr>
          <w:p w14:paraId="1CD56DBD">
            <w:pPr>
              <w:spacing w:line="360" w:lineRule="auto"/>
              <w:jc w:val="center"/>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917" w:type="pct"/>
            <w:vAlign w:val="center"/>
          </w:tcPr>
          <w:p w14:paraId="2E894536">
            <w:pPr>
              <w:spacing w:line="360" w:lineRule="auto"/>
              <w:jc w:val="center"/>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报价内容</w:t>
            </w:r>
          </w:p>
        </w:tc>
        <w:tc>
          <w:tcPr>
            <w:tcW w:w="945" w:type="pct"/>
            <w:vAlign w:val="center"/>
          </w:tcPr>
          <w:p w14:paraId="24F744A6">
            <w:pPr>
              <w:spacing w:line="360" w:lineRule="auto"/>
              <w:jc w:val="center"/>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上浮率</w:t>
            </w:r>
          </w:p>
        </w:tc>
        <w:tc>
          <w:tcPr>
            <w:tcW w:w="1709" w:type="pct"/>
            <w:vAlign w:val="center"/>
          </w:tcPr>
          <w:p w14:paraId="174A6EA1">
            <w:pPr>
              <w:spacing w:line="360" w:lineRule="auto"/>
              <w:jc w:val="center"/>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说明</w:t>
            </w:r>
          </w:p>
        </w:tc>
      </w:tr>
      <w:tr w14:paraId="7391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27" w:type="pct"/>
            <w:vAlign w:val="center"/>
          </w:tcPr>
          <w:p w14:paraId="2351D906">
            <w:pPr>
              <w:spacing w:line="360" w:lineRule="auto"/>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917" w:type="pct"/>
            <w:vAlign w:val="center"/>
          </w:tcPr>
          <w:p w14:paraId="1C405C25">
            <w:pPr>
              <w:spacing w:line="360" w:lineRule="auto"/>
              <w:jc w:val="center"/>
              <w:outlineLvl w:val="9"/>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四川省医学科学院·四川省人民医院工会委员会2026年职工工会消费券</w:t>
            </w:r>
          </w:p>
        </w:tc>
        <w:tc>
          <w:tcPr>
            <w:tcW w:w="945" w:type="pct"/>
            <w:vAlign w:val="center"/>
          </w:tcPr>
          <w:p w14:paraId="6CD64315">
            <w:pPr>
              <w:spacing w:line="360" w:lineRule="auto"/>
              <w:ind w:firstLine="210" w:firstLineChars="100"/>
              <w:jc w:val="both"/>
              <w:outlineLvl w:val="9"/>
              <w:rPr>
                <w:rFonts w:hint="default" w:ascii="宋体" w:hAnsi="宋体" w:eastAsia="宋体" w:cs="宋体"/>
                <w:color w:val="auto"/>
                <w:sz w:val="21"/>
                <w:szCs w:val="21"/>
                <w:highlight w:val="none"/>
                <w:u w:val="none" w:color="auto"/>
                <w:lang w:val="en-US" w:eastAsia="zh-CN"/>
              </w:rPr>
            </w:pPr>
            <w:r>
              <w:rPr>
                <w:rFonts w:hint="eastAsia" w:ascii="宋体" w:hAnsi="宋体" w:eastAsia="宋体" w:cs="宋体"/>
                <w:color w:val="auto"/>
                <w:sz w:val="21"/>
                <w:szCs w:val="21"/>
                <w:highlight w:val="none"/>
                <w:u w:val="none" w:color="auto"/>
                <w:lang w:val="en-US" w:eastAsia="zh-CN"/>
              </w:rPr>
              <w:t xml:space="preserve">      %</w:t>
            </w:r>
          </w:p>
        </w:tc>
        <w:tc>
          <w:tcPr>
            <w:tcW w:w="1709" w:type="pct"/>
            <w:vAlign w:val="center"/>
          </w:tcPr>
          <w:p w14:paraId="67114879">
            <w:pPr>
              <w:spacing w:line="360" w:lineRule="auto"/>
              <w:rPr>
                <w:rFonts w:hint="eastAsia" w:ascii="宋体" w:hAnsi="宋体" w:eastAsia="宋体" w:cs="宋体"/>
                <w:color w:val="auto"/>
                <w:sz w:val="21"/>
                <w:szCs w:val="21"/>
                <w:highlight w:val="none"/>
              </w:rPr>
            </w:pPr>
            <w:r>
              <w:rPr>
                <w:rFonts w:hint="eastAsia" w:ascii="Times New Roman" w:hAnsi="Times New Roman" w:eastAsia="仿宋" w:cs="Times New Roman"/>
                <w:sz w:val="22"/>
                <w:u w:val="none"/>
                <w:lang w:val="en-US" w:eastAsia="zh-CN"/>
              </w:rPr>
              <w:t>供应商以“1000元/份”为基数报上浮率。履约时，采购人实际可消费额度按以下公式计算：最终可消费额度=（1000 ×（1+供应商填报上浮率））元/份。例如：若供应商填报上浮率为 5%，则采购成功后实际可消费额度为 1000×（1+5%）=1050元/份，采购人仍按1000元/份支付款项。</w:t>
            </w:r>
          </w:p>
        </w:tc>
      </w:tr>
    </w:tbl>
    <w:p w14:paraId="6D5889B9">
      <w:pPr>
        <w:pStyle w:val="7"/>
        <w:rPr>
          <w:rFonts w:ascii="Times New Roman" w:hAnsi="Times New Roman" w:eastAsia="仿宋" w:cs="Times New Roman"/>
          <w:szCs w:val="21"/>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0" w:name="_Toc29032"/>
      <w:bookmarkStart w:id="91" w:name="_Toc14685"/>
      <w:bookmarkStart w:id="92"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6"/>
      <w:bookmarkEnd w:id="87"/>
      <w:bookmarkEnd w:id="88"/>
      <w:bookmarkEnd w:id="90"/>
      <w:bookmarkEnd w:id="91"/>
      <w:bookmarkEnd w:id="92"/>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3" w:name="_Toc5447"/>
      <w:bookmarkStart w:id="94"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5" w:name="_Toc10625"/>
      <w:r>
        <w:rPr>
          <w:rFonts w:ascii="Times New Roman" w:hAnsi="Times New Roman" w:cs="Times New Roman"/>
        </w:rPr>
        <w:t>合同条款（仅成交后使用）</w:t>
      </w:r>
      <w:bookmarkEnd w:id="93"/>
      <w:bookmarkEnd w:id="94"/>
      <w:bookmarkEnd w:id="95"/>
    </w:p>
    <w:p w14:paraId="57B74785">
      <w:pPr>
        <w:pStyle w:val="7"/>
        <w:jc w:val="center"/>
        <w:rPr>
          <w:rFonts w:ascii="Times New Roman" w:hAnsi="Times New Roman" w:eastAsia="仿宋" w:cs="Times New Roman"/>
          <w:b/>
          <w:bCs/>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072CF18F">
      <w:pPr>
        <w:pStyle w:val="7"/>
        <w:jc w:val="center"/>
        <w:rPr>
          <w:rFonts w:hint="eastAsia" w:ascii="黑体" w:hAnsi="黑体" w:eastAsia="黑体" w:cs="黑体"/>
          <w:b/>
          <w:bCs/>
          <w:sz w:val="48"/>
          <w:szCs w:val="48"/>
        </w:rPr>
      </w:pPr>
      <w:r>
        <w:rPr>
          <w:rFonts w:hint="eastAsia" w:ascii="黑体" w:hAnsi="黑体" w:eastAsia="黑体" w:cs="黑体"/>
          <w:b/>
          <w:bCs/>
          <w:sz w:val="48"/>
          <w:szCs w:val="48"/>
        </w:rPr>
        <w:t>***服务项目</w:t>
      </w:r>
    </w:p>
    <w:p w14:paraId="0C224F86">
      <w:pPr>
        <w:pStyle w:val="41"/>
        <w:rPr>
          <w:rFonts w:hint="eastAsia" w:ascii="黑体" w:hAnsi="黑体" w:eastAsia="黑体" w:cs="黑体"/>
          <w:b/>
          <w:bCs/>
          <w:sz w:val="48"/>
          <w:szCs w:val="48"/>
        </w:rPr>
      </w:pPr>
      <w:r>
        <w:rPr>
          <w:rFonts w:hint="eastAsia" w:ascii="黑体" w:hAnsi="黑体" w:eastAsia="黑体" w:cs="黑体"/>
          <w:b/>
          <w:bCs/>
          <w:sz w:val="48"/>
          <w:szCs w:val="48"/>
        </w:rPr>
        <w:t>采购合同</w:t>
      </w:r>
    </w:p>
    <w:p w14:paraId="6FF5C819">
      <w:pPr>
        <w:rPr>
          <w:sz w:val="24"/>
        </w:rPr>
        <w:sectPr>
          <w:headerReference r:id="rId6" w:type="default"/>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p w14:paraId="39B7B953">
      <w:pPr>
        <w:adjustRightInd w:val="0"/>
        <w:ind w:firstLine="420" w:firstLineChars="200"/>
        <w:contextualSpacing/>
        <w:jc w:val="left"/>
        <w:rPr>
          <w:color w:val="000000"/>
          <w:szCs w:val="21"/>
        </w:rPr>
      </w:pPr>
    </w:p>
    <w:p w14:paraId="75B5253A">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569E9FFB">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28964A41">
      <w:pPr>
        <w:contextualSpacing/>
        <w:jc w:val="left"/>
        <w:rPr>
          <w:b/>
          <w:szCs w:val="21"/>
        </w:rPr>
      </w:pPr>
    </w:p>
    <w:p w14:paraId="7CE6BDC8">
      <w:pPr>
        <w:pStyle w:val="29"/>
        <w:numPr>
          <w:ilvl w:val="0"/>
          <w:numId w:val="12"/>
        </w:numPr>
        <w:ind w:left="0" w:firstLine="0" w:firstLineChars="0"/>
        <w:contextualSpacing/>
        <w:jc w:val="left"/>
        <w:rPr>
          <w:b/>
          <w:szCs w:val="21"/>
        </w:rPr>
      </w:pPr>
      <w:r>
        <w:rPr>
          <w:b/>
          <w:szCs w:val="21"/>
        </w:rPr>
        <w:t>合同标的</w:t>
      </w:r>
    </w:p>
    <w:p w14:paraId="36A521D0">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230D945E">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2B87C389">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66F35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DDDCA04">
            <w:pPr>
              <w:pStyle w:val="29"/>
              <w:ind w:firstLine="0" w:firstLineChars="0"/>
              <w:jc w:val="center"/>
              <w:rPr>
                <w:color w:val="000000"/>
                <w:szCs w:val="21"/>
              </w:rPr>
            </w:pPr>
            <w:r>
              <w:rPr>
                <w:color w:val="000000"/>
                <w:szCs w:val="21"/>
              </w:rPr>
              <w:t>序号</w:t>
            </w:r>
          </w:p>
        </w:tc>
        <w:tc>
          <w:tcPr>
            <w:tcW w:w="2977" w:type="dxa"/>
            <w:vAlign w:val="center"/>
          </w:tcPr>
          <w:p w14:paraId="3765F683">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16ED0DD7">
            <w:pPr>
              <w:pStyle w:val="29"/>
              <w:ind w:firstLine="0" w:firstLineChars="0"/>
              <w:jc w:val="center"/>
              <w:rPr>
                <w:color w:val="000000"/>
                <w:szCs w:val="21"/>
              </w:rPr>
            </w:pPr>
            <w:r>
              <w:rPr>
                <w:color w:val="000000"/>
                <w:szCs w:val="21"/>
              </w:rPr>
              <w:t>具体内容</w:t>
            </w:r>
          </w:p>
        </w:tc>
        <w:tc>
          <w:tcPr>
            <w:tcW w:w="963" w:type="dxa"/>
            <w:vAlign w:val="center"/>
          </w:tcPr>
          <w:p w14:paraId="10F85E2E">
            <w:pPr>
              <w:pStyle w:val="29"/>
              <w:ind w:firstLine="0" w:firstLineChars="0"/>
              <w:jc w:val="center"/>
              <w:rPr>
                <w:color w:val="000000"/>
                <w:szCs w:val="21"/>
              </w:rPr>
            </w:pPr>
            <w:r>
              <w:rPr>
                <w:color w:val="000000"/>
                <w:szCs w:val="21"/>
              </w:rPr>
              <w:t>分项价格（万元）</w:t>
            </w:r>
          </w:p>
        </w:tc>
        <w:tc>
          <w:tcPr>
            <w:tcW w:w="2016" w:type="dxa"/>
          </w:tcPr>
          <w:p w14:paraId="5FCC7721">
            <w:pPr>
              <w:pStyle w:val="29"/>
              <w:ind w:firstLine="0" w:firstLineChars="0"/>
              <w:jc w:val="center"/>
              <w:rPr>
                <w:color w:val="000000"/>
                <w:szCs w:val="21"/>
              </w:rPr>
            </w:pPr>
            <w:r>
              <w:rPr>
                <w:color w:val="000000"/>
                <w:szCs w:val="21"/>
              </w:rPr>
              <w:t>备注</w:t>
            </w:r>
          </w:p>
        </w:tc>
      </w:tr>
      <w:tr w14:paraId="404D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5AC1382">
            <w:pPr>
              <w:pStyle w:val="29"/>
              <w:ind w:firstLine="0" w:firstLineChars="0"/>
              <w:jc w:val="center"/>
              <w:rPr>
                <w:color w:val="000000"/>
                <w:szCs w:val="21"/>
              </w:rPr>
            </w:pPr>
            <w:r>
              <w:rPr>
                <w:rFonts w:hint="eastAsia"/>
                <w:color w:val="000000"/>
                <w:szCs w:val="21"/>
              </w:rPr>
              <w:t>1</w:t>
            </w:r>
          </w:p>
        </w:tc>
        <w:tc>
          <w:tcPr>
            <w:tcW w:w="2977" w:type="dxa"/>
            <w:vAlign w:val="center"/>
          </w:tcPr>
          <w:p w14:paraId="6B5E68E0">
            <w:pPr>
              <w:pStyle w:val="29"/>
              <w:ind w:firstLine="0" w:firstLineChars="0"/>
              <w:rPr>
                <w:color w:val="000000"/>
                <w:szCs w:val="21"/>
              </w:rPr>
            </w:pPr>
          </w:p>
        </w:tc>
        <w:tc>
          <w:tcPr>
            <w:tcW w:w="3686" w:type="dxa"/>
            <w:vAlign w:val="center"/>
          </w:tcPr>
          <w:p w14:paraId="1CD2CC81">
            <w:pPr>
              <w:pStyle w:val="29"/>
              <w:ind w:firstLine="0" w:firstLineChars="0"/>
              <w:rPr>
                <w:color w:val="000000"/>
                <w:szCs w:val="21"/>
              </w:rPr>
            </w:pPr>
          </w:p>
        </w:tc>
        <w:tc>
          <w:tcPr>
            <w:tcW w:w="963" w:type="dxa"/>
            <w:vAlign w:val="center"/>
          </w:tcPr>
          <w:p w14:paraId="6079B404">
            <w:pPr>
              <w:pStyle w:val="29"/>
              <w:ind w:firstLine="0" w:firstLineChars="0"/>
              <w:jc w:val="center"/>
              <w:rPr>
                <w:color w:val="000000"/>
                <w:szCs w:val="21"/>
              </w:rPr>
            </w:pPr>
          </w:p>
        </w:tc>
        <w:tc>
          <w:tcPr>
            <w:tcW w:w="2016" w:type="dxa"/>
          </w:tcPr>
          <w:p w14:paraId="049FA6CF">
            <w:pPr>
              <w:pStyle w:val="29"/>
              <w:ind w:firstLine="0" w:firstLineChars="0"/>
              <w:rPr>
                <w:color w:val="000000"/>
                <w:szCs w:val="21"/>
              </w:rPr>
            </w:pPr>
          </w:p>
        </w:tc>
      </w:tr>
      <w:tr w14:paraId="555BB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317147E">
            <w:pPr>
              <w:pStyle w:val="29"/>
              <w:ind w:firstLine="0" w:firstLineChars="0"/>
              <w:jc w:val="center"/>
              <w:rPr>
                <w:color w:val="000000"/>
                <w:szCs w:val="21"/>
              </w:rPr>
            </w:pPr>
            <w:r>
              <w:rPr>
                <w:rFonts w:hint="eastAsia"/>
                <w:color w:val="000000"/>
                <w:szCs w:val="21"/>
              </w:rPr>
              <w:t>2</w:t>
            </w:r>
          </w:p>
        </w:tc>
        <w:tc>
          <w:tcPr>
            <w:tcW w:w="2977" w:type="dxa"/>
            <w:vAlign w:val="center"/>
          </w:tcPr>
          <w:p w14:paraId="418168C4">
            <w:pPr>
              <w:pStyle w:val="29"/>
              <w:ind w:firstLine="0" w:firstLineChars="0"/>
              <w:rPr>
                <w:color w:val="000000"/>
                <w:szCs w:val="21"/>
              </w:rPr>
            </w:pPr>
          </w:p>
        </w:tc>
        <w:tc>
          <w:tcPr>
            <w:tcW w:w="3686" w:type="dxa"/>
            <w:vAlign w:val="center"/>
          </w:tcPr>
          <w:p w14:paraId="0E60A133">
            <w:pPr>
              <w:pStyle w:val="29"/>
              <w:ind w:firstLine="0" w:firstLineChars="0"/>
              <w:rPr>
                <w:color w:val="000000"/>
                <w:szCs w:val="21"/>
              </w:rPr>
            </w:pPr>
          </w:p>
        </w:tc>
        <w:tc>
          <w:tcPr>
            <w:tcW w:w="963" w:type="dxa"/>
            <w:vAlign w:val="center"/>
          </w:tcPr>
          <w:p w14:paraId="41E3C21C">
            <w:pPr>
              <w:pStyle w:val="29"/>
              <w:ind w:firstLine="0" w:firstLineChars="0"/>
              <w:jc w:val="center"/>
              <w:rPr>
                <w:color w:val="000000"/>
                <w:szCs w:val="21"/>
              </w:rPr>
            </w:pPr>
          </w:p>
        </w:tc>
        <w:tc>
          <w:tcPr>
            <w:tcW w:w="2016" w:type="dxa"/>
          </w:tcPr>
          <w:p w14:paraId="2E7B5A94">
            <w:pPr>
              <w:pStyle w:val="29"/>
              <w:ind w:firstLine="0" w:firstLineChars="0"/>
              <w:rPr>
                <w:color w:val="000000"/>
                <w:szCs w:val="21"/>
              </w:rPr>
            </w:pPr>
          </w:p>
        </w:tc>
      </w:tr>
      <w:tr w14:paraId="2A7AE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BB1286B">
            <w:pPr>
              <w:pStyle w:val="29"/>
              <w:ind w:firstLine="0" w:firstLineChars="0"/>
              <w:jc w:val="center"/>
              <w:rPr>
                <w:color w:val="000000"/>
                <w:szCs w:val="21"/>
              </w:rPr>
            </w:pPr>
            <w:r>
              <w:rPr>
                <w:rFonts w:hint="eastAsia"/>
                <w:color w:val="000000"/>
                <w:szCs w:val="21"/>
              </w:rPr>
              <w:t>3</w:t>
            </w:r>
          </w:p>
        </w:tc>
        <w:tc>
          <w:tcPr>
            <w:tcW w:w="2977" w:type="dxa"/>
            <w:vAlign w:val="center"/>
          </w:tcPr>
          <w:p w14:paraId="1F8737AB">
            <w:pPr>
              <w:pStyle w:val="29"/>
              <w:ind w:firstLine="0" w:firstLineChars="0"/>
              <w:rPr>
                <w:color w:val="000000"/>
                <w:szCs w:val="21"/>
              </w:rPr>
            </w:pPr>
          </w:p>
        </w:tc>
        <w:tc>
          <w:tcPr>
            <w:tcW w:w="3686" w:type="dxa"/>
            <w:vAlign w:val="center"/>
          </w:tcPr>
          <w:p w14:paraId="18F76F89">
            <w:pPr>
              <w:pStyle w:val="29"/>
              <w:ind w:firstLine="0" w:firstLineChars="0"/>
              <w:rPr>
                <w:color w:val="000000"/>
                <w:szCs w:val="21"/>
              </w:rPr>
            </w:pPr>
          </w:p>
        </w:tc>
        <w:tc>
          <w:tcPr>
            <w:tcW w:w="963" w:type="dxa"/>
            <w:vAlign w:val="center"/>
          </w:tcPr>
          <w:p w14:paraId="64C2CB78">
            <w:pPr>
              <w:pStyle w:val="29"/>
              <w:ind w:firstLine="0" w:firstLineChars="0"/>
              <w:jc w:val="center"/>
              <w:rPr>
                <w:color w:val="000000"/>
                <w:szCs w:val="21"/>
              </w:rPr>
            </w:pPr>
          </w:p>
        </w:tc>
        <w:tc>
          <w:tcPr>
            <w:tcW w:w="2016" w:type="dxa"/>
          </w:tcPr>
          <w:p w14:paraId="7E20DFA3">
            <w:pPr>
              <w:pStyle w:val="29"/>
              <w:ind w:firstLine="0" w:firstLineChars="0"/>
              <w:rPr>
                <w:color w:val="000000"/>
                <w:szCs w:val="21"/>
              </w:rPr>
            </w:pPr>
          </w:p>
        </w:tc>
      </w:tr>
      <w:tr w14:paraId="1EB0F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BC771BE">
            <w:pPr>
              <w:pStyle w:val="29"/>
              <w:ind w:firstLine="0" w:firstLineChars="0"/>
              <w:jc w:val="center"/>
              <w:rPr>
                <w:color w:val="000000"/>
                <w:szCs w:val="21"/>
              </w:rPr>
            </w:pPr>
            <w:r>
              <w:rPr>
                <w:color w:val="000000"/>
                <w:szCs w:val="21"/>
              </w:rPr>
              <w:t>…</w:t>
            </w:r>
          </w:p>
        </w:tc>
        <w:tc>
          <w:tcPr>
            <w:tcW w:w="2977" w:type="dxa"/>
            <w:vAlign w:val="center"/>
          </w:tcPr>
          <w:p w14:paraId="04E5BB11">
            <w:pPr>
              <w:pStyle w:val="29"/>
              <w:ind w:firstLine="0" w:firstLineChars="0"/>
              <w:rPr>
                <w:color w:val="000000"/>
                <w:szCs w:val="21"/>
              </w:rPr>
            </w:pPr>
          </w:p>
        </w:tc>
        <w:tc>
          <w:tcPr>
            <w:tcW w:w="3686" w:type="dxa"/>
            <w:vAlign w:val="center"/>
          </w:tcPr>
          <w:p w14:paraId="2F70214A">
            <w:pPr>
              <w:pStyle w:val="29"/>
              <w:ind w:firstLine="0" w:firstLineChars="0"/>
              <w:rPr>
                <w:color w:val="000000"/>
                <w:szCs w:val="21"/>
              </w:rPr>
            </w:pPr>
          </w:p>
        </w:tc>
        <w:tc>
          <w:tcPr>
            <w:tcW w:w="963" w:type="dxa"/>
            <w:vAlign w:val="center"/>
          </w:tcPr>
          <w:p w14:paraId="6CE5E8BF">
            <w:pPr>
              <w:pStyle w:val="29"/>
              <w:ind w:firstLine="0" w:firstLineChars="0"/>
              <w:jc w:val="center"/>
              <w:rPr>
                <w:color w:val="000000"/>
                <w:szCs w:val="21"/>
              </w:rPr>
            </w:pPr>
          </w:p>
        </w:tc>
        <w:tc>
          <w:tcPr>
            <w:tcW w:w="2016" w:type="dxa"/>
          </w:tcPr>
          <w:p w14:paraId="61CEA681">
            <w:pPr>
              <w:pStyle w:val="29"/>
              <w:ind w:firstLine="0" w:firstLineChars="0"/>
              <w:rPr>
                <w:color w:val="000000"/>
                <w:szCs w:val="21"/>
              </w:rPr>
            </w:pPr>
          </w:p>
        </w:tc>
      </w:tr>
    </w:tbl>
    <w:p w14:paraId="62F83615">
      <w:pPr>
        <w:pStyle w:val="29"/>
        <w:numPr>
          <w:ilvl w:val="0"/>
          <w:numId w:val="12"/>
        </w:numPr>
        <w:ind w:firstLineChars="0"/>
        <w:jc w:val="left"/>
        <w:rPr>
          <w:b/>
          <w:szCs w:val="21"/>
        </w:rPr>
      </w:pPr>
      <w:r>
        <w:rPr>
          <w:b/>
          <w:szCs w:val="21"/>
        </w:rPr>
        <w:t>合同</w:t>
      </w:r>
      <w:r>
        <w:rPr>
          <w:rFonts w:hint="eastAsia"/>
          <w:b/>
          <w:szCs w:val="21"/>
        </w:rPr>
        <w:t>价款</w:t>
      </w:r>
    </w:p>
    <w:p w14:paraId="3C8D0F46">
      <w:pPr>
        <w:ind w:firstLine="480"/>
        <w:contextualSpacing/>
        <w:jc w:val="left"/>
        <w:rPr>
          <w:szCs w:val="21"/>
        </w:rPr>
      </w:pPr>
      <w:bookmarkStart w:id="96" w:name="OLE_LINK2"/>
      <w:bookmarkStart w:id="97" w:name="OLE_LINK1"/>
      <w:r>
        <w:rPr>
          <w:color w:val="000000"/>
          <w:szCs w:val="21"/>
        </w:rPr>
        <w:sym w:font="Wingdings 2" w:char="F052"/>
      </w:r>
      <w:r>
        <w:rPr>
          <w:rFonts w:hint="eastAsia"/>
          <w:szCs w:val="21"/>
        </w:rPr>
        <w:t>全包服务</w:t>
      </w:r>
    </w:p>
    <w:p w14:paraId="2A14CAD5">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6890C0B">
      <w:pPr>
        <w:ind w:firstLine="480"/>
        <w:contextualSpacing/>
        <w:jc w:val="left"/>
      </w:pPr>
      <w:r>
        <w:rPr>
          <w:color w:val="000000"/>
          <w:szCs w:val="21"/>
          <w:shd w:val="clear" w:color="auto" w:fill="FFFFFF"/>
        </w:rPr>
        <w:sym w:font="Wingdings" w:char="F0A8"/>
      </w:r>
      <w:r>
        <w:rPr>
          <w:rFonts w:hint="eastAsia"/>
        </w:rPr>
        <w:t>半包服务</w:t>
      </w:r>
    </w:p>
    <w:p w14:paraId="0CC5B8F0">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8" w:name="OLE_LINK28"/>
      <w:r>
        <w:rPr>
          <w:szCs w:val="21"/>
        </w:rPr>
        <w:t>人民币大写：*** 圆整，即RMB *** 元</w:t>
      </w:r>
      <w:bookmarkEnd w:id="98"/>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34E1B7E8">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5ECF06EF">
      <w:pPr>
        <w:ind w:firstLine="480"/>
        <w:contextualSpacing/>
        <w:jc w:val="left"/>
      </w:pPr>
      <w:r>
        <w:rPr>
          <w:color w:val="000000"/>
          <w:szCs w:val="21"/>
          <w:shd w:val="clear" w:color="auto" w:fill="FFFFFF"/>
        </w:rPr>
        <w:sym w:font="Wingdings" w:char="F0A8"/>
      </w:r>
      <w:r>
        <w:rPr>
          <w:rFonts w:hint="eastAsia"/>
        </w:rPr>
        <w:t>按实结算</w:t>
      </w:r>
    </w:p>
    <w:p w14:paraId="4C61772A">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6"/>
    <w:bookmarkEnd w:id="97"/>
    <w:p w14:paraId="332C7129">
      <w:pPr>
        <w:pStyle w:val="29"/>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2C3146DA">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1423F2FE">
      <w:pPr>
        <w:pStyle w:val="29"/>
        <w:jc w:val="left"/>
        <w:rPr>
          <w:bCs/>
          <w:szCs w:val="21"/>
        </w:rPr>
      </w:pPr>
    </w:p>
    <w:p w14:paraId="62779ECC">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464AFDB0">
      <w:pPr>
        <w:pStyle w:val="29"/>
        <w:jc w:val="left"/>
        <w:rPr>
          <w:bCs/>
          <w:szCs w:val="21"/>
        </w:rPr>
      </w:pPr>
    </w:p>
    <w:p w14:paraId="6A3C3496">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9" w:name="OLE_LINK29"/>
      <w:r>
        <w:rPr>
          <w:rFonts w:hint="eastAsia"/>
          <w:bCs/>
          <w:szCs w:val="21"/>
        </w:rPr>
        <w:t>，考核标准详见附件</w:t>
      </w:r>
      <w:r>
        <w:rPr>
          <w:rFonts w:hint="eastAsia"/>
          <w:bCs/>
          <w:szCs w:val="21"/>
          <w:u w:val="single"/>
        </w:rPr>
        <w:t>2</w:t>
      </w:r>
      <w:r>
        <w:rPr>
          <w:rFonts w:hint="eastAsia"/>
          <w:bCs/>
          <w:szCs w:val="21"/>
        </w:rPr>
        <w:t>《考核标准》</w:t>
      </w:r>
      <w:bookmarkEnd w:id="99"/>
      <w:r>
        <w:rPr>
          <w:bCs/>
          <w:szCs w:val="21"/>
        </w:rPr>
        <w:t>。</w:t>
      </w:r>
    </w:p>
    <w:p w14:paraId="5632EB63">
      <w:pPr>
        <w:pStyle w:val="29"/>
        <w:numPr>
          <w:ilvl w:val="0"/>
          <w:numId w:val="12"/>
        </w:numPr>
        <w:ind w:left="0" w:firstLine="0" w:firstLineChars="0"/>
        <w:contextualSpacing/>
        <w:jc w:val="left"/>
        <w:rPr>
          <w:b/>
          <w:szCs w:val="21"/>
        </w:rPr>
      </w:pPr>
      <w:r>
        <w:rPr>
          <w:b/>
          <w:szCs w:val="21"/>
        </w:rPr>
        <w:t>服务</w:t>
      </w:r>
      <w:r>
        <w:rPr>
          <w:rFonts w:hint="eastAsia"/>
          <w:b/>
          <w:szCs w:val="21"/>
        </w:rPr>
        <w:t>方案</w:t>
      </w:r>
    </w:p>
    <w:p w14:paraId="4116CF6A">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07A88384">
      <w:pPr>
        <w:pStyle w:val="29"/>
        <w:numPr>
          <w:ilvl w:val="0"/>
          <w:numId w:val="12"/>
        </w:numPr>
        <w:ind w:left="0" w:firstLine="0" w:firstLineChars="0"/>
        <w:contextualSpacing/>
        <w:jc w:val="left"/>
        <w:rPr>
          <w:b/>
          <w:szCs w:val="21"/>
        </w:rPr>
      </w:pPr>
      <w:r>
        <w:rPr>
          <w:b/>
          <w:szCs w:val="21"/>
        </w:rPr>
        <w:t>验收</w:t>
      </w:r>
    </w:p>
    <w:p w14:paraId="1A7922C3">
      <w:pPr>
        <w:pStyle w:val="29"/>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68C59930">
      <w:pPr>
        <w:pStyle w:val="29"/>
        <w:numPr>
          <w:ilvl w:val="0"/>
          <w:numId w:val="14"/>
        </w:numPr>
        <w:ind w:left="0" w:firstLine="0" w:firstLineChars="0"/>
        <w:contextualSpacing/>
        <w:rPr>
          <w:szCs w:val="21"/>
        </w:rPr>
      </w:pPr>
      <w:r>
        <w:rPr>
          <w:szCs w:val="21"/>
        </w:rPr>
        <w:t>验收方案：</w:t>
      </w:r>
    </w:p>
    <w:p w14:paraId="51ECDF43">
      <w:pPr>
        <w:pStyle w:val="29"/>
        <w:numPr>
          <w:ilvl w:val="0"/>
          <w:numId w:val="15"/>
        </w:numPr>
        <w:ind w:firstLineChars="0"/>
        <w:contextualSpacing/>
        <w:rPr>
          <w:color w:val="000000"/>
          <w:szCs w:val="21"/>
        </w:rPr>
      </w:pPr>
      <w:r>
        <w:rPr>
          <w:rFonts w:hint="eastAsia"/>
          <w:color w:val="000000"/>
          <w:szCs w:val="21"/>
        </w:rPr>
        <w:t>验收主体：甲方</w:t>
      </w:r>
    </w:p>
    <w:p w14:paraId="63B7C061">
      <w:pPr>
        <w:pStyle w:val="29"/>
        <w:numPr>
          <w:ilvl w:val="0"/>
          <w:numId w:val="15"/>
        </w:numPr>
        <w:ind w:firstLineChars="0"/>
        <w:contextualSpacing/>
        <w:rPr>
          <w:color w:val="000000"/>
          <w:szCs w:val="21"/>
        </w:rPr>
      </w:pPr>
      <w:r>
        <w:rPr>
          <w:rFonts w:hint="eastAsia"/>
          <w:color w:val="000000"/>
          <w:szCs w:val="21"/>
        </w:rPr>
        <w:t>验收组织方式：自行验收</w:t>
      </w:r>
    </w:p>
    <w:p w14:paraId="37AA1859">
      <w:pPr>
        <w:pStyle w:val="29"/>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34E68F3B">
      <w:pPr>
        <w:pStyle w:val="29"/>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7092305E">
      <w:pPr>
        <w:pStyle w:val="29"/>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006A2DF0">
      <w:pPr>
        <w:pStyle w:val="29"/>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4AB5B6C7">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04E961D8">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0D917A83">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1DAF90C">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F26E619">
      <w:pPr>
        <w:pStyle w:val="29"/>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676EBB83">
      <w:pPr>
        <w:pStyle w:val="29"/>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9FDB2BB">
      <w:pPr>
        <w:pStyle w:val="29"/>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64EC9822">
      <w:pPr>
        <w:pStyle w:val="29"/>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0F94FA0C">
      <w:pPr>
        <w:pStyle w:val="29"/>
        <w:numPr>
          <w:ilvl w:val="0"/>
          <w:numId w:val="15"/>
        </w:numPr>
        <w:ind w:firstLineChars="0"/>
        <w:contextualSpacing/>
        <w:rPr>
          <w:szCs w:val="21"/>
        </w:rPr>
      </w:pPr>
      <w:r>
        <w:rPr>
          <w:szCs w:val="21"/>
        </w:rPr>
        <w:t>验收标准：</w:t>
      </w:r>
    </w:p>
    <w:p w14:paraId="0CE3557D">
      <w:pPr>
        <w:pStyle w:val="16"/>
        <w:numPr>
          <w:ilvl w:val="0"/>
          <w:numId w:val="16"/>
        </w:numPr>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58040EA0">
      <w:pPr>
        <w:pStyle w:val="16"/>
        <w:numPr>
          <w:ilvl w:val="0"/>
          <w:numId w:val="16"/>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5A75D7B3">
      <w:pPr>
        <w:pStyle w:val="16"/>
        <w:numPr>
          <w:ilvl w:val="0"/>
          <w:numId w:val="16"/>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p w14:paraId="283FAB1E">
      <w:pPr>
        <w:pStyle w:val="16"/>
        <w:numPr>
          <w:ilvl w:val="0"/>
          <w:numId w:val="16"/>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3480A5DD">
      <w:pPr>
        <w:pStyle w:val="16"/>
        <w:numPr>
          <w:ilvl w:val="0"/>
          <w:numId w:val="16"/>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6757EE71">
      <w:pPr>
        <w:pStyle w:val="16"/>
        <w:numPr>
          <w:ilvl w:val="0"/>
          <w:numId w:val="16"/>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37258BDD">
      <w:pPr>
        <w:pStyle w:val="29"/>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173AC65D">
      <w:pPr>
        <w:pStyle w:val="29"/>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480856C">
      <w:pPr>
        <w:pStyle w:val="29"/>
        <w:numPr>
          <w:ilvl w:val="0"/>
          <w:numId w:val="12"/>
        </w:numPr>
        <w:ind w:left="0" w:firstLine="0" w:firstLineChars="0"/>
        <w:contextualSpacing/>
        <w:jc w:val="left"/>
        <w:rPr>
          <w:b/>
          <w:szCs w:val="21"/>
        </w:rPr>
      </w:pPr>
      <w:r>
        <w:rPr>
          <w:b/>
          <w:szCs w:val="21"/>
        </w:rPr>
        <w:t>付款方式</w:t>
      </w:r>
    </w:p>
    <w:p w14:paraId="071555B8">
      <w:pPr>
        <w:pStyle w:val="9"/>
        <w:numPr>
          <w:ilvl w:val="0"/>
          <w:numId w:val="17"/>
        </w:numPr>
        <w:spacing w:after="0" w:line="240" w:lineRule="auto"/>
        <w:ind w:left="227" w:leftChars="0" w:hanging="227"/>
        <w:contextualSpacing/>
        <w:jc w:val="left"/>
        <w:rPr>
          <w:szCs w:val="21"/>
        </w:rPr>
      </w:pPr>
      <w:r>
        <w:rPr>
          <w:szCs w:val="21"/>
        </w:rPr>
        <w:t>履约保证金：</w:t>
      </w:r>
    </w:p>
    <w:p w14:paraId="6D148876">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30ACF5A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639710E7">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2036BD3F">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16BDB112">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3AEB682D">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6151BA33">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3B3117F4">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6AFB72AD">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67124EAB">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3F6DABE0">
      <w:pPr>
        <w:pStyle w:val="29"/>
        <w:numPr>
          <w:ilvl w:val="0"/>
          <w:numId w:val="12"/>
        </w:numPr>
        <w:ind w:left="0" w:firstLine="0" w:firstLineChars="0"/>
        <w:contextualSpacing/>
        <w:jc w:val="left"/>
        <w:rPr>
          <w:b/>
          <w:szCs w:val="21"/>
        </w:rPr>
      </w:pPr>
      <w:r>
        <w:rPr>
          <w:b/>
          <w:szCs w:val="21"/>
        </w:rPr>
        <w:t>双方权利与义务</w:t>
      </w:r>
    </w:p>
    <w:p w14:paraId="45617B9C">
      <w:pPr>
        <w:pStyle w:val="9"/>
        <w:numPr>
          <w:ilvl w:val="0"/>
          <w:numId w:val="18"/>
        </w:numPr>
        <w:spacing w:after="0" w:line="240" w:lineRule="auto"/>
        <w:ind w:left="227" w:leftChars="0" w:hanging="227"/>
        <w:contextualSpacing/>
        <w:jc w:val="left"/>
        <w:rPr>
          <w:szCs w:val="21"/>
        </w:rPr>
      </w:pPr>
      <w:r>
        <w:rPr>
          <w:szCs w:val="21"/>
        </w:rPr>
        <w:t>甲方权利与义务</w:t>
      </w:r>
    </w:p>
    <w:p w14:paraId="105FDC90">
      <w:pPr>
        <w:pStyle w:val="29"/>
        <w:numPr>
          <w:ilvl w:val="0"/>
          <w:numId w:val="19"/>
        </w:numPr>
        <w:adjustRightInd w:val="0"/>
        <w:ind w:left="525" w:hanging="525" w:hangingChars="250"/>
        <w:contextualSpacing/>
        <w:jc w:val="left"/>
        <w:rPr>
          <w:szCs w:val="21"/>
        </w:rPr>
      </w:pPr>
      <w:r>
        <w:rPr>
          <w:szCs w:val="21"/>
        </w:rPr>
        <w:t>按合同约定向乙方支付费用。</w:t>
      </w:r>
    </w:p>
    <w:p w14:paraId="48A41EA7">
      <w:pPr>
        <w:pStyle w:val="29"/>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046AAD6D">
      <w:pPr>
        <w:pStyle w:val="29"/>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238E349C">
      <w:pPr>
        <w:pStyle w:val="29"/>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7807979">
      <w:pPr>
        <w:pStyle w:val="9"/>
        <w:numPr>
          <w:ilvl w:val="0"/>
          <w:numId w:val="18"/>
        </w:numPr>
        <w:spacing w:after="0" w:line="240" w:lineRule="auto"/>
        <w:ind w:left="227" w:leftChars="0" w:hanging="227"/>
        <w:contextualSpacing/>
        <w:jc w:val="left"/>
        <w:rPr>
          <w:szCs w:val="21"/>
        </w:rPr>
      </w:pPr>
      <w:r>
        <w:rPr>
          <w:szCs w:val="21"/>
        </w:rPr>
        <w:t>乙方权利与义务</w:t>
      </w:r>
    </w:p>
    <w:p w14:paraId="3BAFC67D">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34ADBBAC">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110D56FC">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271DBAB2">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7E08A767">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41DCBE5E">
      <w:pPr>
        <w:pStyle w:val="29"/>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70D792A9">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08B22EF">
      <w:pPr>
        <w:pStyle w:val="29"/>
        <w:numPr>
          <w:ilvl w:val="0"/>
          <w:numId w:val="21"/>
        </w:numPr>
        <w:ind w:left="0" w:firstLine="0" w:firstLineChars="0"/>
        <w:rPr>
          <w:szCs w:val="21"/>
        </w:rPr>
      </w:pPr>
      <w:r>
        <w:rPr>
          <w:szCs w:val="21"/>
        </w:rPr>
        <w:t>乙方违约责任：</w:t>
      </w:r>
    </w:p>
    <w:p w14:paraId="11DE5330">
      <w:pPr>
        <w:pStyle w:val="9"/>
        <w:numPr>
          <w:ilvl w:val="0"/>
          <w:numId w:val="22"/>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3D04371">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0EA0DFDE">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467FED00">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6604DEAE">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1C0A5810">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409ABFC9">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56DAF73">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791A2F92">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0CA6A06">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2D6B6A2C">
      <w:pPr>
        <w:pStyle w:val="29"/>
        <w:numPr>
          <w:ilvl w:val="0"/>
          <w:numId w:val="12"/>
        </w:numPr>
        <w:ind w:left="0" w:firstLine="0" w:firstLineChars="0"/>
        <w:contextualSpacing/>
        <w:jc w:val="left"/>
        <w:rPr>
          <w:b/>
          <w:szCs w:val="21"/>
        </w:rPr>
      </w:pPr>
      <w:r>
        <w:rPr>
          <w:b/>
          <w:szCs w:val="21"/>
        </w:rPr>
        <w:t>不可抗力</w:t>
      </w:r>
    </w:p>
    <w:p w14:paraId="5E666D02">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21E33C99">
      <w:pPr>
        <w:pStyle w:val="29"/>
        <w:numPr>
          <w:ilvl w:val="0"/>
          <w:numId w:val="12"/>
        </w:numPr>
        <w:ind w:left="0" w:firstLine="0" w:firstLineChars="0"/>
        <w:contextualSpacing/>
        <w:jc w:val="left"/>
        <w:rPr>
          <w:b/>
          <w:szCs w:val="21"/>
        </w:rPr>
      </w:pPr>
      <w:r>
        <w:rPr>
          <w:b/>
          <w:szCs w:val="21"/>
        </w:rPr>
        <w:t>合同终止及解除</w:t>
      </w:r>
    </w:p>
    <w:p w14:paraId="213ADFED">
      <w:pPr>
        <w:pStyle w:val="29"/>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699EABF2">
      <w:pPr>
        <w:pStyle w:val="29"/>
        <w:numPr>
          <w:ilvl w:val="0"/>
          <w:numId w:val="23"/>
        </w:numPr>
        <w:ind w:left="0" w:firstLine="0" w:firstLineChars="0"/>
        <w:rPr>
          <w:szCs w:val="21"/>
        </w:rPr>
      </w:pPr>
      <w:r>
        <w:rPr>
          <w:szCs w:val="21"/>
        </w:rPr>
        <w:t>在甲、乙任何一方有严重违约行为时，另一方有权单方解除合同。</w:t>
      </w:r>
    </w:p>
    <w:p w14:paraId="7B8D7720">
      <w:pPr>
        <w:pStyle w:val="29"/>
        <w:numPr>
          <w:ilvl w:val="0"/>
          <w:numId w:val="12"/>
        </w:numPr>
        <w:ind w:left="0" w:firstLine="0" w:firstLineChars="0"/>
        <w:contextualSpacing/>
        <w:jc w:val="left"/>
        <w:rPr>
          <w:b/>
          <w:szCs w:val="21"/>
        </w:rPr>
      </w:pPr>
      <w:r>
        <w:rPr>
          <w:b/>
          <w:szCs w:val="21"/>
        </w:rPr>
        <w:t>争议解决办法</w:t>
      </w:r>
    </w:p>
    <w:p w14:paraId="6D288A5D">
      <w:pPr>
        <w:pStyle w:val="29"/>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DB54F47">
      <w:pPr>
        <w:pStyle w:val="29"/>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16ECE123">
      <w:pPr>
        <w:pStyle w:val="29"/>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068943D6">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A3841D7">
      <w:pPr>
        <w:pStyle w:val="34"/>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56E708C3">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C80C5D9">
      <w:pPr>
        <w:pStyle w:val="29"/>
        <w:numPr>
          <w:ilvl w:val="0"/>
          <w:numId w:val="12"/>
        </w:numPr>
        <w:ind w:left="0" w:firstLine="0" w:firstLineChars="0"/>
        <w:contextualSpacing/>
        <w:jc w:val="left"/>
        <w:rPr>
          <w:b/>
          <w:szCs w:val="21"/>
        </w:rPr>
      </w:pPr>
      <w:r>
        <w:rPr>
          <w:b/>
          <w:szCs w:val="21"/>
        </w:rPr>
        <w:t>其他</w:t>
      </w:r>
    </w:p>
    <w:p w14:paraId="344DB365">
      <w:pPr>
        <w:pStyle w:val="29"/>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781844B3">
      <w:pPr>
        <w:pStyle w:val="29"/>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40EB361A">
      <w:pPr>
        <w:pStyle w:val="29"/>
        <w:numPr>
          <w:ilvl w:val="0"/>
          <w:numId w:val="12"/>
        </w:numPr>
        <w:ind w:left="0" w:firstLine="0" w:firstLineChars="0"/>
        <w:contextualSpacing/>
        <w:jc w:val="left"/>
        <w:rPr>
          <w:b/>
          <w:szCs w:val="21"/>
        </w:rPr>
      </w:pPr>
      <w:r>
        <w:rPr>
          <w:b/>
          <w:szCs w:val="21"/>
        </w:rPr>
        <w:t>合同附件</w:t>
      </w:r>
    </w:p>
    <w:p w14:paraId="69A4B3B4">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61BCEA9B">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50CE82BD">
      <w:pPr>
        <w:jc w:val="left"/>
        <w:outlineLvl w:val="0"/>
        <w:rPr>
          <w:szCs w:val="21"/>
        </w:rPr>
      </w:pPr>
      <w:r>
        <w:rPr>
          <w:rFonts w:hint="eastAsia"/>
          <w:szCs w:val="21"/>
        </w:rPr>
        <w:t>附件2《考核标准》</w:t>
      </w:r>
    </w:p>
    <w:p w14:paraId="5BC2060E">
      <w:pPr>
        <w:jc w:val="left"/>
        <w:outlineLvl w:val="0"/>
        <w:rPr>
          <w:szCs w:val="21"/>
        </w:rPr>
      </w:pPr>
      <w:r>
        <w:rPr>
          <w:szCs w:val="21"/>
        </w:rPr>
        <w:t>附件3《服务</w:t>
      </w:r>
      <w:r>
        <w:rPr>
          <w:rFonts w:hint="eastAsia"/>
          <w:szCs w:val="21"/>
        </w:rPr>
        <w:t>方案</w:t>
      </w:r>
      <w:r>
        <w:rPr>
          <w:szCs w:val="21"/>
        </w:rPr>
        <w:t>》</w:t>
      </w:r>
    </w:p>
    <w:p w14:paraId="4794CD38">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007CE32C">
        <w:tblPrEx>
          <w:tblCellMar>
            <w:top w:w="0" w:type="dxa"/>
            <w:left w:w="0" w:type="dxa"/>
            <w:bottom w:w="0" w:type="dxa"/>
            <w:right w:w="0" w:type="dxa"/>
          </w:tblCellMar>
        </w:tblPrEx>
        <w:trPr>
          <w:trHeight w:val="519" w:hRule="atLeast"/>
          <w:jc w:val="center"/>
        </w:trPr>
        <w:tc>
          <w:tcPr>
            <w:tcW w:w="10214" w:type="dxa"/>
            <w:gridSpan w:val="2"/>
          </w:tcPr>
          <w:p w14:paraId="525C5BAE">
            <w:pPr>
              <w:rPr>
                <w:szCs w:val="21"/>
              </w:rPr>
            </w:pPr>
            <w:r>
              <w:rPr>
                <w:szCs w:val="21"/>
              </w:rPr>
              <w:t>签订时间：</w:t>
            </w:r>
            <w:r>
              <w:t>202*</w:t>
            </w:r>
            <w:r>
              <w:rPr>
                <w:szCs w:val="21"/>
              </w:rPr>
              <w:t>年***月***日</w:t>
            </w:r>
          </w:p>
        </w:tc>
      </w:tr>
      <w:tr w14:paraId="654386ED">
        <w:tblPrEx>
          <w:tblCellMar>
            <w:top w:w="0" w:type="dxa"/>
            <w:left w:w="0" w:type="dxa"/>
            <w:bottom w:w="0" w:type="dxa"/>
            <w:right w:w="0" w:type="dxa"/>
          </w:tblCellMar>
        </w:tblPrEx>
        <w:trPr>
          <w:jc w:val="center"/>
        </w:trPr>
        <w:tc>
          <w:tcPr>
            <w:tcW w:w="4967" w:type="dxa"/>
          </w:tcPr>
          <w:p w14:paraId="30442CD4">
            <w:pPr>
              <w:rPr>
                <w:szCs w:val="21"/>
              </w:rPr>
            </w:pPr>
            <w:r>
              <w:rPr>
                <w:szCs w:val="21"/>
              </w:rPr>
              <w:t>甲方：四川省人民医院（盖章）</w:t>
            </w:r>
          </w:p>
          <w:p w14:paraId="3ECA0AE5">
            <w:pPr>
              <w:rPr>
                <w:szCs w:val="21"/>
              </w:rPr>
            </w:pPr>
            <w:r>
              <w:rPr>
                <w:szCs w:val="21"/>
              </w:rPr>
              <w:t>法定代表人（授权代表签字）：</w:t>
            </w:r>
          </w:p>
          <w:p w14:paraId="7D13C357">
            <w:pPr>
              <w:rPr>
                <w:szCs w:val="21"/>
              </w:rPr>
            </w:pPr>
            <w:r>
              <w:rPr>
                <w:szCs w:val="21"/>
              </w:rPr>
              <w:t>地    址：四川省成都市一环路西二段32号</w:t>
            </w:r>
          </w:p>
          <w:p w14:paraId="60AF3DA5">
            <w:pPr>
              <w:rPr>
                <w:szCs w:val="21"/>
              </w:rPr>
            </w:pPr>
            <w:r>
              <w:rPr>
                <w:szCs w:val="21"/>
              </w:rPr>
              <w:t>开户银行：建设银行成都青羊支行</w:t>
            </w:r>
          </w:p>
          <w:p w14:paraId="76F89622">
            <w:pPr>
              <w:rPr>
                <w:szCs w:val="21"/>
              </w:rPr>
            </w:pPr>
            <w:r>
              <w:rPr>
                <w:szCs w:val="21"/>
              </w:rPr>
              <w:t>账号：5100 1446 4360 5037 4282</w:t>
            </w:r>
          </w:p>
        </w:tc>
        <w:tc>
          <w:tcPr>
            <w:tcW w:w="5247" w:type="dxa"/>
          </w:tcPr>
          <w:p w14:paraId="79348524">
            <w:pPr>
              <w:rPr>
                <w:szCs w:val="21"/>
              </w:rPr>
            </w:pPr>
            <w:r>
              <w:rPr>
                <w:szCs w:val="21"/>
              </w:rPr>
              <w:t>乙方：</w:t>
            </w:r>
            <w:permStart w:id="2" w:edGrp="everyone"/>
            <w:r>
              <w:rPr>
                <w:szCs w:val="21"/>
              </w:rPr>
              <w:t>***</w:t>
            </w:r>
            <w:permEnd w:id="2"/>
            <w:r>
              <w:rPr>
                <w:szCs w:val="21"/>
              </w:rPr>
              <w:t>（盖章）</w:t>
            </w:r>
          </w:p>
          <w:p w14:paraId="340C2CE3">
            <w:pPr>
              <w:rPr>
                <w:szCs w:val="21"/>
              </w:rPr>
            </w:pPr>
            <w:r>
              <w:rPr>
                <w:szCs w:val="21"/>
              </w:rPr>
              <w:t>法定代表人（授权代表签字）：</w:t>
            </w:r>
          </w:p>
          <w:p w14:paraId="32CD6881">
            <w:pPr>
              <w:rPr>
                <w:szCs w:val="21"/>
              </w:rPr>
            </w:pPr>
            <w:r>
              <w:rPr>
                <w:szCs w:val="21"/>
              </w:rPr>
              <w:t>地址：</w:t>
            </w:r>
            <w:permStart w:id="3" w:edGrp="everyone"/>
            <w:r>
              <w:rPr>
                <w:szCs w:val="21"/>
              </w:rPr>
              <w:t>***</w:t>
            </w:r>
            <w:permEnd w:id="3"/>
          </w:p>
          <w:p w14:paraId="7E8F70B0">
            <w:pPr>
              <w:rPr>
                <w:szCs w:val="21"/>
              </w:rPr>
            </w:pPr>
            <w:r>
              <w:rPr>
                <w:szCs w:val="21"/>
              </w:rPr>
              <w:t>开户银行：</w:t>
            </w:r>
            <w:permStart w:id="4" w:edGrp="everyone"/>
            <w:r>
              <w:rPr>
                <w:szCs w:val="21"/>
              </w:rPr>
              <w:t>***</w:t>
            </w:r>
          </w:p>
          <w:permEnd w:id="4"/>
          <w:p w14:paraId="02B4EFC3">
            <w:pPr>
              <w:widowControl/>
              <w:jc w:val="left"/>
            </w:pPr>
            <w:r>
              <w:rPr>
                <w:szCs w:val="21"/>
              </w:rPr>
              <w:t>账号：</w:t>
            </w:r>
            <w:permStart w:id="5" w:edGrp="everyone"/>
            <w:r>
              <w:rPr>
                <w:szCs w:val="21"/>
              </w:rPr>
              <w:t>***</w:t>
            </w:r>
            <w:permEnd w:id="5"/>
          </w:p>
        </w:tc>
      </w:tr>
    </w:tbl>
    <w:p w14:paraId="7DBA7748">
      <w:pPr>
        <w:widowControl/>
        <w:jc w:val="left"/>
        <w:rPr>
          <w:szCs w:val="21"/>
        </w:rPr>
        <w:sectPr>
          <w:headerReference r:id="rId9" w:type="default"/>
          <w:footerReference r:id="rId10" w:type="default"/>
          <w:type w:val="continuous"/>
          <w:pgSz w:w="11906" w:h="16838"/>
          <w:pgMar w:top="851" w:right="1134" w:bottom="851" w:left="1134" w:header="0" w:footer="567" w:gutter="0"/>
          <w:pgNumType w:fmt="decimal"/>
          <w:cols w:space="425" w:num="1"/>
          <w:docGrid w:linePitch="312" w:charSpace="0"/>
        </w:sectPr>
      </w:pPr>
    </w:p>
    <w:p w14:paraId="54450E91">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407E78B6">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3159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80D3DC">
            <w:pPr>
              <w:widowControl/>
              <w:jc w:val="center"/>
              <w:rPr>
                <w:b/>
                <w:bCs/>
                <w:szCs w:val="21"/>
              </w:rPr>
            </w:pPr>
            <w:r>
              <w:rPr>
                <w:rFonts w:hint="eastAsia"/>
                <w:b/>
                <w:bCs/>
                <w:szCs w:val="21"/>
              </w:rPr>
              <w:t>序号</w:t>
            </w:r>
          </w:p>
        </w:tc>
        <w:tc>
          <w:tcPr>
            <w:tcW w:w="3686" w:type="dxa"/>
            <w:vAlign w:val="center"/>
          </w:tcPr>
          <w:p w14:paraId="39B8FD21">
            <w:pPr>
              <w:widowControl/>
              <w:jc w:val="center"/>
              <w:rPr>
                <w:b/>
                <w:bCs/>
                <w:szCs w:val="21"/>
              </w:rPr>
            </w:pPr>
            <w:r>
              <w:rPr>
                <w:rFonts w:hint="eastAsia"/>
                <w:b/>
                <w:bCs/>
                <w:szCs w:val="21"/>
              </w:rPr>
              <w:t>结算项目名称</w:t>
            </w:r>
          </w:p>
        </w:tc>
        <w:tc>
          <w:tcPr>
            <w:tcW w:w="3402" w:type="dxa"/>
            <w:vAlign w:val="center"/>
          </w:tcPr>
          <w:p w14:paraId="4E7DDC48">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51DCC395">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0B75DB1">
            <w:pPr>
              <w:widowControl/>
              <w:jc w:val="center"/>
              <w:rPr>
                <w:b/>
                <w:bCs/>
                <w:szCs w:val="21"/>
              </w:rPr>
            </w:pPr>
            <w:r>
              <w:rPr>
                <w:rFonts w:hint="eastAsia"/>
                <w:b/>
                <w:bCs/>
                <w:szCs w:val="21"/>
              </w:rPr>
              <w:t>结算单价</w:t>
            </w:r>
          </w:p>
        </w:tc>
      </w:tr>
      <w:tr w14:paraId="35098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14DCC84">
            <w:pPr>
              <w:widowControl/>
              <w:jc w:val="center"/>
              <w:rPr>
                <w:szCs w:val="21"/>
              </w:rPr>
            </w:pPr>
            <w:r>
              <w:rPr>
                <w:rFonts w:hint="eastAsia"/>
                <w:szCs w:val="21"/>
              </w:rPr>
              <w:t>1</w:t>
            </w:r>
          </w:p>
        </w:tc>
        <w:tc>
          <w:tcPr>
            <w:tcW w:w="3686" w:type="dxa"/>
            <w:vAlign w:val="center"/>
          </w:tcPr>
          <w:p w14:paraId="467FF793">
            <w:pPr>
              <w:widowControl/>
              <w:jc w:val="left"/>
              <w:rPr>
                <w:szCs w:val="21"/>
              </w:rPr>
            </w:pPr>
          </w:p>
        </w:tc>
        <w:tc>
          <w:tcPr>
            <w:tcW w:w="3402" w:type="dxa"/>
            <w:vAlign w:val="center"/>
          </w:tcPr>
          <w:p w14:paraId="486F0286">
            <w:pPr>
              <w:widowControl/>
              <w:jc w:val="left"/>
              <w:rPr>
                <w:szCs w:val="21"/>
              </w:rPr>
            </w:pPr>
          </w:p>
        </w:tc>
        <w:tc>
          <w:tcPr>
            <w:tcW w:w="992" w:type="dxa"/>
            <w:vAlign w:val="center"/>
          </w:tcPr>
          <w:p w14:paraId="17FD0268">
            <w:pPr>
              <w:widowControl/>
              <w:jc w:val="center"/>
              <w:rPr>
                <w:szCs w:val="21"/>
              </w:rPr>
            </w:pPr>
          </w:p>
        </w:tc>
        <w:tc>
          <w:tcPr>
            <w:tcW w:w="986" w:type="dxa"/>
            <w:vAlign w:val="center"/>
          </w:tcPr>
          <w:p w14:paraId="2B150AA3">
            <w:pPr>
              <w:widowControl/>
              <w:jc w:val="center"/>
              <w:rPr>
                <w:szCs w:val="21"/>
              </w:rPr>
            </w:pPr>
          </w:p>
        </w:tc>
      </w:tr>
      <w:tr w14:paraId="4E0F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89ACE6D">
            <w:pPr>
              <w:widowControl/>
              <w:jc w:val="center"/>
              <w:rPr>
                <w:szCs w:val="21"/>
              </w:rPr>
            </w:pPr>
            <w:r>
              <w:rPr>
                <w:rFonts w:hint="eastAsia"/>
                <w:szCs w:val="21"/>
              </w:rPr>
              <w:t>2</w:t>
            </w:r>
          </w:p>
        </w:tc>
        <w:tc>
          <w:tcPr>
            <w:tcW w:w="3686" w:type="dxa"/>
            <w:vAlign w:val="center"/>
          </w:tcPr>
          <w:p w14:paraId="60B45D42">
            <w:pPr>
              <w:widowControl/>
              <w:jc w:val="left"/>
              <w:rPr>
                <w:szCs w:val="21"/>
              </w:rPr>
            </w:pPr>
          </w:p>
        </w:tc>
        <w:tc>
          <w:tcPr>
            <w:tcW w:w="3402" w:type="dxa"/>
            <w:vAlign w:val="center"/>
          </w:tcPr>
          <w:p w14:paraId="15F7AE77">
            <w:pPr>
              <w:widowControl/>
              <w:jc w:val="left"/>
              <w:rPr>
                <w:szCs w:val="21"/>
              </w:rPr>
            </w:pPr>
          </w:p>
        </w:tc>
        <w:tc>
          <w:tcPr>
            <w:tcW w:w="992" w:type="dxa"/>
            <w:vAlign w:val="center"/>
          </w:tcPr>
          <w:p w14:paraId="72FC5032">
            <w:pPr>
              <w:widowControl/>
              <w:jc w:val="center"/>
              <w:rPr>
                <w:szCs w:val="21"/>
              </w:rPr>
            </w:pPr>
          </w:p>
        </w:tc>
        <w:tc>
          <w:tcPr>
            <w:tcW w:w="986" w:type="dxa"/>
            <w:vAlign w:val="center"/>
          </w:tcPr>
          <w:p w14:paraId="32489161">
            <w:pPr>
              <w:widowControl/>
              <w:jc w:val="center"/>
              <w:rPr>
                <w:szCs w:val="21"/>
              </w:rPr>
            </w:pPr>
          </w:p>
        </w:tc>
      </w:tr>
      <w:tr w14:paraId="1BE2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2E7EE36">
            <w:pPr>
              <w:widowControl/>
              <w:jc w:val="center"/>
              <w:rPr>
                <w:szCs w:val="21"/>
              </w:rPr>
            </w:pPr>
            <w:r>
              <w:rPr>
                <w:szCs w:val="21"/>
              </w:rPr>
              <w:t>…</w:t>
            </w:r>
          </w:p>
        </w:tc>
        <w:tc>
          <w:tcPr>
            <w:tcW w:w="3686" w:type="dxa"/>
            <w:vAlign w:val="center"/>
          </w:tcPr>
          <w:p w14:paraId="7DC1D0EB">
            <w:pPr>
              <w:widowControl/>
              <w:jc w:val="left"/>
              <w:rPr>
                <w:szCs w:val="21"/>
              </w:rPr>
            </w:pPr>
          </w:p>
        </w:tc>
        <w:tc>
          <w:tcPr>
            <w:tcW w:w="3402" w:type="dxa"/>
            <w:vAlign w:val="center"/>
          </w:tcPr>
          <w:p w14:paraId="430D4218">
            <w:pPr>
              <w:widowControl/>
              <w:jc w:val="left"/>
              <w:rPr>
                <w:szCs w:val="21"/>
              </w:rPr>
            </w:pPr>
          </w:p>
        </w:tc>
        <w:tc>
          <w:tcPr>
            <w:tcW w:w="992" w:type="dxa"/>
            <w:vAlign w:val="center"/>
          </w:tcPr>
          <w:p w14:paraId="1CB9ADD7">
            <w:pPr>
              <w:widowControl/>
              <w:jc w:val="center"/>
              <w:rPr>
                <w:szCs w:val="21"/>
              </w:rPr>
            </w:pPr>
          </w:p>
        </w:tc>
        <w:tc>
          <w:tcPr>
            <w:tcW w:w="986" w:type="dxa"/>
            <w:vAlign w:val="center"/>
          </w:tcPr>
          <w:p w14:paraId="753E0531">
            <w:pPr>
              <w:widowControl/>
              <w:jc w:val="center"/>
              <w:rPr>
                <w:szCs w:val="21"/>
              </w:rPr>
            </w:pPr>
          </w:p>
        </w:tc>
      </w:tr>
    </w:tbl>
    <w:p w14:paraId="1CEF4127">
      <w:pPr>
        <w:widowControl/>
        <w:jc w:val="left"/>
        <w:rPr>
          <w:szCs w:val="21"/>
        </w:rPr>
        <w:sectPr>
          <w:footerReference r:id="rId11" w:type="default"/>
          <w:pgSz w:w="11906" w:h="16838"/>
          <w:pgMar w:top="851" w:right="1134" w:bottom="851" w:left="1134" w:header="0" w:footer="567" w:gutter="0"/>
          <w:pgNumType w:fmt="decimal"/>
          <w:cols w:space="425" w:num="1"/>
          <w:docGrid w:linePitch="312" w:charSpace="0"/>
        </w:sectPr>
      </w:pPr>
    </w:p>
    <w:p w14:paraId="295909B1">
      <w:pPr>
        <w:widowControl/>
        <w:jc w:val="left"/>
        <w:rPr>
          <w:rFonts w:ascii="宋体" w:hAnsi="宋体"/>
          <w:b/>
          <w:bCs/>
          <w:szCs w:val="21"/>
        </w:rPr>
      </w:pPr>
      <w:r>
        <w:rPr>
          <w:rFonts w:hint="eastAsia" w:ascii="宋体" w:hAnsi="宋体"/>
          <w:b/>
          <w:bCs/>
          <w:szCs w:val="21"/>
        </w:rPr>
        <w:t>附件2：考核标准</w:t>
      </w:r>
    </w:p>
    <w:p w14:paraId="688B6C77"/>
    <w:p w14:paraId="4C9070A8">
      <w:r>
        <w:rPr>
          <w:rFonts w:hint="eastAsia"/>
        </w:rPr>
        <w:t>*</w:t>
      </w:r>
      <w:r>
        <w:t>*</w:t>
      </w:r>
    </w:p>
    <w:p w14:paraId="284BB4E3"/>
    <w:p w14:paraId="45606E08"/>
    <w:p w14:paraId="34602B54"/>
    <w:p w14:paraId="79BEE550"/>
    <w:p w14:paraId="24208F4B">
      <w:r>
        <w:br w:type="page"/>
      </w:r>
    </w:p>
    <w:p w14:paraId="242E0CC2">
      <w:pPr>
        <w:bidi w:val="0"/>
        <w:jc w:val="left"/>
        <w:rPr>
          <w:rFonts w:asciiTheme="minorHAnsi" w:hAnsiTheme="minorHAnsi" w:eastAsiaTheme="minorEastAsia" w:cstheme="minorBidi"/>
          <w:kern w:val="2"/>
          <w:sz w:val="21"/>
          <w:szCs w:val="22"/>
          <w:lang w:val="en-US" w:eastAsia="zh-CN" w:bidi="ar-SA"/>
        </w:rPr>
      </w:pPr>
    </w:p>
    <w:p w14:paraId="7EF4C97A">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423B63B">
      <w:pPr>
        <w:rPr>
          <w:rFonts w:hint="eastAsia"/>
        </w:rPr>
      </w:pPr>
    </w:p>
    <w:p w14:paraId="7AB53BD0">
      <w:r>
        <w:rPr>
          <w:rFonts w:hint="eastAsia"/>
        </w:rPr>
        <w:t>*</w:t>
      </w:r>
      <w:r>
        <w:t>*</w:t>
      </w:r>
    </w:p>
    <w:p w14:paraId="08DECC2A"/>
    <w:sectPr>
      <w:headerReference r:id="rId12" w:type="default"/>
      <w:footerReference r:id="rId13"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7BD63E3-C601-418B-9301-8B8C079D2C5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9DA15D1-EC39-4D88-A731-B6907D78A9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46D554AC-4C9F-464A-A1F3-D1CF2E03048B}"/>
  </w:font>
  <w:font w:name="仿宋">
    <w:panose1 w:val="02010609060101010101"/>
    <w:charset w:val="86"/>
    <w:family w:val="modern"/>
    <w:pitch w:val="default"/>
    <w:sig w:usb0="800002BF" w:usb1="38CF7CFA" w:usb2="00000016" w:usb3="00000000" w:csb0="00040001" w:csb1="00000000"/>
    <w:embedRegular r:id="rId4" w:fontKey="{213D3BED-C99D-458D-9658-983B607A78E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0" w:csb1="00000000"/>
    <w:embedRegular r:id="rId5" w:fontKey="{6F323B1A-E6F1-4A7C-B0AE-4C695E323943}"/>
  </w:font>
  <w:font w:name="微软雅黑">
    <w:panose1 w:val="020B0503020204020204"/>
    <w:charset w:val="86"/>
    <w:family w:val="auto"/>
    <w:pitch w:val="default"/>
    <w:sig w:usb0="80000287" w:usb1="2ACF3C50" w:usb2="00000016" w:usb3="00000000" w:csb0="0004001F" w:csb1="00000000"/>
    <w:embedRegular r:id="rId6" w:fontKey="{7F19FA8F-2B56-4A71-9208-0D96C51F0C68}"/>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 w:name="Wingdings">
    <w:panose1 w:val="05000000000000000000"/>
    <w:charset w:val="00"/>
    <w:family w:val="auto"/>
    <w:pitch w:val="default"/>
    <w:sig w:usb0="00000000" w:usb1="00000000" w:usb2="00000000" w:usb3="00000000" w:csb0="80000000" w:csb1="00000000"/>
    <w:embedRegular r:id="rId7" w:fontKey="{194EA534-CDF7-49E1-AFBE-EA4DD769193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5F0D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DDB5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CADDB5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9F72F">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1676C5CD">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2A26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2ADB66">
                          <w:pPr>
                            <w:pStyle w:val="11"/>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33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32ADB66">
                    <w:pPr>
                      <w:pStyle w:val="11"/>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33</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50C44">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1270EF">
                          <w:pPr>
                            <w:pStyle w:val="11"/>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33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F1270EF">
                    <w:pPr>
                      <w:pStyle w:val="11"/>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33</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E0781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9E0781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3ABAF">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54246">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C59B872">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160E82"/>
    <w:rsid w:val="0022301C"/>
    <w:rsid w:val="002B5793"/>
    <w:rsid w:val="002B6CC6"/>
    <w:rsid w:val="003460DC"/>
    <w:rsid w:val="003579A5"/>
    <w:rsid w:val="003831C0"/>
    <w:rsid w:val="003C1BC0"/>
    <w:rsid w:val="003E4BF1"/>
    <w:rsid w:val="00427BF2"/>
    <w:rsid w:val="004549F4"/>
    <w:rsid w:val="00461368"/>
    <w:rsid w:val="004F4DC4"/>
    <w:rsid w:val="00547343"/>
    <w:rsid w:val="00554621"/>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F3202A"/>
    <w:rsid w:val="00F523A1"/>
    <w:rsid w:val="00F676AD"/>
    <w:rsid w:val="00F90C3B"/>
    <w:rsid w:val="00FF60E3"/>
    <w:rsid w:val="027B26FD"/>
    <w:rsid w:val="058C78B0"/>
    <w:rsid w:val="05E13064"/>
    <w:rsid w:val="078A573C"/>
    <w:rsid w:val="093A3733"/>
    <w:rsid w:val="0B4508AE"/>
    <w:rsid w:val="0C0C561C"/>
    <w:rsid w:val="0CF161C9"/>
    <w:rsid w:val="0E0B7FF0"/>
    <w:rsid w:val="0E1E65D6"/>
    <w:rsid w:val="106E1F77"/>
    <w:rsid w:val="117A5014"/>
    <w:rsid w:val="127F05A0"/>
    <w:rsid w:val="136D78F8"/>
    <w:rsid w:val="15CC4977"/>
    <w:rsid w:val="162A4F7D"/>
    <w:rsid w:val="16A82A66"/>
    <w:rsid w:val="1994787E"/>
    <w:rsid w:val="1D63476B"/>
    <w:rsid w:val="1DD000AF"/>
    <w:rsid w:val="1E09745A"/>
    <w:rsid w:val="23D4489F"/>
    <w:rsid w:val="23E64A19"/>
    <w:rsid w:val="262001B9"/>
    <w:rsid w:val="27B87AF9"/>
    <w:rsid w:val="27E80EA9"/>
    <w:rsid w:val="280414A1"/>
    <w:rsid w:val="28570368"/>
    <w:rsid w:val="29C5318E"/>
    <w:rsid w:val="2B502F98"/>
    <w:rsid w:val="2C9A0A9E"/>
    <w:rsid w:val="2DA70D65"/>
    <w:rsid w:val="3427766B"/>
    <w:rsid w:val="343706EB"/>
    <w:rsid w:val="351A08D0"/>
    <w:rsid w:val="36334CE5"/>
    <w:rsid w:val="36945D28"/>
    <w:rsid w:val="39710272"/>
    <w:rsid w:val="3A551407"/>
    <w:rsid w:val="3B033C36"/>
    <w:rsid w:val="3E5D4E8E"/>
    <w:rsid w:val="3FE25336"/>
    <w:rsid w:val="42075FF8"/>
    <w:rsid w:val="42842020"/>
    <w:rsid w:val="468567BB"/>
    <w:rsid w:val="47213EC5"/>
    <w:rsid w:val="4782487D"/>
    <w:rsid w:val="4B31068E"/>
    <w:rsid w:val="4BA55220"/>
    <w:rsid w:val="4BAD0151"/>
    <w:rsid w:val="4C8F75A2"/>
    <w:rsid w:val="4DAD4403"/>
    <w:rsid w:val="4DCE739A"/>
    <w:rsid w:val="4E8C008E"/>
    <w:rsid w:val="4FEF758C"/>
    <w:rsid w:val="50771A9C"/>
    <w:rsid w:val="51C47F6D"/>
    <w:rsid w:val="5455382C"/>
    <w:rsid w:val="55491271"/>
    <w:rsid w:val="58BB223B"/>
    <w:rsid w:val="5D0A3490"/>
    <w:rsid w:val="5D7E0D39"/>
    <w:rsid w:val="5E9D3F29"/>
    <w:rsid w:val="60384CD1"/>
    <w:rsid w:val="60655808"/>
    <w:rsid w:val="61F569C9"/>
    <w:rsid w:val="63A9427A"/>
    <w:rsid w:val="63D462B1"/>
    <w:rsid w:val="641A3596"/>
    <w:rsid w:val="6484018D"/>
    <w:rsid w:val="64AA3405"/>
    <w:rsid w:val="64D96647"/>
    <w:rsid w:val="655B51E5"/>
    <w:rsid w:val="65E40ADA"/>
    <w:rsid w:val="66330B86"/>
    <w:rsid w:val="66E22203"/>
    <w:rsid w:val="675B432F"/>
    <w:rsid w:val="68581E9C"/>
    <w:rsid w:val="68B812C9"/>
    <w:rsid w:val="69D50CF4"/>
    <w:rsid w:val="6C487AFD"/>
    <w:rsid w:val="6CB24363"/>
    <w:rsid w:val="6EA93466"/>
    <w:rsid w:val="6FCF0795"/>
    <w:rsid w:val="71381023"/>
    <w:rsid w:val="73714961"/>
    <w:rsid w:val="754D1D92"/>
    <w:rsid w:val="758350A9"/>
    <w:rsid w:val="7891762D"/>
    <w:rsid w:val="792627D5"/>
    <w:rsid w:val="7A227D2E"/>
    <w:rsid w:val="7ABD3053"/>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3563</Words>
  <Characters>3743</Characters>
  <Lines>72</Lines>
  <Paragraphs>20</Paragraphs>
  <TotalTime>15</TotalTime>
  <ScaleCrop>false</ScaleCrop>
  <LinksUpToDate>false</LinksUpToDate>
  <CharactersWithSpaces>3821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2026-05-12T07:59:04Z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BD5822047E3E4B8AB9F3233CEEB48F30_13</vt:lpwstr>
  </property>
  <property fmtid="{D5CDD505-2E9C-101B-9397-08002B2CF9AE}" pid="4" name="KSOTemplateDocerSaveRecord">
    <vt:lpwstr>eyJoZGlkIjoiMmYzMjBlOTBlMmU5YzA1ZjM4ZDczZjBmYWNjYjE4M2UiLCJ1c2VySWQiOiI2NTgwMTYxNjcifQ==</vt:lpwstr>
  </property>
</Properties>
</file>