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四川省人民医院网络隔离区（DMZ）专线采购项目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471310326"/>
      <w:bookmarkStart w:id="3" w:name="_Toc192583766"/>
      <w:bookmarkStart w:id="4" w:name="_Toc3240"/>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9853"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22"/>
        <w:gridCol w:w="8063"/>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68" w:type="dxa"/>
            <w:tcBorders>
              <w:top w:val="single" w:color="auto" w:sz="18" w:space="0"/>
            </w:tcBorders>
            <w:vAlign w:val="center"/>
          </w:tcPr>
          <w:p w14:paraId="02754E5C">
            <w:pPr>
              <w:spacing w:line="240" w:lineRule="auto"/>
              <w:ind w:left="0" w:leftChars="0" w:right="0" w:rightChars="0" w:firstLine="0" w:firstLineChars="0"/>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0" w:type="auto"/>
            <w:tcBorders>
              <w:top w:val="single" w:color="auto" w:sz="18" w:space="0"/>
            </w:tcBorders>
            <w:vAlign w:val="center"/>
          </w:tcPr>
          <w:p w14:paraId="694BC1D0">
            <w:pPr>
              <w:spacing w:line="240" w:lineRule="auto"/>
              <w:ind w:left="0" w:leftChars="0" w:right="0" w:rightChars="0" w:firstLine="0" w:firstLineChars="0"/>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63" w:type="dxa"/>
            <w:tcBorders>
              <w:top w:val="single" w:color="auto" w:sz="18" w:space="0"/>
            </w:tcBorders>
            <w:vAlign w:val="center"/>
          </w:tcPr>
          <w:p w14:paraId="1A5730B8">
            <w:pPr>
              <w:spacing w:line="240" w:lineRule="auto"/>
              <w:ind w:left="0" w:leftChars="0" w:right="0" w:rightChars="0" w:firstLine="0" w:firstLineChars="0"/>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68" w:type="dxa"/>
            <w:tcBorders>
              <w:bottom w:val="single" w:color="auto" w:sz="4" w:space="0"/>
            </w:tcBorders>
            <w:vAlign w:val="center"/>
          </w:tcPr>
          <w:p w14:paraId="50791428">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lang w:val="zh-CN"/>
              </w:rPr>
            </w:pPr>
          </w:p>
        </w:tc>
        <w:tc>
          <w:tcPr>
            <w:tcW w:w="0" w:type="auto"/>
            <w:tcBorders>
              <w:bottom w:val="single" w:color="auto" w:sz="4" w:space="0"/>
            </w:tcBorders>
            <w:vAlign w:val="center"/>
          </w:tcPr>
          <w:p w14:paraId="500732C6">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063" w:type="dxa"/>
            <w:tcBorders>
              <w:bottom w:val="single" w:color="auto" w:sz="4" w:space="0"/>
            </w:tcBorders>
            <w:vAlign w:val="center"/>
          </w:tcPr>
          <w:p w14:paraId="3F33B384">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68" w:type="dxa"/>
            <w:tcBorders>
              <w:bottom w:val="single" w:color="auto" w:sz="4" w:space="0"/>
            </w:tcBorders>
            <w:vAlign w:val="center"/>
          </w:tcPr>
          <w:p w14:paraId="24E9AE16">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lang w:val="zh-CN"/>
              </w:rPr>
            </w:pPr>
          </w:p>
        </w:tc>
        <w:tc>
          <w:tcPr>
            <w:tcW w:w="0" w:type="auto"/>
            <w:tcBorders>
              <w:bottom w:val="single" w:color="auto" w:sz="4" w:space="0"/>
            </w:tcBorders>
            <w:vAlign w:val="center"/>
          </w:tcPr>
          <w:p w14:paraId="33C83C96">
            <w:pPr>
              <w:spacing w:line="240" w:lineRule="auto"/>
              <w:ind w:left="0" w:leftChars="0" w:right="0" w:rightChars="0" w:firstLine="0" w:firstLineChars="0"/>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063" w:type="dxa"/>
            <w:tcBorders>
              <w:bottom w:val="single" w:color="auto" w:sz="4" w:space="0"/>
            </w:tcBorders>
            <w:vAlign w:val="center"/>
          </w:tcPr>
          <w:p w14:paraId="23C921FB">
            <w:pPr>
              <w:spacing w:line="240" w:lineRule="auto"/>
              <w:ind w:left="0" w:leftChars="0" w:right="0" w:rightChars="0" w:firstLine="0" w:firstLineChars="0"/>
              <w:rPr>
                <w:rFonts w:ascii="Times New Roman" w:hAnsi="Times New Roman" w:eastAsia="仿宋" w:cs="Times New Roman"/>
                <w:sz w:val="22"/>
              </w:rPr>
            </w:pPr>
            <w:r>
              <w:rPr>
                <w:rFonts w:hint="eastAsia" w:ascii="Times New Roman" w:hAnsi="Times New Roman" w:eastAsia="仿宋" w:cs="Times New Roman"/>
                <w:sz w:val="22"/>
              </w:rPr>
              <w:t>四川省人民医院网络隔离区（DMZ）专线采购项目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68" w:type="dxa"/>
            <w:vAlign w:val="center"/>
          </w:tcPr>
          <w:p w14:paraId="2E15CA35">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14FB29CD">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063" w:type="dxa"/>
            <w:vAlign w:val="center"/>
          </w:tcPr>
          <w:p w14:paraId="027F4916">
            <w:pPr>
              <w:spacing w:line="240" w:lineRule="auto"/>
              <w:ind w:left="0" w:leftChars="0" w:right="0" w:rightChars="0" w:firstLine="0" w:firstLineChars="0"/>
              <w:rPr>
                <w:rFonts w:ascii="Times New Roman" w:hAnsi="Times New Roman" w:eastAsia="仿宋" w:cs="Times New Roman"/>
                <w:sz w:val="22"/>
              </w:rPr>
            </w:pPr>
            <w:r>
              <w:rPr>
                <w:rFonts w:hint="eastAsia" w:ascii="Times New Roman" w:hAnsi="Times New Roman" w:eastAsia="仿宋" w:cs="Times New Roman"/>
                <w:sz w:val="22"/>
              </w:rPr>
              <w:t>CGZX-YXX20261246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68" w:type="dxa"/>
            <w:vAlign w:val="center"/>
          </w:tcPr>
          <w:p w14:paraId="33FA1427">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1BE3DA10">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063" w:type="dxa"/>
            <w:vAlign w:val="center"/>
          </w:tcPr>
          <w:p w14:paraId="0F314CA4">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68" w:type="dxa"/>
            <w:vAlign w:val="center"/>
          </w:tcPr>
          <w:p w14:paraId="0747BE03">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665127C5">
            <w:pPr>
              <w:spacing w:line="240" w:lineRule="auto"/>
              <w:ind w:left="0" w:leftChars="0" w:right="0" w:rightChars="0" w:firstLine="0" w:firstLineChars="0"/>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063" w:type="dxa"/>
            <w:vAlign w:val="center"/>
          </w:tcPr>
          <w:p w14:paraId="526F90A0">
            <w:pPr>
              <w:spacing w:line="240" w:lineRule="auto"/>
              <w:ind w:left="0" w:leftChars="0" w:right="0" w:rightChars="0" w:firstLine="0" w:firstLineChars="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6.65万</w:t>
            </w:r>
            <w:r>
              <w:rPr>
                <w:rFonts w:ascii="Times New Roman" w:hAnsi="Times New Roman" w:eastAsia="仿宋" w:cs="Times New Roman"/>
                <w:sz w:val="22"/>
                <w:u w:val="none"/>
              </w:rPr>
              <w:t>元</w:t>
            </w:r>
            <w:r>
              <w:rPr>
                <w:rFonts w:hint="eastAsia" w:ascii="Times New Roman" w:hAnsi="Times New Roman" w:eastAsia="仿宋" w:cs="Times New Roman"/>
                <w:sz w:val="22"/>
                <w:u w:val="none"/>
                <w:lang w:eastAsia="zh-CN"/>
              </w:rPr>
              <w:t>，</w:t>
            </w:r>
            <w:r>
              <w:rPr>
                <w:rFonts w:hint="eastAsia" w:ascii="Times New Roman" w:hAnsi="Times New Roman" w:eastAsia="仿宋" w:cs="Times New Roman"/>
                <w:sz w:val="22"/>
                <w:u w:val="none"/>
                <w:lang w:val="en-US" w:eastAsia="zh-CN"/>
              </w:rPr>
              <w:t>限高单价详见第四章。</w:t>
            </w:r>
          </w:p>
          <w:p w14:paraId="1D0C1EB9">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68" w:type="dxa"/>
            <w:vAlign w:val="center"/>
          </w:tcPr>
          <w:p w14:paraId="1BF23077">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3539F94E">
            <w:pPr>
              <w:spacing w:line="240" w:lineRule="auto"/>
              <w:ind w:left="0" w:leftChars="0" w:right="0" w:rightChars="0" w:firstLine="0" w:firstLineChars="0"/>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063" w:type="dxa"/>
            <w:vAlign w:val="center"/>
          </w:tcPr>
          <w:p w14:paraId="0C1E0865">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68" w:type="dxa"/>
            <w:vAlign w:val="center"/>
          </w:tcPr>
          <w:p w14:paraId="023F7F22">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58FCE2B0">
            <w:pPr>
              <w:spacing w:line="240" w:lineRule="auto"/>
              <w:ind w:left="0" w:leftChars="0" w:right="0" w:rightChars="0" w:firstLine="0" w:firstLineChars="0"/>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8063" w:type="dxa"/>
            <w:vAlign w:val="center"/>
          </w:tcPr>
          <w:p w14:paraId="30A029FA">
            <w:pPr>
              <w:spacing w:line="240" w:lineRule="auto"/>
              <w:ind w:left="0" w:leftChars="0" w:right="0" w:rightChars="0" w:firstLine="0" w:firstLineChars="0"/>
              <w:rPr>
                <w:rFonts w:ascii="Times New Roman" w:hAnsi="Times New Roman" w:eastAsia="仿宋" w:cs="Times New Roman"/>
                <w:sz w:val="22"/>
                <w:highlight w:val="yellow"/>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中国移动通信集团四川有限公司成都分公司</w:t>
            </w:r>
          </w:p>
          <w:p w14:paraId="789161A3">
            <w:pPr>
              <w:spacing w:line="240" w:lineRule="auto"/>
              <w:ind w:left="0" w:leftChars="0" w:right="0" w:rightChars="0" w:firstLine="0" w:firstLineChars="0"/>
              <w:rPr>
                <w:rFonts w:hint="default" w:ascii="Times New Roman" w:hAnsi="Times New Roman" w:eastAsia="仿宋" w:cs="Times New Roman"/>
                <w:sz w:val="22"/>
                <w:highlight w:val="none"/>
                <w:lang w:val="en-US"/>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四川省成都市武侯区高升桥路1号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68" w:type="dxa"/>
            <w:vAlign w:val="center"/>
          </w:tcPr>
          <w:p w14:paraId="3E2E00C2">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05DFE86C">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063" w:type="dxa"/>
            <w:vAlign w:val="center"/>
          </w:tcPr>
          <w:p w14:paraId="79E437D2">
            <w:pPr>
              <w:spacing w:line="240" w:lineRule="auto"/>
              <w:ind w:left="0" w:leftChars="0" w:right="0" w:rightChars="0" w:firstLine="0" w:firstLineChars="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68" w:type="dxa"/>
            <w:vAlign w:val="center"/>
          </w:tcPr>
          <w:p w14:paraId="4B6ED6B6">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762FF482">
            <w:pPr>
              <w:pStyle w:val="30"/>
              <w:widowControl/>
              <w:spacing w:line="240" w:lineRule="auto"/>
              <w:ind w:left="0" w:leftChars="0" w:right="0" w:rightChars="0"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063" w:type="dxa"/>
            <w:vAlign w:val="center"/>
          </w:tcPr>
          <w:p w14:paraId="28C40AC0">
            <w:pPr>
              <w:spacing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68" w:type="dxa"/>
            <w:vMerge w:val="restart"/>
            <w:vAlign w:val="center"/>
          </w:tcPr>
          <w:p w14:paraId="5830264A">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Merge w:val="restart"/>
            <w:vAlign w:val="center"/>
          </w:tcPr>
          <w:p w14:paraId="4A39BAAD">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063" w:type="dxa"/>
            <w:tcBorders>
              <w:bottom w:val="single" w:color="auto" w:sz="4" w:space="0"/>
            </w:tcBorders>
            <w:vAlign w:val="center"/>
          </w:tcPr>
          <w:p w14:paraId="23BB57DD">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668" w:type="dxa"/>
            <w:vMerge w:val="continue"/>
            <w:vAlign w:val="center"/>
          </w:tcPr>
          <w:p w14:paraId="12B09244">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Merge w:val="continue"/>
            <w:vAlign w:val="center"/>
          </w:tcPr>
          <w:p w14:paraId="1AE804CF">
            <w:pPr>
              <w:spacing w:line="240" w:lineRule="auto"/>
              <w:ind w:left="0" w:leftChars="0" w:right="0" w:rightChars="0" w:firstLine="0" w:firstLineChars="0"/>
              <w:jc w:val="center"/>
              <w:rPr>
                <w:rFonts w:ascii="Times New Roman" w:hAnsi="Times New Roman" w:eastAsia="仿宋" w:cs="Times New Roman"/>
                <w:kern w:val="0"/>
                <w:sz w:val="22"/>
              </w:rPr>
            </w:pPr>
          </w:p>
        </w:tc>
        <w:tc>
          <w:tcPr>
            <w:tcW w:w="8063" w:type="dxa"/>
            <w:tcBorders>
              <w:top w:val="single" w:color="auto" w:sz="4" w:space="0"/>
            </w:tcBorders>
            <w:vAlign w:val="center"/>
          </w:tcPr>
          <w:p w14:paraId="2C331044">
            <w:pPr>
              <w:pStyle w:val="7"/>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240" w:lineRule="auto"/>
              <w:ind w:left="0" w:leftChars="0" w:right="0" w:rightChars="0" w:firstLine="0" w:firstLineChars="0"/>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68" w:type="dxa"/>
            <w:vAlign w:val="center"/>
          </w:tcPr>
          <w:p w14:paraId="708E28B5">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18BCA590">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063" w:type="dxa"/>
            <w:vAlign w:val="center"/>
          </w:tcPr>
          <w:p w14:paraId="182837E4">
            <w:pPr>
              <w:spacing w:line="240" w:lineRule="auto"/>
              <w:ind w:left="0" w:leftChars="0" w:right="0" w:rightChars="0" w:firstLine="0" w:firstLineChars="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68" w:type="dxa"/>
            <w:vMerge w:val="restart"/>
            <w:vAlign w:val="center"/>
          </w:tcPr>
          <w:p w14:paraId="24BF4ECA">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Merge w:val="restart"/>
            <w:vAlign w:val="center"/>
          </w:tcPr>
          <w:p w14:paraId="5A3E651C">
            <w:pPr>
              <w:pStyle w:val="29"/>
              <w:spacing w:line="240" w:lineRule="auto"/>
              <w:ind w:left="0" w:leftChars="0" w:right="0" w:rightChars="0" w:firstLine="0" w:firstLineChars="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063" w:type="dxa"/>
            <w:tcBorders>
              <w:bottom w:val="single" w:color="auto" w:sz="4" w:space="0"/>
            </w:tcBorders>
            <w:vAlign w:val="center"/>
          </w:tcPr>
          <w:p w14:paraId="26B9D930">
            <w:pPr>
              <w:pStyle w:val="29"/>
              <w:spacing w:line="240" w:lineRule="auto"/>
              <w:ind w:left="0" w:leftChars="0" w:right="0" w:rightChars="0" w:firstLine="0" w:firstLineChars="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68" w:type="dxa"/>
            <w:vMerge w:val="continue"/>
            <w:vAlign w:val="center"/>
          </w:tcPr>
          <w:p w14:paraId="69DDB21E">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Merge w:val="continue"/>
            <w:vAlign w:val="center"/>
          </w:tcPr>
          <w:p w14:paraId="790710E5">
            <w:pPr>
              <w:pStyle w:val="29"/>
              <w:spacing w:line="240" w:lineRule="auto"/>
              <w:ind w:left="0" w:leftChars="0" w:right="0" w:rightChars="0" w:firstLine="0" w:firstLineChars="0"/>
              <w:jc w:val="center"/>
              <w:rPr>
                <w:rFonts w:ascii="Times New Roman" w:hAnsi="Times New Roman" w:eastAsia="仿宋" w:cs="Times New Roman"/>
                <w:sz w:val="22"/>
                <w:szCs w:val="22"/>
              </w:rPr>
            </w:pPr>
          </w:p>
        </w:tc>
        <w:tc>
          <w:tcPr>
            <w:tcW w:w="8063" w:type="dxa"/>
            <w:tcBorders>
              <w:top w:val="single" w:color="auto" w:sz="4" w:space="0"/>
            </w:tcBorders>
            <w:vAlign w:val="center"/>
          </w:tcPr>
          <w:p w14:paraId="1F2025E4">
            <w:pPr>
              <w:pStyle w:val="29"/>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9"/>
              <w:numPr>
                <w:ilvl w:val="0"/>
                <w:numId w:val="6"/>
              </w:numPr>
              <w:tabs>
                <w:tab w:val="left" w:pos="220"/>
                <w:tab w:val="clear" w:pos="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9"/>
              <w:numPr>
                <w:ilvl w:val="0"/>
                <w:numId w:val="7"/>
              </w:numPr>
              <w:tabs>
                <w:tab w:val="left" w:pos="22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9"/>
              <w:numPr>
                <w:ilvl w:val="0"/>
                <w:numId w:val="6"/>
              </w:numPr>
              <w:tabs>
                <w:tab w:val="left" w:pos="220"/>
                <w:tab w:val="clear" w:pos="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9"/>
              <w:tabs>
                <w:tab w:val="left" w:pos="220"/>
              </w:tabs>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项目验收合格且服务期结束后，供应商向采购人提供合法有效票据及其他相关请款资料，采购人在90工作日内将履约保证金扣减考核金额（如涉及考核）后一次性无息退还。</w:t>
            </w:r>
          </w:p>
          <w:p w14:paraId="6E42CB63">
            <w:pPr>
              <w:pStyle w:val="29"/>
              <w:numPr>
                <w:ilvl w:val="0"/>
                <w:numId w:val="6"/>
              </w:numPr>
              <w:tabs>
                <w:tab w:val="left" w:pos="220"/>
                <w:tab w:val="clear" w:pos="0"/>
              </w:tabs>
              <w:spacing w:line="240" w:lineRule="auto"/>
              <w:ind w:left="0" w:leftChars="0" w:right="0" w:rightChars="0" w:firstLine="0" w:firstLineChars="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9"/>
              <w:numPr>
                <w:ilvl w:val="0"/>
                <w:numId w:val="8"/>
              </w:numPr>
              <w:tabs>
                <w:tab w:val="left" w:pos="218"/>
              </w:tabs>
              <w:spacing w:line="240" w:lineRule="auto"/>
              <w:ind w:left="0" w:leftChars="0" w:right="0" w:rightChars="0"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9"/>
              <w:numPr>
                <w:ilvl w:val="0"/>
                <w:numId w:val="0"/>
              </w:numPr>
              <w:tabs>
                <w:tab w:val="left" w:pos="218"/>
              </w:tabs>
              <w:spacing w:line="240" w:lineRule="auto"/>
              <w:ind w:left="0" w:leftChars="0" w:right="0" w:rightChars="0"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68" w:type="dxa"/>
            <w:vAlign w:val="center"/>
          </w:tcPr>
          <w:p w14:paraId="27755E56">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5CB0CE66">
            <w:pPr>
              <w:spacing w:line="240" w:lineRule="auto"/>
              <w:ind w:left="0" w:leftChars="0" w:right="0" w:rightChars="0" w:firstLine="0" w:firstLineChars="0"/>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063" w:type="dxa"/>
            <w:vAlign w:val="center"/>
          </w:tcPr>
          <w:p w14:paraId="37D2F400">
            <w:pPr>
              <w:spacing w:line="240" w:lineRule="auto"/>
              <w:ind w:left="0" w:leftChars="0" w:right="0" w:rightChars="0" w:firstLine="0" w:firstLineChars="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68" w:type="dxa"/>
            <w:vAlign w:val="center"/>
          </w:tcPr>
          <w:p w14:paraId="7526FA89">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szCs w:val="21"/>
              </w:rPr>
            </w:pPr>
          </w:p>
        </w:tc>
        <w:tc>
          <w:tcPr>
            <w:tcW w:w="0" w:type="auto"/>
            <w:vAlign w:val="center"/>
          </w:tcPr>
          <w:p w14:paraId="7366443D">
            <w:pPr>
              <w:pStyle w:val="29"/>
              <w:spacing w:line="240" w:lineRule="auto"/>
              <w:ind w:left="0" w:leftChars="0" w:right="0" w:rightChars="0" w:firstLine="0" w:firstLineChars="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240" w:lineRule="auto"/>
              <w:ind w:left="0" w:leftChars="0" w:right="0" w:rightChars="0" w:firstLine="0" w:firstLineChars="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063" w:type="dxa"/>
            <w:vAlign w:val="center"/>
          </w:tcPr>
          <w:p w14:paraId="13A3F209">
            <w:pPr>
              <w:pStyle w:val="29"/>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68" w:type="dxa"/>
            <w:vAlign w:val="center"/>
          </w:tcPr>
          <w:p w14:paraId="0815B312">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kern w:val="0"/>
                <w:sz w:val="22"/>
              </w:rPr>
            </w:pPr>
          </w:p>
        </w:tc>
        <w:tc>
          <w:tcPr>
            <w:tcW w:w="0" w:type="auto"/>
            <w:vAlign w:val="center"/>
          </w:tcPr>
          <w:p w14:paraId="4383793A">
            <w:pPr>
              <w:pStyle w:val="29"/>
              <w:spacing w:line="240" w:lineRule="auto"/>
              <w:ind w:left="0" w:leftChars="0" w:right="0" w:rightChars="0" w:firstLine="0" w:firstLineChars="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063" w:type="dxa"/>
            <w:vAlign w:val="center"/>
          </w:tcPr>
          <w:p w14:paraId="25CE8F0C">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240" w:lineRule="auto"/>
              <w:ind w:left="0" w:leftChars="0" w:right="0" w:rightChars="0" w:firstLine="0" w:firstLineChars="0"/>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68" w:type="dxa"/>
            <w:vAlign w:val="center"/>
          </w:tcPr>
          <w:p w14:paraId="51C5A7F8">
            <w:pPr>
              <w:pStyle w:val="28"/>
              <w:numPr>
                <w:ilvl w:val="0"/>
                <w:numId w:val="4"/>
              </w:numPr>
              <w:tabs>
                <w:tab w:val="left" w:pos="220"/>
                <w:tab w:val="clear" w:pos="0"/>
              </w:tabs>
              <w:adjustRightInd w:val="0"/>
              <w:snapToGrid w:val="0"/>
              <w:spacing w:line="240" w:lineRule="auto"/>
              <w:ind w:left="0" w:leftChars="0" w:right="0" w:rightChars="0" w:firstLine="0" w:firstLineChars="0"/>
              <w:jc w:val="both"/>
              <w:rPr>
                <w:rFonts w:ascii="Times New Roman" w:hAnsi="Times New Roman" w:eastAsia="仿宋" w:cs="Times New Roman"/>
                <w:kern w:val="0"/>
                <w:sz w:val="22"/>
              </w:rPr>
            </w:pPr>
          </w:p>
        </w:tc>
        <w:tc>
          <w:tcPr>
            <w:tcW w:w="1122" w:type="dxa"/>
            <w:vAlign w:val="center"/>
          </w:tcPr>
          <w:p w14:paraId="26C9A784">
            <w:pPr>
              <w:pStyle w:val="29"/>
              <w:spacing w:line="240" w:lineRule="auto"/>
              <w:ind w:left="0" w:leftChars="0" w:right="0" w:rightChars="0" w:firstLine="0" w:firstLineChars="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063" w:type="dxa"/>
            <w:vAlign w:val="center"/>
          </w:tcPr>
          <w:p w14:paraId="178277E5">
            <w:pPr>
              <w:spacing w:line="240" w:lineRule="auto"/>
              <w:ind w:left="0" w:leftChars="0" w:right="0" w:rightChars="0" w:firstLine="0" w:firstLineChars="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240" w:lineRule="auto"/>
              <w:ind w:left="0" w:leftChars="0" w:right="0" w:rightChars="0" w:firstLine="0" w:firstLineChars="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赵</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87394475</w:t>
            </w:r>
          </w:p>
          <w:p w14:paraId="64ABCF4D">
            <w:pPr>
              <w:spacing w:line="240" w:lineRule="auto"/>
              <w:ind w:left="0" w:leftChars="0" w:right="0" w:rightChars="0" w:firstLine="0" w:firstLineChars="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240" w:lineRule="auto"/>
              <w:ind w:left="0" w:leftChars="0" w:right="0" w:rightChars="0" w:firstLine="0" w:firstLineChars="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黄</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87393250</w:t>
            </w:r>
          </w:p>
          <w:p w14:paraId="2699BB77">
            <w:pPr>
              <w:spacing w:line="240" w:lineRule="auto"/>
              <w:ind w:left="0" w:leftChars="0" w:right="0" w:rightChars="0" w:firstLine="0" w:firstLineChars="0"/>
              <w:rPr>
                <w:rFonts w:hint="default" w:ascii="Times New Roman" w:hAnsi="Times New Roman" w:eastAsia="仿宋" w:cs="Times New Roman"/>
                <w:sz w:val="22"/>
              </w:rPr>
            </w:pPr>
            <w:r>
              <w:rPr>
                <w:rFonts w:ascii="Times New Roman" w:hAnsi="Times New Roman" w:eastAsia="仿宋" w:cs="Times New Roman"/>
                <w:sz w:val="22"/>
              </w:rPr>
              <w:t>（3）监督部门：审计部</w:t>
            </w:r>
          </w:p>
          <w:p w14:paraId="509376EE">
            <w:pPr>
              <w:spacing w:line="240" w:lineRule="auto"/>
              <w:ind w:left="0" w:leftChars="0" w:right="0" w:rightChars="0" w:firstLine="0" w:firstLineChars="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240" w:lineRule="auto"/>
              <w:ind w:left="0" w:leftChars="0" w:right="0" w:rightChars="0" w:firstLine="0" w:firstLineChars="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92583767"/>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3"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4475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供应商应具备有效的《基础电信业务经营许可证》或《增值电信业务经营许可证》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hint="eastAsia" w:ascii="Times New Roman" w:hAnsi="Times New Roman" w:eastAsia="仿宋" w:cs="Times New Roman"/>
                <w:sz w:val="22"/>
                <w:u w:val="single"/>
              </w:rPr>
              <w:t>有效的《基础电信业务经营许可证》或《增值电信业务经营许可证》</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92583769"/>
      <w:bookmarkStart w:id="13" w:name="_Toc12668"/>
      <w:bookmarkStart w:id="14" w:name="_Toc3988"/>
      <w:r>
        <w:rPr>
          <w:rFonts w:ascii="Times New Roman" w:hAnsi="Times New Roman" w:cs="Times New Roman"/>
        </w:rPr>
        <w:t>采购需求</w:t>
      </w:r>
      <w:bookmarkEnd w:id="12"/>
      <w:bookmarkEnd w:id="13"/>
      <w:bookmarkEnd w:id="14"/>
    </w:p>
    <w:p w14:paraId="538AB14B">
      <w:pPr>
        <w:pStyle w:val="16"/>
        <w:numPr>
          <w:ilvl w:val="0"/>
          <w:numId w:val="12"/>
        </w:numPr>
        <w:ind w:firstLine="0" w:firstLineChars="0"/>
        <w:rPr>
          <w:rFonts w:hint="eastAsia" w:ascii="仿宋" w:hAnsi="仿宋" w:eastAsia="仿宋" w:cs="仿宋"/>
          <w:sz w:val="24"/>
          <w:szCs w:val="24"/>
        </w:rPr>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w:t>
      </w:r>
      <w:r>
        <w:rPr>
          <w:rFonts w:hint="eastAsia" w:ascii="仿宋" w:hAnsi="仿宋" w:eastAsia="仿宋" w:cs="仿宋"/>
          <w:b w:val="0"/>
          <w:bCs w:val="0"/>
          <w:kern w:val="2"/>
          <w:sz w:val="24"/>
          <w:szCs w:val="24"/>
          <w:lang w:val="en-US" w:eastAsia="zh-CN" w:bidi="ar-SA"/>
        </w:rPr>
        <w:t>本项目拟确定一名供应商采购网络隔离区（DMZ）专线。</w:t>
      </w:r>
      <w:r>
        <w:rPr>
          <w:rFonts w:hint="eastAsia" w:ascii="仿宋" w:hAnsi="仿宋" w:eastAsia="仿宋" w:cs="仿宋"/>
          <w:sz w:val="24"/>
          <w:szCs w:val="24"/>
        </w:rPr>
        <w:cr/>
      </w: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b/>
          <w:bCs/>
          <w:sz w:val="24"/>
          <w:szCs w:val="24"/>
          <w:lang w:val="en-US" w:eastAsia="zh-CN"/>
        </w:rPr>
        <w:t>（一）采购清单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2"/>
        <w:gridCol w:w="1410"/>
        <w:gridCol w:w="2861"/>
        <w:gridCol w:w="1185"/>
        <w:gridCol w:w="1455"/>
        <w:gridCol w:w="2145"/>
      </w:tblGrid>
      <w:tr w14:paraId="349C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3951609A">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0" w:type="auto"/>
            <w:shd w:val="clear" w:color="auto" w:fill="auto"/>
            <w:tcMar>
              <w:top w:w="0" w:type="dxa"/>
              <w:left w:w="105" w:type="dxa"/>
              <w:bottom w:w="0" w:type="dxa"/>
              <w:right w:w="105" w:type="dxa"/>
            </w:tcMar>
            <w:vAlign w:val="center"/>
          </w:tcPr>
          <w:p w14:paraId="054D29AB">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品名</w:t>
            </w:r>
          </w:p>
        </w:tc>
        <w:tc>
          <w:tcPr>
            <w:tcW w:w="2861" w:type="dxa"/>
            <w:shd w:val="clear" w:color="auto" w:fill="auto"/>
            <w:tcMar>
              <w:top w:w="0" w:type="dxa"/>
              <w:left w:w="105" w:type="dxa"/>
              <w:bottom w:w="0" w:type="dxa"/>
              <w:right w:w="105" w:type="dxa"/>
            </w:tcMar>
            <w:vAlign w:val="center"/>
          </w:tcPr>
          <w:p w14:paraId="2C087564">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详细描述</w:t>
            </w:r>
          </w:p>
        </w:tc>
        <w:tc>
          <w:tcPr>
            <w:tcW w:w="1185" w:type="dxa"/>
            <w:shd w:val="clear" w:color="auto" w:fill="auto"/>
            <w:tcMar>
              <w:top w:w="0" w:type="dxa"/>
              <w:left w:w="105" w:type="dxa"/>
              <w:bottom w:w="0" w:type="dxa"/>
              <w:right w:w="105" w:type="dxa"/>
            </w:tcMar>
            <w:vAlign w:val="center"/>
          </w:tcPr>
          <w:p w14:paraId="1CE881BE">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455" w:type="dxa"/>
            <w:shd w:val="clear" w:color="auto" w:fill="auto"/>
            <w:tcMar>
              <w:top w:w="0" w:type="dxa"/>
              <w:left w:w="105" w:type="dxa"/>
              <w:bottom w:w="0" w:type="dxa"/>
              <w:right w:w="105" w:type="dxa"/>
            </w:tcMar>
            <w:vAlign w:val="center"/>
          </w:tcPr>
          <w:p w14:paraId="3FD5BE84">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2145" w:type="dxa"/>
            <w:shd w:val="clear" w:color="auto" w:fill="auto"/>
            <w:tcMar>
              <w:top w:w="0" w:type="dxa"/>
              <w:left w:w="105" w:type="dxa"/>
              <w:bottom w:w="0" w:type="dxa"/>
              <w:right w:w="105" w:type="dxa"/>
            </w:tcMar>
            <w:vAlign w:val="center"/>
          </w:tcPr>
          <w:p w14:paraId="094AAB84">
            <w:pPr>
              <w:pStyle w:val="16"/>
              <w:numPr>
                <w:ilvl w:val="0"/>
                <w:numId w:val="0"/>
              </w:numPr>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限高单价（元）</w:t>
            </w:r>
          </w:p>
        </w:tc>
      </w:tr>
      <w:tr w14:paraId="44FD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auto"/>
            <w:tcMar>
              <w:top w:w="0" w:type="dxa"/>
              <w:left w:w="105" w:type="dxa"/>
              <w:bottom w:w="0" w:type="dxa"/>
              <w:right w:w="105" w:type="dxa"/>
            </w:tcMar>
            <w:vAlign w:val="center"/>
          </w:tcPr>
          <w:p w14:paraId="6C38CC03">
            <w:pPr>
              <w:pStyle w:val="16"/>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714313DD">
            <w:pPr>
              <w:pStyle w:val="16"/>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互联网专线</w:t>
            </w:r>
          </w:p>
        </w:tc>
        <w:tc>
          <w:tcPr>
            <w:tcW w:w="2861" w:type="dxa"/>
            <w:shd w:val="clear" w:color="auto" w:fill="auto"/>
            <w:tcMar>
              <w:top w:w="0" w:type="dxa"/>
              <w:left w:w="105" w:type="dxa"/>
              <w:bottom w:w="0" w:type="dxa"/>
              <w:right w:w="105" w:type="dxa"/>
            </w:tcMar>
            <w:vAlign w:val="center"/>
          </w:tcPr>
          <w:p w14:paraId="16E84B0A">
            <w:pPr>
              <w:pStyle w:val="16"/>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运营商机房到医院网络隔离区（DMZ区）网络专线（带宽≥1G）</w:t>
            </w:r>
          </w:p>
        </w:tc>
        <w:tc>
          <w:tcPr>
            <w:tcW w:w="1185" w:type="dxa"/>
            <w:shd w:val="clear" w:color="auto" w:fill="auto"/>
            <w:tcMar>
              <w:top w:w="0" w:type="dxa"/>
              <w:left w:w="105" w:type="dxa"/>
              <w:bottom w:w="0" w:type="dxa"/>
              <w:right w:w="105" w:type="dxa"/>
            </w:tcMar>
            <w:vAlign w:val="center"/>
          </w:tcPr>
          <w:p w14:paraId="49B42C75">
            <w:pPr>
              <w:pStyle w:val="16"/>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1455" w:type="dxa"/>
            <w:shd w:val="clear" w:color="auto" w:fill="auto"/>
            <w:tcMar>
              <w:top w:w="0" w:type="dxa"/>
              <w:left w:w="105" w:type="dxa"/>
              <w:bottom w:w="0" w:type="dxa"/>
              <w:right w:w="105" w:type="dxa"/>
            </w:tcMar>
            <w:vAlign w:val="center"/>
          </w:tcPr>
          <w:p w14:paraId="4152DD80">
            <w:pPr>
              <w:pStyle w:val="16"/>
              <w:numPr>
                <w:ilvl w:val="0"/>
                <w:numId w:val="0"/>
              </w:numPr>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条</w:t>
            </w:r>
          </w:p>
        </w:tc>
        <w:tc>
          <w:tcPr>
            <w:tcW w:w="2145" w:type="dxa"/>
            <w:shd w:val="clear" w:color="auto" w:fill="auto"/>
            <w:tcMar>
              <w:top w:w="0" w:type="dxa"/>
              <w:left w:w="105" w:type="dxa"/>
              <w:bottom w:w="0" w:type="dxa"/>
              <w:right w:w="105" w:type="dxa"/>
            </w:tcMar>
            <w:vAlign w:val="center"/>
          </w:tcPr>
          <w:p w14:paraId="2E788E3B">
            <w:pPr>
              <w:pStyle w:val="16"/>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en-US" w:eastAsia="zh-CN"/>
              </w:rPr>
              <w:t>65</w:t>
            </w:r>
            <w:r>
              <w:rPr>
                <w:rFonts w:hint="eastAsia" w:ascii="仿宋" w:hAnsi="仿宋" w:eastAsia="仿宋" w:cs="仿宋"/>
                <w:sz w:val="24"/>
                <w:szCs w:val="24"/>
              </w:rPr>
              <w:t>00</w:t>
            </w:r>
          </w:p>
        </w:tc>
      </w:tr>
    </w:tbl>
    <w:p w14:paraId="63A1CD7C">
      <w:pPr>
        <w:pStyle w:val="16"/>
        <w:numPr>
          <w:ilvl w:val="0"/>
          <w:numId w:val="0"/>
        </w:numPr>
        <w:ind w:firstLine="0" w:firstLineChars="0"/>
        <w:rPr>
          <w:rFonts w:hint="eastAsia" w:ascii="仿宋" w:hAnsi="仿宋" w:eastAsia="仿宋" w:cs="仿宋"/>
          <w:b/>
          <w:bCs/>
          <w:sz w:val="24"/>
          <w:szCs w:val="24"/>
          <w:highlight w:val="none"/>
          <w:lang w:val="en-US" w:eastAsia="zh-CN"/>
        </w:rPr>
      </w:pPr>
    </w:p>
    <w:p w14:paraId="57E42A1F">
      <w:pPr>
        <w:pStyle w:val="16"/>
        <w:numPr>
          <w:ilvl w:val="0"/>
          <w:numId w:val="0"/>
        </w:numPr>
        <w:ind w:firstLine="0" w:firstLineChars="0"/>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lang w:val="en-US" w:eastAsia="zh-CN"/>
        </w:rPr>
        <w:t>（二）</w:t>
      </w:r>
      <w:r>
        <w:rPr>
          <w:rFonts w:hint="default" w:ascii="仿宋" w:hAnsi="仿宋" w:eastAsia="仿宋" w:cs="仿宋"/>
          <w:b/>
          <w:bCs/>
          <w:sz w:val="24"/>
          <w:szCs w:val="24"/>
          <w:highlight w:val="none"/>
          <w:lang w:val="en-US" w:eastAsia="zh-CN"/>
        </w:rPr>
        <w:t>接口清单</w:t>
      </w:r>
    </w:p>
    <w:p w14:paraId="50C94C69">
      <w:pPr>
        <w:pStyle w:val="16"/>
        <w:numPr>
          <w:ilvl w:val="0"/>
          <w:numId w:val="0"/>
        </w:numPr>
        <w:ind w:firstLine="480" w:firstLineChars="200"/>
        <w:rPr>
          <w:rFonts w:hint="default" w:ascii="仿宋" w:hAnsi="仿宋" w:eastAsia="仿宋" w:cs="仿宋"/>
          <w:b w:val="0"/>
          <w:bCs w:val="0"/>
          <w:kern w:val="2"/>
          <w:sz w:val="24"/>
          <w:szCs w:val="24"/>
          <w:lang w:val="en-US" w:eastAsia="zh-CN" w:bidi="ar-SA"/>
        </w:rPr>
      </w:pPr>
      <w:r>
        <w:rPr>
          <w:rFonts w:hint="default" w:ascii="仿宋" w:hAnsi="仿宋" w:eastAsia="仿宋" w:cs="仿宋"/>
          <w:b w:val="0"/>
          <w:bCs w:val="0"/>
          <w:kern w:val="2"/>
          <w:sz w:val="24"/>
          <w:szCs w:val="24"/>
          <w:lang w:val="en-US" w:eastAsia="zh-CN" w:bidi="ar-SA"/>
        </w:rPr>
        <w:t>本项目实施期间，凡涉及与东软集团股份有限公司（以下简称“东软”）既有系统对接，所产生的费用由采购人承担；其余非东软系统对接产生的费用，则由</w:t>
      </w:r>
      <w:r>
        <w:rPr>
          <w:rFonts w:hint="eastAsia" w:ascii="仿宋" w:hAnsi="仿宋" w:eastAsia="仿宋" w:cs="仿宋"/>
          <w:b w:val="0"/>
          <w:bCs w:val="0"/>
          <w:kern w:val="2"/>
          <w:sz w:val="24"/>
          <w:szCs w:val="24"/>
          <w:lang w:val="en-US" w:eastAsia="zh-CN" w:bidi="ar-SA"/>
        </w:rPr>
        <w:t>成交供应商</w:t>
      </w:r>
      <w:r>
        <w:rPr>
          <w:rFonts w:hint="default" w:ascii="仿宋" w:hAnsi="仿宋" w:eastAsia="仿宋" w:cs="仿宋"/>
          <w:b w:val="0"/>
          <w:bCs w:val="0"/>
          <w:kern w:val="2"/>
          <w:sz w:val="24"/>
          <w:szCs w:val="24"/>
          <w:lang w:val="en-US" w:eastAsia="zh-CN" w:bidi="ar-SA"/>
        </w:rPr>
        <w:t>一力承担，涵盖设备、包装、运输、安装、调试、税费及可能衍生的各项支出，均包含在本次采购费用中，采购人不再支付中标金额以外的任何款项。对接过程中，</w:t>
      </w:r>
      <w:r>
        <w:rPr>
          <w:rFonts w:hint="eastAsia" w:ascii="仿宋" w:hAnsi="仿宋" w:eastAsia="仿宋" w:cs="仿宋"/>
          <w:b w:val="0"/>
          <w:bCs w:val="0"/>
          <w:kern w:val="2"/>
          <w:sz w:val="24"/>
          <w:szCs w:val="24"/>
          <w:lang w:val="en-US" w:eastAsia="zh-CN" w:bidi="ar-SA"/>
        </w:rPr>
        <w:t>成交供应商</w:t>
      </w:r>
      <w:r>
        <w:rPr>
          <w:rFonts w:hint="default" w:ascii="仿宋" w:hAnsi="仿宋" w:eastAsia="仿宋" w:cs="仿宋"/>
          <w:b w:val="0"/>
          <w:bCs w:val="0"/>
          <w:kern w:val="2"/>
          <w:sz w:val="24"/>
          <w:szCs w:val="24"/>
          <w:lang w:val="en-US" w:eastAsia="zh-CN" w:bidi="ar-SA"/>
        </w:rPr>
        <w:t>应与采购人现有软件供应商友好协商，并于协商前向采购人提交接口方案清单，对接所产生费用的限高价为本项目合同总价的10%。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702"/>
        <w:gridCol w:w="3126"/>
        <w:gridCol w:w="4256"/>
      </w:tblGrid>
      <w:tr w14:paraId="0854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6CF8865D">
            <w:pPr>
              <w:pStyle w:val="14"/>
              <w:keepNext w:val="0"/>
              <w:keepLines w:val="0"/>
              <w:widowControl/>
              <w:suppressLineNumbers w:val="0"/>
              <w:autoSpaceDE w:val="0"/>
              <w:autoSpaceDN/>
              <w:jc w:val="center"/>
              <w:rPr>
                <w:rFonts w:hint="eastAsia" w:ascii="仿宋" w:hAnsi="仿宋" w:eastAsia="仿宋" w:cs="仿宋"/>
                <w:sz w:val="22"/>
                <w:szCs w:val="22"/>
              </w:rPr>
            </w:pPr>
            <w:r>
              <w:rPr>
                <w:rStyle w:val="21"/>
                <w:rFonts w:hint="eastAsia" w:ascii="仿宋" w:hAnsi="仿宋" w:eastAsia="仿宋" w:cs="仿宋"/>
                <w:sz w:val="22"/>
                <w:szCs w:val="22"/>
              </w:rPr>
              <w:t>序号</w:t>
            </w:r>
          </w:p>
        </w:tc>
        <w:tc>
          <w:tcPr>
            <w:tcW w:w="1470" w:type="dxa"/>
            <w:shd w:val="clear" w:color="auto" w:fill="auto"/>
            <w:tcMar>
              <w:top w:w="0" w:type="dxa"/>
              <w:left w:w="105" w:type="dxa"/>
              <w:bottom w:w="0" w:type="dxa"/>
              <w:right w:w="105" w:type="dxa"/>
            </w:tcMar>
            <w:vAlign w:val="top"/>
          </w:tcPr>
          <w:p w14:paraId="63D932C1">
            <w:pPr>
              <w:pStyle w:val="14"/>
              <w:keepNext w:val="0"/>
              <w:keepLines w:val="0"/>
              <w:widowControl/>
              <w:suppressLineNumbers w:val="0"/>
              <w:autoSpaceDE w:val="0"/>
              <w:autoSpaceDN/>
              <w:jc w:val="center"/>
              <w:rPr>
                <w:rFonts w:hint="eastAsia" w:ascii="仿宋" w:hAnsi="仿宋" w:eastAsia="仿宋" w:cs="仿宋"/>
                <w:sz w:val="22"/>
                <w:szCs w:val="22"/>
              </w:rPr>
            </w:pPr>
            <w:r>
              <w:rPr>
                <w:rStyle w:val="21"/>
                <w:rFonts w:hint="eastAsia" w:ascii="仿宋" w:hAnsi="仿宋" w:eastAsia="仿宋" w:cs="仿宋"/>
                <w:sz w:val="22"/>
                <w:szCs w:val="22"/>
              </w:rPr>
              <w:t>软硬件</w:t>
            </w:r>
          </w:p>
        </w:tc>
        <w:tc>
          <w:tcPr>
            <w:tcW w:w="2700" w:type="dxa"/>
            <w:shd w:val="clear" w:color="auto" w:fill="auto"/>
            <w:tcMar>
              <w:top w:w="0" w:type="dxa"/>
              <w:left w:w="105" w:type="dxa"/>
              <w:bottom w:w="0" w:type="dxa"/>
              <w:right w:w="105" w:type="dxa"/>
            </w:tcMar>
            <w:vAlign w:val="top"/>
          </w:tcPr>
          <w:p w14:paraId="64335790">
            <w:pPr>
              <w:pStyle w:val="14"/>
              <w:keepNext w:val="0"/>
              <w:keepLines w:val="0"/>
              <w:widowControl/>
              <w:suppressLineNumbers w:val="0"/>
              <w:autoSpaceDE w:val="0"/>
              <w:autoSpaceDN/>
              <w:jc w:val="center"/>
              <w:rPr>
                <w:rFonts w:hint="eastAsia" w:ascii="仿宋" w:hAnsi="仿宋" w:eastAsia="仿宋" w:cs="仿宋"/>
                <w:sz w:val="22"/>
                <w:szCs w:val="22"/>
              </w:rPr>
            </w:pPr>
            <w:r>
              <w:rPr>
                <w:rStyle w:val="21"/>
                <w:rFonts w:hint="eastAsia" w:ascii="仿宋" w:hAnsi="仿宋" w:eastAsia="仿宋" w:cs="仿宋"/>
                <w:sz w:val="22"/>
                <w:szCs w:val="22"/>
              </w:rPr>
              <w:t>生产厂商（全称）</w:t>
            </w:r>
          </w:p>
        </w:tc>
        <w:tc>
          <w:tcPr>
            <w:tcW w:w="3675" w:type="dxa"/>
            <w:shd w:val="clear" w:color="auto" w:fill="auto"/>
            <w:tcMar>
              <w:top w:w="0" w:type="dxa"/>
              <w:left w:w="105" w:type="dxa"/>
              <w:bottom w:w="0" w:type="dxa"/>
              <w:right w:w="105" w:type="dxa"/>
            </w:tcMar>
            <w:vAlign w:val="top"/>
          </w:tcPr>
          <w:p w14:paraId="5E0D2F2E">
            <w:pPr>
              <w:pStyle w:val="14"/>
              <w:keepNext w:val="0"/>
              <w:keepLines w:val="0"/>
              <w:widowControl/>
              <w:suppressLineNumbers w:val="0"/>
              <w:autoSpaceDE w:val="0"/>
              <w:autoSpaceDN/>
              <w:jc w:val="center"/>
              <w:rPr>
                <w:rFonts w:hint="eastAsia" w:ascii="仿宋" w:hAnsi="仿宋" w:eastAsia="仿宋" w:cs="仿宋"/>
                <w:sz w:val="22"/>
                <w:szCs w:val="22"/>
              </w:rPr>
            </w:pPr>
            <w:r>
              <w:rPr>
                <w:rStyle w:val="21"/>
                <w:rFonts w:hint="eastAsia" w:ascii="仿宋" w:hAnsi="仿宋" w:eastAsia="仿宋" w:cs="仿宋"/>
                <w:sz w:val="22"/>
                <w:szCs w:val="22"/>
              </w:rPr>
              <w:t>对接描述</w:t>
            </w:r>
          </w:p>
        </w:tc>
      </w:tr>
      <w:tr w14:paraId="01F0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43CE6A28">
            <w:pPr>
              <w:pStyle w:val="14"/>
              <w:keepNext w:val="0"/>
              <w:keepLines w:val="0"/>
              <w:widowControl/>
              <w:suppressLineNumbers w:val="0"/>
              <w:autoSpaceDE w:val="0"/>
              <w:autoSpaceDN/>
              <w:jc w:val="center"/>
              <w:rPr>
                <w:rFonts w:hint="eastAsia" w:ascii="仿宋" w:hAnsi="仿宋" w:eastAsia="仿宋" w:cs="仿宋"/>
                <w:sz w:val="22"/>
                <w:szCs w:val="22"/>
              </w:rPr>
            </w:pPr>
            <w:r>
              <w:rPr>
                <w:rStyle w:val="21"/>
                <w:rFonts w:hint="eastAsia" w:ascii="仿宋" w:hAnsi="仿宋" w:eastAsia="仿宋" w:cs="仿宋"/>
                <w:sz w:val="22"/>
                <w:szCs w:val="22"/>
              </w:rPr>
              <w:t>1</w:t>
            </w:r>
          </w:p>
        </w:tc>
        <w:tc>
          <w:tcPr>
            <w:tcW w:w="1470" w:type="dxa"/>
            <w:shd w:val="clear" w:color="auto" w:fill="auto"/>
            <w:tcMar>
              <w:top w:w="0" w:type="dxa"/>
              <w:left w:w="105" w:type="dxa"/>
              <w:bottom w:w="0" w:type="dxa"/>
              <w:right w:w="105" w:type="dxa"/>
            </w:tcMar>
            <w:vAlign w:val="top"/>
          </w:tcPr>
          <w:p w14:paraId="2C7DD671">
            <w:pPr>
              <w:pStyle w:val="14"/>
              <w:keepNext w:val="0"/>
              <w:keepLines w:val="0"/>
              <w:widowControl/>
              <w:suppressLineNumbers w:val="0"/>
              <w:autoSpaceDE w:val="0"/>
              <w:autoSpaceDN/>
              <w:jc w:val="center"/>
              <w:rPr>
                <w:rFonts w:hint="eastAsia" w:ascii="仿宋" w:hAnsi="仿宋" w:eastAsia="仿宋" w:cs="仿宋"/>
                <w:sz w:val="22"/>
                <w:szCs w:val="22"/>
              </w:rPr>
            </w:pPr>
            <w:r>
              <w:rPr>
                <w:rFonts w:hint="eastAsia" w:ascii="仿宋" w:hAnsi="仿宋" w:eastAsia="仿宋" w:cs="仿宋"/>
                <w:sz w:val="22"/>
                <w:szCs w:val="22"/>
              </w:rPr>
              <w:t>无</w:t>
            </w:r>
          </w:p>
        </w:tc>
        <w:tc>
          <w:tcPr>
            <w:tcW w:w="2700" w:type="dxa"/>
            <w:shd w:val="clear" w:color="auto" w:fill="auto"/>
            <w:tcMar>
              <w:top w:w="0" w:type="dxa"/>
              <w:left w:w="105" w:type="dxa"/>
              <w:bottom w:w="0" w:type="dxa"/>
              <w:right w:w="105" w:type="dxa"/>
            </w:tcMar>
            <w:vAlign w:val="top"/>
          </w:tcPr>
          <w:p w14:paraId="17743B2A">
            <w:pPr>
              <w:keepNext w:val="0"/>
              <w:keepLines w:val="0"/>
              <w:widowControl/>
              <w:suppressLineNumbers w:val="0"/>
              <w:jc w:val="left"/>
              <w:rPr>
                <w:rFonts w:hint="eastAsia" w:ascii="仿宋" w:hAnsi="仿宋" w:eastAsia="仿宋" w:cs="仿宋"/>
                <w:sz w:val="22"/>
                <w:szCs w:val="22"/>
              </w:rPr>
            </w:pPr>
          </w:p>
        </w:tc>
        <w:tc>
          <w:tcPr>
            <w:tcW w:w="3675" w:type="dxa"/>
            <w:shd w:val="clear" w:color="auto" w:fill="auto"/>
            <w:tcMar>
              <w:top w:w="0" w:type="dxa"/>
              <w:left w:w="105" w:type="dxa"/>
              <w:bottom w:w="0" w:type="dxa"/>
              <w:right w:w="105" w:type="dxa"/>
            </w:tcMar>
            <w:vAlign w:val="top"/>
          </w:tcPr>
          <w:p w14:paraId="5A4FF090">
            <w:pPr>
              <w:keepNext w:val="0"/>
              <w:keepLines w:val="0"/>
              <w:widowControl/>
              <w:suppressLineNumbers w:val="0"/>
              <w:jc w:val="left"/>
              <w:rPr>
                <w:rFonts w:hint="eastAsia" w:ascii="仿宋" w:hAnsi="仿宋" w:eastAsia="仿宋" w:cs="仿宋"/>
                <w:sz w:val="22"/>
                <w:szCs w:val="22"/>
              </w:rPr>
            </w:pPr>
          </w:p>
        </w:tc>
      </w:tr>
    </w:tbl>
    <w:p w14:paraId="6232B5B2">
      <w:pPr>
        <w:pStyle w:val="16"/>
        <w:numPr>
          <w:ilvl w:val="0"/>
          <w:numId w:val="0"/>
        </w:numPr>
        <w:ind w:firstLine="0" w:firstLineChars="0"/>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lang w:val="en-US" w:eastAsia="zh-CN"/>
        </w:rPr>
        <w:t>（三）</w:t>
      </w:r>
      <w:r>
        <w:rPr>
          <w:rStyle w:val="21"/>
          <w:rFonts w:hint="eastAsia" w:ascii="仿宋" w:hAnsi="仿宋" w:eastAsia="仿宋" w:cs="仿宋"/>
          <w:b/>
          <w:bCs/>
          <w:kern w:val="2"/>
          <w:sz w:val="24"/>
          <w:szCs w:val="24"/>
          <w:highlight w:val="none"/>
          <w:lang w:val="en-US" w:eastAsia="zh-CN"/>
        </w:rPr>
        <w:t>参数设置</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4"/>
        <w:gridCol w:w="1487"/>
        <w:gridCol w:w="5711"/>
        <w:gridCol w:w="1976"/>
      </w:tblGrid>
      <w:tr w14:paraId="6EFA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shd w:val="clear" w:color="auto" w:fill="FFFFFF"/>
            <w:tcMar>
              <w:top w:w="0" w:type="dxa"/>
              <w:left w:w="140" w:type="dxa"/>
              <w:bottom w:w="0" w:type="dxa"/>
              <w:right w:w="140" w:type="dxa"/>
            </w:tcMar>
            <w:vAlign w:val="center"/>
          </w:tcPr>
          <w:p w14:paraId="3CDD0E36">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Style w:val="43"/>
                <w:rFonts w:hint="eastAsia" w:ascii="仿宋" w:hAnsi="仿宋" w:eastAsia="仿宋" w:cs="仿宋"/>
                <w:b/>
                <w:bCs w:val="0"/>
                <w:spacing w:val="0"/>
                <w:sz w:val="24"/>
                <w:szCs w:val="24"/>
                <w:lang w:val="en-US" w:eastAsia="zh-CN" w:bidi="ar"/>
              </w:rPr>
              <w:t>专线类别</w:t>
            </w:r>
          </w:p>
        </w:tc>
        <w:tc>
          <w:tcPr>
            <w:tcW w:w="0" w:type="auto"/>
            <w:shd w:val="clear" w:color="auto" w:fill="FFFFFF"/>
            <w:tcMar>
              <w:top w:w="0" w:type="dxa"/>
              <w:left w:w="140" w:type="dxa"/>
              <w:bottom w:w="0" w:type="dxa"/>
              <w:right w:w="140" w:type="dxa"/>
            </w:tcMar>
            <w:vAlign w:val="center"/>
          </w:tcPr>
          <w:p w14:paraId="5D64ED61">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Style w:val="43"/>
                <w:rFonts w:hint="eastAsia" w:ascii="仿宋" w:hAnsi="仿宋" w:eastAsia="仿宋" w:cs="仿宋"/>
                <w:b/>
                <w:bCs w:val="0"/>
                <w:spacing w:val="0"/>
                <w:sz w:val="24"/>
                <w:szCs w:val="24"/>
                <w:lang w:val="en-US" w:eastAsia="zh-CN" w:bidi="ar"/>
              </w:rPr>
              <w:t>质量指标内容</w:t>
            </w:r>
          </w:p>
        </w:tc>
        <w:tc>
          <w:tcPr>
            <w:tcW w:w="0" w:type="auto"/>
            <w:shd w:val="clear" w:color="auto" w:fill="FFFFFF"/>
            <w:tcMar>
              <w:top w:w="0" w:type="dxa"/>
              <w:left w:w="140" w:type="dxa"/>
              <w:bottom w:w="0" w:type="dxa"/>
              <w:right w:w="140" w:type="dxa"/>
            </w:tcMar>
            <w:vAlign w:val="center"/>
          </w:tcPr>
          <w:p w14:paraId="54D80CB5">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Style w:val="43"/>
                <w:rFonts w:hint="eastAsia" w:ascii="仿宋" w:hAnsi="仿宋" w:eastAsia="仿宋" w:cs="仿宋"/>
                <w:b/>
                <w:bCs w:val="0"/>
                <w:spacing w:val="0"/>
                <w:sz w:val="24"/>
                <w:szCs w:val="24"/>
                <w:lang w:val="en-US" w:eastAsia="zh-CN" w:bidi="ar"/>
              </w:rPr>
              <w:t>指标定义</w:t>
            </w:r>
          </w:p>
        </w:tc>
        <w:tc>
          <w:tcPr>
            <w:tcW w:w="1976" w:type="dxa"/>
            <w:shd w:val="clear" w:color="auto" w:fill="FFFFFF"/>
            <w:tcMar>
              <w:top w:w="0" w:type="dxa"/>
              <w:left w:w="140" w:type="dxa"/>
              <w:bottom w:w="0" w:type="dxa"/>
              <w:right w:w="140" w:type="dxa"/>
            </w:tcMar>
            <w:vAlign w:val="center"/>
          </w:tcPr>
          <w:p w14:paraId="3833D26F">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Style w:val="43"/>
                <w:rFonts w:hint="eastAsia" w:ascii="仿宋" w:hAnsi="仿宋" w:eastAsia="仿宋" w:cs="仿宋"/>
                <w:b/>
                <w:bCs w:val="0"/>
                <w:spacing w:val="0"/>
                <w:sz w:val="24"/>
                <w:szCs w:val="24"/>
                <w:lang w:val="en-US" w:eastAsia="zh-CN" w:bidi="ar"/>
              </w:rPr>
              <w:t>标准</w:t>
            </w:r>
          </w:p>
        </w:tc>
      </w:tr>
      <w:tr w14:paraId="2870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vMerge w:val="restart"/>
            <w:shd w:val="clear" w:color="auto" w:fill="auto"/>
            <w:tcMar>
              <w:top w:w="0" w:type="dxa"/>
              <w:left w:w="140" w:type="dxa"/>
              <w:bottom w:w="0" w:type="dxa"/>
              <w:right w:w="140" w:type="dxa"/>
            </w:tcMar>
            <w:vAlign w:val="center"/>
          </w:tcPr>
          <w:p w14:paraId="0A0D707D">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1.互联网专线</w:t>
            </w:r>
          </w:p>
        </w:tc>
        <w:tc>
          <w:tcPr>
            <w:tcW w:w="0" w:type="auto"/>
            <w:shd w:val="clear" w:color="auto" w:fill="auto"/>
            <w:tcMar>
              <w:top w:w="0" w:type="dxa"/>
              <w:left w:w="140" w:type="dxa"/>
              <w:bottom w:w="0" w:type="dxa"/>
              <w:right w:w="140" w:type="dxa"/>
            </w:tcMar>
            <w:vAlign w:val="center"/>
          </w:tcPr>
          <w:p w14:paraId="5489AD3A">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1.1用户至网内热点网站的Ping网络时延</w:t>
            </w:r>
          </w:p>
        </w:tc>
        <w:tc>
          <w:tcPr>
            <w:tcW w:w="0" w:type="auto"/>
            <w:shd w:val="clear" w:color="auto" w:fill="auto"/>
            <w:tcMar>
              <w:top w:w="0" w:type="dxa"/>
              <w:left w:w="140" w:type="dxa"/>
              <w:bottom w:w="0" w:type="dxa"/>
              <w:right w:w="140" w:type="dxa"/>
            </w:tcMar>
            <w:vAlign w:val="center"/>
          </w:tcPr>
          <w:p w14:paraId="6AAC6A06">
            <w:pPr>
              <w:pStyle w:val="14"/>
              <w:keepNext w:val="0"/>
              <w:keepLines w:val="0"/>
              <w:widowControl/>
              <w:suppressLineNumbers w:val="0"/>
              <w:autoSpaceDE w:val="0"/>
              <w:spacing w:before="0" w:beforeAutospacing="1" w:after="0" w:afterAutospacing="1"/>
              <w:ind w:left="0" w:right="0"/>
              <w:jc w:val="both"/>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从医院机房网络隔离区向使用中国移动网络终端发送指定长度（如1472字节）的ICMP报文，并记录发送时间;当收到使用中国移动网络终端回送的测量数据包即记录接收时间，并计算时延值。测量数据包达到预定数量后，计算出平均时延</w:t>
            </w:r>
          </w:p>
        </w:tc>
        <w:tc>
          <w:tcPr>
            <w:tcW w:w="1976" w:type="dxa"/>
            <w:shd w:val="clear" w:color="auto" w:fill="auto"/>
            <w:tcMar>
              <w:top w:w="0" w:type="dxa"/>
              <w:left w:w="140" w:type="dxa"/>
              <w:bottom w:w="0" w:type="dxa"/>
              <w:right w:w="140" w:type="dxa"/>
            </w:tcMar>
            <w:vAlign w:val="center"/>
          </w:tcPr>
          <w:p w14:paraId="3E246A89">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≤50ms</w:t>
            </w:r>
          </w:p>
        </w:tc>
      </w:tr>
      <w:tr w14:paraId="19B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vMerge w:val="continue"/>
            <w:shd w:val="clear" w:color="auto" w:fill="auto"/>
            <w:tcMar>
              <w:top w:w="0" w:type="dxa"/>
              <w:left w:w="140" w:type="dxa"/>
              <w:bottom w:w="0" w:type="dxa"/>
              <w:right w:w="140" w:type="dxa"/>
            </w:tcMar>
            <w:vAlign w:val="center"/>
          </w:tcPr>
          <w:p w14:paraId="19F0FBEA">
            <w:pPr>
              <w:rPr>
                <w:rFonts w:hint="eastAsia" w:ascii="仿宋" w:hAnsi="仿宋" w:eastAsia="仿宋" w:cs="仿宋"/>
                <w:sz w:val="24"/>
                <w:szCs w:val="24"/>
              </w:rPr>
            </w:pPr>
          </w:p>
        </w:tc>
        <w:tc>
          <w:tcPr>
            <w:tcW w:w="0" w:type="auto"/>
            <w:shd w:val="clear" w:color="auto" w:fill="auto"/>
            <w:tcMar>
              <w:top w:w="0" w:type="dxa"/>
              <w:left w:w="140" w:type="dxa"/>
              <w:bottom w:w="0" w:type="dxa"/>
              <w:right w:w="140" w:type="dxa"/>
            </w:tcMar>
            <w:vAlign w:val="center"/>
          </w:tcPr>
          <w:p w14:paraId="33BCC3D2">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1.2用户至网内热点网站的网络丢包率</w:t>
            </w:r>
          </w:p>
        </w:tc>
        <w:tc>
          <w:tcPr>
            <w:tcW w:w="0" w:type="auto"/>
            <w:shd w:val="clear" w:color="auto" w:fill="auto"/>
            <w:tcMar>
              <w:top w:w="0" w:type="dxa"/>
              <w:left w:w="140" w:type="dxa"/>
              <w:bottom w:w="0" w:type="dxa"/>
              <w:right w:w="140" w:type="dxa"/>
            </w:tcMar>
            <w:vAlign w:val="center"/>
          </w:tcPr>
          <w:p w14:paraId="43DC68C1">
            <w:pPr>
              <w:pStyle w:val="14"/>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从医院机房网络隔离区向使用中国移动网络终端发送指定长度（≥1472字节）的ICMP报文，在预定超时时间内（≤4秒）未收到使用中国移动网络终端回送的测量数据包即记录为失败，测量数据包数达到预定数量后，计算丢包率，</w:t>
            </w:r>
          </w:p>
        </w:tc>
        <w:tc>
          <w:tcPr>
            <w:tcW w:w="1976" w:type="dxa"/>
            <w:shd w:val="clear" w:color="auto" w:fill="auto"/>
            <w:tcMar>
              <w:top w:w="0" w:type="dxa"/>
              <w:left w:w="140" w:type="dxa"/>
              <w:bottom w:w="0" w:type="dxa"/>
              <w:right w:w="140" w:type="dxa"/>
            </w:tcMar>
            <w:vAlign w:val="center"/>
          </w:tcPr>
          <w:p w14:paraId="671DF598">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在正常带宽负荷下（负荷小于70％）≤1%</w:t>
            </w:r>
          </w:p>
        </w:tc>
      </w:tr>
      <w:tr w14:paraId="6BEE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0" w:type="auto"/>
            <w:vMerge w:val="continue"/>
            <w:shd w:val="clear" w:color="auto" w:fill="auto"/>
            <w:tcMar>
              <w:top w:w="0" w:type="dxa"/>
              <w:left w:w="140" w:type="dxa"/>
              <w:bottom w:w="0" w:type="dxa"/>
              <w:right w:w="140" w:type="dxa"/>
            </w:tcMar>
            <w:vAlign w:val="center"/>
          </w:tcPr>
          <w:p w14:paraId="1611AC97">
            <w:pPr>
              <w:rPr>
                <w:rFonts w:hint="eastAsia" w:ascii="仿宋" w:hAnsi="仿宋" w:eastAsia="仿宋" w:cs="仿宋"/>
                <w:sz w:val="24"/>
                <w:szCs w:val="24"/>
              </w:rPr>
            </w:pPr>
          </w:p>
        </w:tc>
        <w:tc>
          <w:tcPr>
            <w:tcW w:w="0" w:type="auto"/>
            <w:shd w:val="clear" w:color="auto" w:fill="auto"/>
            <w:tcMar>
              <w:top w:w="0" w:type="dxa"/>
              <w:left w:w="140" w:type="dxa"/>
              <w:bottom w:w="0" w:type="dxa"/>
              <w:right w:w="140" w:type="dxa"/>
            </w:tcMar>
            <w:vAlign w:val="top"/>
          </w:tcPr>
          <w:p w14:paraId="61C55063">
            <w:pPr>
              <w:pStyle w:val="14"/>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kern w:val="0"/>
                <w:sz w:val="24"/>
                <w:szCs w:val="24"/>
                <w:lang w:val="en-US" w:eastAsia="zh-CN" w:bidi="ar"/>
              </w:rPr>
              <w:t>1.3 带宽</w:t>
            </w:r>
          </w:p>
        </w:tc>
        <w:tc>
          <w:tcPr>
            <w:tcW w:w="0" w:type="auto"/>
            <w:shd w:val="clear" w:color="auto" w:fill="auto"/>
            <w:tcMar>
              <w:top w:w="0" w:type="dxa"/>
              <w:left w:w="140" w:type="dxa"/>
              <w:bottom w:w="0" w:type="dxa"/>
              <w:right w:w="140" w:type="dxa"/>
            </w:tcMar>
            <w:vAlign w:val="top"/>
          </w:tcPr>
          <w:p w14:paraId="38061E9F">
            <w:pPr>
              <w:pStyle w:val="14"/>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spacing w:val="0"/>
                <w:kern w:val="0"/>
                <w:sz w:val="24"/>
                <w:szCs w:val="24"/>
                <w:lang w:val="en-US" w:eastAsia="zh-CN" w:bidi="ar"/>
              </w:rPr>
              <w:t>峰值传输速率</w:t>
            </w:r>
          </w:p>
        </w:tc>
        <w:tc>
          <w:tcPr>
            <w:tcW w:w="1976" w:type="dxa"/>
            <w:shd w:val="clear" w:color="auto" w:fill="auto"/>
            <w:tcMar>
              <w:top w:w="0" w:type="dxa"/>
              <w:left w:w="140" w:type="dxa"/>
              <w:bottom w:w="0" w:type="dxa"/>
              <w:right w:w="140" w:type="dxa"/>
            </w:tcMar>
            <w:vAlign w:val="center"/>
          </w:tcPr>
          <w:p w14:paraId="1C2BC76D">
            <w:pPr>
              <w:pStyle w:val="14"/>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rPr>
            </w:pPr>
            <w:r>
              <w:rPr>
                <w:rFonts w:hint="default" w:ascii="仿宋" w:hAnsi="仿宋" w:eastAsia="仿宋" w:cs="仿宋"/>
                <w:spacing w:val="0"/>
                <w:kern w:val="0"/>
                <w:sz w:val="24"/>
                <w:szCs w:val="24"/>
                <w:lang w:val="en-US" w:eastAsia="zh-CN" w:bidi="ar"/>
              </w:rPr>
              <w:t>≥1Gbps。</w:t>
            </w:r>
          </w:p>
        </w:tc>
      </w:tr>
    </w:tbl>
    <w:p w14:paraId="651A8134">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仿宋" w:hAnsi="仿宋" w:eastAsia="仿宋" w:cs="仿宋"/>
          <w:szCs w:val="24"/>
        </w:rPr>
      </w:pP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12"/>
        <w:gridCol w:w="1719"/>
        <w:gridCol w:w="3546"/>
        <w:gridCol w:w="2125"/>
      </w:tblGrid>
      <w:tr w14:paraId="7EE88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412"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651191D1">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pacing w:val="0"/>
                <w:sz w:val="24"/>
                <w:szCs w:val="24"/>
              </w:rPr>
              <w:t>服务分类</w:t>
            </w:r>
          </w:p>
        </w:tc>
        <w:tc>
          <w:tcPr>
            <w:tcW w:w="1719"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566B09CE">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pacing w:val="0"/>
                <w:sz w:val="24"/>
                <w:szCs w:val="24"/>
              </w:rPr>
              <w:t>计量单位</w:t>
            </w:r>
          </w:p>
        </w:tc>
        <w:tc>
          <w:tcPr>
            <w:tcW w:w="3546"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7512DB2F">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pacing w:val="0"/>
                <w:sz w:val="24"/>
                <w:szCs w:val="24"/>
              </w:rPr>
              <w:t>业务类别</w:t>
            </w:r>
          </w:p>
        </w:tc>
        <w:tc>
          <w:tcPr>
            <w:tcW w:w="2125"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06B13EB0">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pacing w:val="0"/>
                <w:sz w:val="24"/>
                <w:szCs w:val="24"/>
              </w:rPr>
              <w:t>频率</w:t>
            </w:r>
          </w:p>
        </w:tc>
      </w:tr>
      <w:tr w14:paraId="4BA5A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412"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296ACB39">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2.互联网线路专线</w:t>
            </w:r>
          </w:p>
        </w:tc>
        <w:tc>
          <w:tcPr>
            <w:tcW w:w="1719"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26A55FEE">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次</w:t>
            </w:r>
          </w:p>
        </w:tc>
        <w:tc>
          <w:tcPr>
            <w:tcW w:w="3546"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74F41BF2">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同一电路故障重复发生次数</w:t>
            </w:r>
          </w:p>
        </w:tc>
        <w:tc>
          <w:tcPr>
            <w:tcW w:w="2125"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12A508C1">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≤2次/年</w:t>
            </w:r>
          </w:p>
        </w:tc>
      </w:tr>
      <w:tr w14:paraId="6A6BD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412"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7A678F0F">
            <w:pPr>
              <w:spacing w:line="240" w:lineRule="auto"/>
              <w:rPr>
                <w:rFonts w:hint="eastAsia" w:ascii="仿宋" w:hAnsi="仿宋" w:eastAsia="仿宋" w:cs="仿宋"/>
                <w:sz w:val="24"/>
                <w:szCs w:val="24"/>
              </w:rPr>
            </w:pPr>
          </w:p>
        </w:tc>
        <w:tc>
          <w:tcPr>
            <w:tcW w:w="1719"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4DCF69B1">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百分比</w:t>
            </w:r>
          </w:p>
        </w:tc>
        <w:tc>
          <w:tcPr>
            <w:tcW w:w="3546"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3CABB80D">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网络可用率</w:t>
            </w:r>
          </w:p>
        </w:tc>
        <w:tc>
          <w:tcPr>
            <w:tcW w:w="2125"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4003CB69">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≥99.90%</w:t>
            </w:r>
          </w:p>
        </w:tc>
      </w:tr>
      <w:tr w14:paraId="1E531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412"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7E1A60E9">
            <w:pPr>
              <w:spacing w:line="240" w:lineRule="auto"/>
              <w:rPr>
                <w:rFonts w:hint="eastAsia" w:ascii="仿宋" w:hAnsi="仿宋" w:eastAsia="仿宋" w:cs="仿宋"/>
                <w:sz w:val="24"/>
                <w:szCs w:val="24"/>
              </w:rPr>
            </w:pPr>
          </w:p>
        </w:tc>
        <w:tc>
          <w:tcPr>
            <w:tcW w:w="1719"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4316305D">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小时</w:t>
            </w:r>
          </w:p>
        </w:tc>
        <w:tc>
          <w:tcPr>
            <w:tcW w:w="3546"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63A46220">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年故障历时</w:t>
            </w:r>
          </w:p>
        </w:tc>
        <w:tc>
          <w:tcPr>
            <w:tcW w:w="2125"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079431CB">
            <w:pPr>
              <w:pStyle w:val="14"/>
              <w:keepNext w:val="0"/>
              <w:keepLines w:val="0"/>
              <w:widowControl/>
              <w:suppressLineNumbers w:val="0"/>
              <w:spacing w:line="240" w:lineRule="auto"/>
              <w:rPr>
                <w:rFonts w:hint="eastAsia" w:ascii="仿宋" w:hAnsi="仿宋" w:eastAsia="仿宋" w:cs="仿宋"/>
                <w:szCs w:val="24"/>
              </w:rPr>
            </w:pPr>
            <w:r>
              <w:rPr>
                <w:rFonts w:hint="eastAsia" w:ascii="仿宋" w:hAnsi="仿宋" w:eastAsia="仿宋" w:cs="仿宋"/>
                <w:spacing w:val="0"/>
                <w:sz w:val="24"/>
                <w:szCs w:val="24"/>
              </w:rPr>
              <w:t>≤3小时</w:t>
            </w:r>
          </w:p>
        </w:tc>
      </w:tr>
    </w:tbl>
    <w:p w14:paraId="3B76758E">
      <w:pPr>
        <w:pStyle w:val="16"/>
        <w:numPr>
          <w:ilvl w:val="0"/>
          <w:numId w:val="0"/>
        </w:numP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3.提供互联网线路监控管理平台，支持故障预警、实时显示、历史查询、线路质量分析等；</w:t>
      </w:r>
    </w:p>
    <w:p w14:paraId="1911AF22">
      <w:pPr>
        <w:pStyle w:val="16"/>
        <w:numPr>
          <w:ilvl w:val="0"/>
          <w:numId w:val="0"/>
        </w:numP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4.每个院区双物理节点接入，走不同管线，不同进出口，降低事故发生概率；</w:t>
      </w:r>
    </w:p>
    <w:p w14:paraId="1FADD965">
      <w:pPr>
        <w:pStyle w:val="16"/>
        <w:numPr>
          <w:ilvl w:val="0"/>
          <w:numId w:val="0"/>
        </w:numP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5.院区间任一点位，需按照物理双路由建设；</w:t>
      </w:r>
    </w:p>
    <w:p w14:paraId="632B95AB">
      <w:pPr>
        <w:pStyle w:val="16"/>
        <w:numPr>
          <w:ilvl w:val="0"/>
          <w:numId w:val="0"/>
        </w:numP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6.每个院区的落地设备需避免单点故障，避免同一板卡或同一设备故障导致的链路中断；</w:t>
      </w:r>
    </w:p>
    <w:p w14:paraId="7600B81B">
      <w:pPr>
        <w:pStyle w:val="16"/>
        <w:numPr>
          <w:ilvl w:val="0"/>
          <w:numId w:val="0"/>
        </w:numPr>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lang w:val="en-US" w:eastAsia="zh-CN" w:bidi="ar-SA"/>
        </w:rPr>
        <w:t>7.应急通信保障的能力：供应商或其上级机构或分支机构应具备应急抢险及应急通信保障的能力（提供承诺函，格式自拟，并加盖公章）。</w:t>
      </w:r>
    </w:p>
    <w:p w14:paraId="47BAA638">
      <w:pPr>
        <w:pStyle w:val="16"/>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服务要求</w:t>
      </w:r>
    </w:p>
    <w:tbl>
      <w:tblPr>
        <w:tblStyle w:val="18"/>
        <w:tblW w:w="5000" w:type="pct"/>
        <w:tblInd w:w="-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1715"/>
        <w:gridCol w:w="6027"/>
        <w:gridCol w:w="1507"/>
      </w:tblGrid>
      <w:tr w14:paraId="6B802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0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top"/>
          </w:tcPr>
          <w:p w14:paraId="6DBF74B2">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lang w:val="en-US" w:eastAsia="zh-CN"/>
              </w:rPr>
            </w:pPr>
            <w:r>
              <w:rPr>
                <w:rFonts w:hint="eastAsia" w:ascii="仿宋" w:hAnsi="仿宋" w:eastAsia="仿宋" w:cs="仿宋"/>
                <w:b/>
                <w:bCs w:val="0"/>
                <w:kern w:val="0"/>
                <w:sz w:val="24"/>
                <w:szCs w:val="24"/>
                <w:lang w:val="en-US" w:eastAsia="zh-CN" w:bidi="ar"/>
              </w:rPr>
              <w:t>序号</w:t>
            </w:r>
          </w:p>
        </w:tc>
        <w:tc>
          <w:tcPr>
            <w:tcW w:w="19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top"/>
          </w:tcPr>
          <w:p w14:paraId="46E32782">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服务类型</w:t>
            </w:r>
          </w:p>
        </w:tc>
        <w:tc>
          <w:tcPr>
            <w:tcW w:w="70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top"/>
          </w:tcPr>
          <w:p w14:paraId="1377A577">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服务内容</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top"/>
          </w:tcPr>
          <w:p w14:paraId="274FFFF5">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服务期</w:t>
            </w:r>
          </w:p>
        </w:tc>
      </w:tr>
      <w:tr w14:paraId="4801E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0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2BF50FDA">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1</w:t>
            </w:r>
          </w:p>
        </w:tc>
        <w:tc>
          <w:tcPr>
            <w:tcW w:w="19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0AD16F8E">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基本服务</w:t>
            </w:r>
          </w:p>
        </w:tc>
        <w:tc>
          <w:tcPr>
            <w:tcW w:w="70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top"/>
          </w:tcPr>
          <w:p w14:paraId="5296D0B8">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基本服务至少满足以下内容：</w:t>
            </w:r>
          </w:p>
          <w:p w14:paraId="41CE3E7B">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05A13006">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568B5066">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3、数据质量：</w:t>
            </w:r>
            <w:r>
              <w:rPr>
                <w:rFonts w:hint="eastAsia" w:ascii="仿宋" w:hAnsi="仿宋" w:eastAsia="仿宋" w:cs="仿宋"/>
                <w:kern w:val="0"/>
                <w:sz w:val="24"/>
                <w:szCs w:val="24"/>
                <w:lang w:val="en-US" w:eastAsia="zh-CN" w:bidi="ar"/>
              </w:rPr>
              <w:t>供应商收到异议后，成交供应商应在5个工作日内对数据质量问题进行原因查找和反馈，30个工作日内对数据质量问题进行数据清洗；</w:t>
            </w:r>
          </w:p>
          <w:p w14:paraId="76924500">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4324993D">
            <w:pPr>
              <w:pStyle w:val="14"/>
              <w:keepNext w:val="0"/>
              <w:keepLines w:val="0"/>
              <w:widowControl/>
              <w:suppressLineNumbers w:val="0"/>
              <w:shd w:val="clear"/>
              <w:autoSpaceDE w:val="0"/>
              <w:autoSpaceDN/>
              <w:spacing w:before="0" w:beforeAutospacing="0" w:after="0" w:afterAutospacing="0"/>
              <w:ind w:left="0" w:right="0"/>
              <w:jc w:val="left"/>
              <w:rPr>
                <w:rFonts w:hint="eastAsia" w:ascii="仿宋" w:hAnsi="仿宋" w:eastAsia="仿宋" w:cs="仿宋"/>
                <w:kern w:val="0"/>
                <w:sz w:val="24"/>
                <w:szCs w:val="24"/>
                <w:shd w:val="clear" w:fill="FFFF00"/>
              </w:rPr>
            </w:pPr>
            <w:r>
              <w:rPr>
                <w:rFonts w:hint="eastAsia" w:ascii="仿宋" w:hAnsi="仿宋" w:eastAsia="仿宋" w:cs="仿宋"/>
                <w:b/>
                <w:bCs w:val="0"/>
                <w:kern w:val="0"/>
                <w:sz w:val="24"/>
                <w:szCs w:val="24"/>
                <w:shd w:val="clear"/>
                <w:lang w:val="en-US" w:eastAsia="zh-CN" w:bidi="ar"/>
              </w:rPr>
              <w:t>5、备件供应：</w:t>
            </w:r>
            <w:r>
              <w:rPr>
                <w:rFonts w:hint="eastAsia" w:ascii="仿宋" w:hAnsi="仿宋" w:eastAsia="仿宋" w:cs="仿宋"/>
                <w:kern w:val="0"/>
                <w:sz w:val="24"/>
                <w:szCs w:val="24"/>
                <w:shd w:val="clear"/>
                <w:lang w:val="en-US" w:eastAsia="zh-CN" w:bidi="ar"/>
              </w:rPr>
              <w:t>服务期内设备故障并经排查，明确2小时内无法恢复，应当在4小时内提供相同类型和性能的可用机器恢复业务工作，直至故障排除；</w:t>
            </w:r>
          </w:p>
          <w:p w14:paraId="6D376209">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6、定期巡检：</w:t>
            </w:r>
            <w:r>
              <w:rPr>
                <w:rFonts w:hint="eastAsia" w:ascii="仿宋" w:hAnsi="仿宋" w:eastAsia="仿宋" w:cs="仿宋"/>
                <w:kern w:val="0"/>
                <w:sz w:val="24"/>
                <w:szCs w:val="24"/>
                <w:lang w:val="en-US" w:eastAsia="zh-CN" w:bidi="ar"/>
              </w:rPr>
              <w:t>服务期内每月提供至少1次软硬件服务期巡检报告；</w:t>
            </w:r>
          </w:p>
          <w:p w14:paraId="0FCB49AE">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7、培训服务：</w:t>
            </w:r>
            <w:r>
              <w:rPr>
                <w:rFonts w:hint="eastAsia" w:ascii="仿宋" w:hAnsi="仿宋" w:eastAsia="仿宋" w:cs="仿宋"/>
                <w:kern w:val="0"/>
                <w:sz w:val="24"/>
                <w:szCs w:val="24"/>
                <w:lang w:val="en-US" w:eastAsia="zh-CN" w:bidi="ar"/>
              </w:rPr>
              <w:t>无</w:t>
            </w:r>
          </w:p>
          <w:p w14:paraId="2CE0CB25">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val="0"/>
                <w:kern w:val="0"/>
                <w:sz w:val="24"/>
                <w:szCs w:val="24"/>
                <w:lang w:val="en-US" w:eastAsia="zh-CN" w:bidi="ar"/>
              </w:rPr>
              <w:t>8、文档服务：</w:t>
            </w:r>
            <w:r>
              <w:rPr>
                <w:rFonts w:hint="eastAsia" w:ascii="仿宋" w:hAnsi="仿宋" w:eastAsia="仿宋" w:cs="仿宋"/>
                <w:kern w:val="0"/>
                <w:sz w:val="24"/>
                <w:szCs w:val="24"/>
                <w:lang w:val="en-US" w:eastAsia="zh-CN" w:bidi="ar"/>
              </w:rPr>
              <w:t>无</w:t>
            </w:r>
          </w:p>
          <w:p w14:paraId="0FD8B9D4">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b/>
                <w:bCs/>
                <w:kern w:val="0"/>
                <w:sz w:val="24"/>
                <w:szCs w:val="24"/>
                <w:lang w:val="en-US" w:eastAsia="zh-CN" w:bidi="ar"/>
              </w:rPr>
              <w:t>9、</w:t>
            </w:r>
            <w:r>
              <w:rPr>
                <w:rFonts w:hint="eastAsia" w:ascii="仿宋" w:hAnsi="仿宋" w:eastAsia="仿宋" w:cs="仿宋"/>
                <w:b/>
                <w:bCs w:val="0"/>
                <w:kern w:val="0"/>
                <w:sz w:val="24"/>
                <w:szCs w:val="24"/>
                <w:lang w:val="en-US" w:eastAsia="zh-CN" w:bidi="ar"/>
              </w:rPr>
              <w:t>人员服务：</w:t>
            </w:r>
            <w:r>
              <w:rPr>
                <w:rFonts w:hint="eastAsia" w:ascii="仿宋" w:hAnsi="仿宋" w:eastAsia="仿宋" w:cs="仿宋"/>
                <w:kern w:val="0"/>
                <w:sz w:val="24"/>
                <w:szCs w:val="24"/>
                <w:lang w:val="en-US" w:eastAsia="zh-CN" w:bidi="ar"/>
              </w:rPr>
              <w:t>无</w:t>
            </w:r>
          </w:p>
          <w:p w14:paraId="62F647D3">
            <w:pPr>
              <w:pStyle w:val="14"/>
              <w:keepNext w:val="0"/>
              <w:keepLines w:val="0"/>
              <w:widowControl/>
              <w:suppressLineNumbers w:val="0"/>
              <w:autoSpaceDE w:val="0"/>
              <w:autoSpaceDN/>
              <w:spacing w:before="0" w:beforeAutospacing="0" w:after="0" w:afterAutospacing="0"/>
              <w:ind w:left="0" w:right="0" w:firstLine="0"/>
              <w:jc w:val="left"/>
              <w:rPr>
                <w:rFonts w:hint="eastAsia" w:ascii="仿宋" w:hAnsi="仿宋" w:eastAsia="仿宋" w:cs="仿宋"/>
                <w:kern w:val="0"/>
                <w:sz w:val="24"/>
                <w:szCs w:val="24"/>
              </w:rPr>
            </w:pPr>
            <w:r>
              <w:rPr>
                <w:rFonts w:hint="eastAsia" w:ascii="仿宋" w:hAnsi="仿宋" w:eastAsia="仿宋" w:cs="仿宋"/>
                <w:b/>
                <w:bCs/>
                <w:kern w:val="0"/>
                <w:sz w:val="24"/>
                <w:szCs w:val="24"/>
                <w:lang w:val="en-US" w:eastAsia="zh-CN" w:bidi="ar"/>
              </w:rPr>
              <w:t>10、</w:t>
            </w:r>
            <w:r>
              <w:rPr>
                <w:rFonts w:hint="eastAsia" w:ascii="仿宋" w:hAnsi="仿宋" w:eastAsia="仿宋" w:cs="仿宋"/>
                <w:b/>
                <w:bCs w:val="0"/>
                <w:kern w:val="0"/>
                <w:sz w:val="24"/>
                <w:szCs w:val="24"/>
                <w:lang w:val="en-US" w:eastAsia="zh-CN" w:bidi="ar"/>
              </w:rPr>
              <w:t>其他：</w:t>
            </w:r>
          </w:p>
          <w:p w14:paraId="5C4A3CBF">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1）成交供应商应当与本项目相关的第三方保持有痕的沟通，明确项目的具体要求和功能等方面的细节。采购人负责组织、监督和验收，以确保项目的顺利完成。</w:t>
            </w:r>
          </w:p>
          <w:p w14:paraId="3832EF0D">
            <w:pPr>
              <w:pStyle w:val="14"/>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2）如涉及因本项目开发的系统原因造成采购人的经济损失，由成交供应商负责向采购人进行赔偿。</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0" w:type="dxa"/>
              <w:left w:w="140" w:type="dxa"/>
              <w:bottom w:w="0" w:type="dxa"/>
              <w:right w:w="140" w:type="dxa"/>
            </w:tcMar>
            <w:vAlign w:val="center"/>
          </w:tcPr>
          <w:p w14:paraId="6054940D">
            <w:pPr>
              <w:pStyle w:val="14"/>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验收合</w:t>
            </w:r>
            <w:r>
              <w:rPr>
                <w:rFonts w:hint="eastAsia" w:ascii="仿宋" w:hAnsi="仿宋" w:eastAsia="仿宋" w:cs="仿宋"/>
                <w:color w:val="auto"/>
                <w:kern w:val="0"/>
                <w:sz w:val="24"/>
                <w:szCs w:val="24"/>
                <w:lang w:val="en-US" w:eastAsia="zh-CN" w:bidi="ar"/>
              </w:rPr>
              <w:t>格之日起，提供不低于</w:t>
            </w:r>
            <w:r>
              <w:rPr>
                <w:rFonts w:hint="eastAsia" w:ascii="仿宋" w:hAnsi="仿宋" w:eastAsia="仿宋" w:cs="仿宋"/>
                <w:color w:val="auto"/>
                <w:kern w:val="0"/>
                <w:sz w:val="24"/>
                <w:szCs w:val="24"/>
                <w:u w:val="none"/>
                <w:lang w:val="en-US" w:eastAsia="zh-CN" w:bidi="ar"/>
              </w:rPr>
              <w:t>1</w:t>
            </w:r>
            <w:r>
              <w:rPr>
                <w:rFonts w:hint="eastAsia" w:ascii="仿宋" w:hAnsi="仿宋" w:eastAsia="仿宋" w:cs="仿宋"/>
                <w:kern w:val="0"/>
                <w:sz w:val="24"/>
                <w:szCs w:val="24"/>
                <w:lang w:val="en-US" w:eastAsia="zh-CN" w:bidi="ar"/>
              </w:rPr>
              <w:t>年</w:t>
            </w:r>
          </w:p>
        </w:tc>
      </w:tr>
    </w:tbl>
    <w:p w14:paraId="61CEB7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hanging="482" w:hangingChars="200"/>
        <w:textAlignment w:val="auto"/>
        <w:rPr>
          <w:rFonts w:hint="eastAsia" w:ascii="仿宋" w:hAnsi="仿宋" w:eastAsia="仿宋" w:cs="仿宋"/>
          <w:sz w:val="24"/>
          <w:szCs w:val="24"/>
        </w:rPr>
      </w:pPr>
      <w:r>
        <w:rPr>
          <w:rFonts w:hint="eastAsia" w:ascii="仿宋" w:hAnsi="仿宋" w:eastAsia="仿宋" w:cs="仿宋"/>
          <w:b/>
          <w:bCs/>
          <w:sz w:val="24"/>
          <w:szCs w:val="24"/>
        </w:rPr>
        <w:t>四、商务要求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79" w:leftChars="228"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1.实施时间：本项目合同签订生效后，供应商应在 5 个工作日内开始实施。</w:t>
      </w:r>
    </w:p>
    <w:p w14:paraId="1C72D1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2.实施周期：本项目开始实施之日起 60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bookmarkStart w:id="103" w:name="_GoBack"/>
      <w:bookmarkEnd w:id="103"/>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（5）履约验收内容：按照基于本项目采购需求编制的采购文件要求及供应商响应文件情况，供应商实施完成的所有软硬件功能。</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（6）履约验收时间：供应商完成本项目所有采购内容功能的上线并具备验收条件后10个工作日内采购人组织验收。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420" w:leftChars="20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075232A1">
      <w:pPr>
        <w:pStyle w:val="16"/>
        <w:numPr>
          <w:ilvl w:val="0"/>
          <w:numId w:val="0"/>
        </w:numPr>
        <w:ind w:firstLine="480" w:firstLineChars="200"/>
        <w:rPr>
          <w:rFonts w:hint="eastAsia" w:ascii="仿宋" w:hAnsi="仿宋" w:eastAsia="仿宋" w:cs="仿宋"/>
          <w:sz w:val="24"/>
          <w:szCs w:val="24"/>
        </w:rPr>
      </w:pPr>
      <w:r>
        <w:rPr>
          <w:rFonts w:hint="eastAsia" w:ascii="仿宋" w:hAnsi="仿宋" w:eastAsia="仿宋" w:cs="仿宋"/>
          <w:sz w:val="24"/>
          <w:szCs w:val="24"/>
          <w:highlight w:val="none"/>
          <w:lang w:val="en-US" w:eastAsia="zh-CN"/>
        </w:rPr>
        <w:t>6.知识产权归属：无。</w:t>
      </w:r>
    </w:p>
    <w:p w14:paraId="09075411">
      <w:pPr>
        <w:pStyle w:val="16"/>
        <w:ind w:firstLine="0"/>
        <w:rPr>
          <w:rFonts w:hint="eastAsia" w:ascii="仿宋" w:hAnsi="仿宋" w:eastAsia="仿宋" w:cs="仿宋"/>
          <w:sz w:val="24"/>
          <w:szCs w:val="24"/>
        </w:rPr>
      </w:pP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58682A99">
      <w:pPr>
        <w:pStyle w:val="2"/>
        <w:rPr>
          <w:rFonts w:ascii="Times New Roman" w:hAnsi="Times New Roman" w:cs="Times New Roman"/>
        </w:rPr>
      </w:pPr>
      <w:bookmarkStart w:id="17" w:name="_Toc192583770"/>
      <w:bookmarkStart w:id="18" w:name="_Toc22827"/>
      <w:bookmarkStart w:id="19" w:name="_Toc3094"/>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5913"/>
      <w:bookmarkStart w:id="21" w:name="_Toc4960"/>
      <w:bookmarkStart w:id="22" w:name="_Toc29819"/>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30609"/>
      <w:bookmarkStart w:id="24" w:name="_Toc19851"/>
      <w:bookmarkStart w:id="25" w:name="_Toc9428"/>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9041"/>
      <w:bookmarkStart w:id="28" w:name="_Toc1544"/>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1472"/>
      <w:bookmarkStart w:id="30" w:name="_Toc24097"/>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32749"/>
      <w:bookmarkStart w:id="32" w:name="_Toc1690"/>
      <w:bookmarkStart w:id="33" w:name="_Toc17163"/>
      <w:bookmarkStart w:id="34" w:name="_Toc2485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24123"/>
      <w:bookmarkStart w:id="36" w:name="_Toc17905"/>
      <w:bookmarkStart w:id="37" w:name="_Toc6803"/>
      <w:bookmarkStart w:id="38" w:name="_Toc3558"/>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5996"/>
      <w:bookmarkStart w:id="40" w:name="_Toc27135"/>
      <w:bookmarkStart w:id="41" w:name="_Toc27526"/>
      <w:bookmarkStart w:id="42" w:name="_Toc2989"/>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19987"/>
      <w:bookmarkStart w:id="44" w:name="_Toc7233"/>
      <w:bookmarkStart w:id="45" w:name="_Toc2031"/>
      <w:bookmarkStart w:id="46" w:name="_Toc5056"/>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6029"/>
      <w:bookmarkStart w:id="48" w:name="_Toc3023"/>
      <w:bookmarkStart w:id="49" w:name="_Toc21519"/>
      <w:bookmarkStart w:id="50" w:name="_Toc14829"/>
      <w:bookmarkStart w:id="51" w:name="_Toc11352"/>
      <w:bookmarkStart w:id="52" w:name="_Toc6482"/>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31838"/>
      <w:bookmarkStart w:id="54" w:name="_Toc30971"/>
      <w:bookmarkStart w:id="55" w:name="_Toc17857"/>
      <w:bookmarkStart w:id="56" w:name="_Toc4305"/>
      <w:bookmarkStart w:id="57" w:name="_Toc22676"/>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8" w:name="_Toc27186"/>
      <w:bookmarkStart w:id="59" w:name="_Toc15613"/>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706"/>
      <w:bookmarkStart w:id="62" w:name="_Toc13904"/>
      <w:bookmarkStart w:id="63" w:name="_Toc25357"/>
    </w:p>
    <w:p w14:paraId="6BE6D0D2">
      <w:pPr>
        <w:pStyle w:val="3"/>
        <w:ind w:firstLine="0"/>
        <w:rPr>
          <w:szCs w:val="32"/>
        </w:rPr>
      </w:pPr>
      <w:bookmarkStart w:id="64" w:name="_Toc23146"/>
      <w:bookmarkStart w:id="65" w:name="_Toc15508"/>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11351"/>
      <w:bookmarkStart w:id="67" w:name="_Toc27661"/>
      <w:bookmarkStart w:id="68" w:name="_Toc12015"/>
      <w:bookmarkStart w:id="69" w:name="_Toc20589"/>
      <w:bookmarkStart w:id="70" w:name="_Toc25638"/>
      <w:bookmarkStart w:id="71" w:name="_Toc15526"/>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2041"/>
      <w:bookmarkStart w:id="73" w:name="_Toc26969"/>
      <w:bookmarkStart w:id="74" w:name="_Toc12967"/>
      <w:bookmarkStart w:id="75" w:name="_Toc16435"/>
      <w:bookmarkStart w:id="76" w:name="_Toc23967"/>
      <w:bookmarkStart w:id="77" w:name="_Toc1074"/>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26839"/>
      <w:bookmarkStart w:id="79" w:name="_Toc28634"/>
      <w:bookmarkStart w:id="80" w:name="_Toc21082"/>
      <w:bookmarkStart w:id="81" w:name="_Toc24806"/>
      <w:bookmarkStart w:id="82" w:name="_Toc1369"/>
      <w:bookmarkStart w:id="83" w:name="_Toc31686"/>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32605"/>
      <w:bookmarkStart w:id="86" w:name="_Toc24494"/>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报价一览表</w:t>
      </w:r>
    </w:p>
    <w:tbl>
      <w:tblPr>
        <w:tblStyle w:val="18"/>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691"/>
        <w:gridCol w:w="2081"/>
        <w:gridCol w:w="2861"/>
        <w:gridCol w:w="685"/>
        <w:gridCol w:w="686"/>
        <w:gridCol w:w="1795"/>
        <w:gridCol w:w="960"/>
      </w:tblGrid>
      <w:tr w14:paraId="7B83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1" w:type="dxa"/>
            <w:shd w:val="clear" w:color="auto" w:fill="auto"/>
            <w:tcMar>
              <w:top w:w="0" w:type="dxa"/>
              <w:left w:w="105" w:type="dxa"/>
              <w:bottom w:w="0" w:type="dxa"/>
              <w:right w:w="105" w:type="dxa"/>
            </w:tcMar>
            <w:vAlign w:val="center"/>
          </w:tcPr>
          <w:p w14:paraId="5CEBAC3B">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序号</w:t>
            </w:r>
          </w:p>
        </w:tc>
        <w:tc>
          <w:tcPr>
            <w:tcW w:w="2081" w:type="dxa"/>
            <w:shd w:val="clear" w:color="auto" w:fill="auto"/>
            <w:tcMar>
              <w:top w:w="0" w:type="dxa"/>
              <w:left w:w="105" w:type="dxa"/>
              <w:bottom w:w="0" w:type="dxa"/>
              <w:right w:w="105" w:type="dxa"/>
            </w:tcMar>
            <w:vAlign w:val="center"/>
          </w:tcPr>
          <w:p w14:paraId="4E7BB8EE">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品名</w:t>
            </w:r>
          </w:p>
        </w:tc>
        <w:tc>
          <w:tcPr>
            <w:tcW w:w="2861" w:type="dxa"/>
            <w:shd w:val="clear" w:color="auto" w:fill="auto"/>
            <w:tcMar>
              <w:top w:w="0" w:type="dxa"/>
              <w:left w:w="105" w:type="dxa"/>
              <w:bottom w:w="0" w:type="dxa"/>
              <w:right w:w="105" w:type="dxa"/>
            </w:tcMar>
            <w:vAlign w:val="center"/>
          </w:tcPr>
          <w:p w14:paraId="0E01257A">
            <w:pPr>
              <w:pStyle w:val="16"/>
              <w:numPr>
                <w:ilvl w:val="0"/>
                <w:numId w:val="0"/>
              </w:numPr>
              <w:ind w:left="0" w:lef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详细描述</w:t>
            </w:r>
          </w:p>
        </w:tc>
        <w:tc>
          <w:tcPr>
            <w:tcW w:w="685" w:type="dxa"/>
            <w:shd w:val="clear" w:color="auto" w:fill="auto"/>
            <w:tcMar>
              <w:top w:w="0" w:type="dxa"/>
              <w:left w:w="105" w:type="dxa"/>
              <w:bottom w:w="0" w:type="dxa"/>
              <w:right w:w="105" w:type="dxa"/>
            </w:tcMar>
            <w:vAlign w:val="center"/>
          </w:tcPr>
          <w:p w14:paraId="6218A3D9">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数量</w:t>
            </w:r>
          </w:p>
        </w:tc>
        <w:tc>
          <w:tcPr>
            <w:tcW w:w="686" w:type="dxa"/>
            <w:shd w:val="clear" w:color="auto" w:fill="auto"/>
            <w:tcMar>
              <w:top w:w="0" w:type="dxa"/>
              <w:left w:w="105" w:type="dxa"/>
              <w:bottom w:w="0" w:type="dxa"/>
              <w:right w:w="105" w:type="dxa"/>
            </w:tcMar>
            <w:vAlign w:val="center"/>
          </w:tcPr>
          <w:p w14:paraId="702C8A6F">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单位</w:t>
            </w:r>
          </w:p>
        </w:tc>
        <w:tc>
          <w:tcPr>
            <w:tcW w:w="1795" w:type="dxa"/>
            <w:shd w:val="clear" w:color="auto" w:fill="auto"/>
            <w:tcMar>
              <w:top w:w="0" w:type="dxa"/>
              <w:left w:w="105" w:type="dxa"/>
              <w:bottom w:w="0" w:type="dxa"/>
              <w:right w:w="105" w:type="dxa"/>
            </w:tcMar>
            <w:vAlign w:val="center"/>
          </w:tcPr>
          <w:p w14:paraId="352BF075">
            <w:pPr>
              <w:pStyle w:val="16"/>
              <w:numPr>
                <w:ilvl w:val="0"/>
                <w:numId w:val="0"/>
              </w:numPr>
              <w:spacing w:line="240" w:lineRule="auto"/>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w:t>
            </w:r>
            <w:r>
              <w:rPr>
                <w:rFonts w:hint="eastAsia" w:ascii="仿宋" w:hAnsi="仿宋" w:eastAsia="仿宋" w:cs="仿宋"/>
                <w:sz w:val="24"/>
                <w:szCs w:val="24"/>
              </w:rPr>
              <w:t>价（元）</w:t>
            </w:r>
          </w:p>
        </w:tc>
        <w:tc>
          <w:tcPr>
            <w:tcW w:w="960" w:type="dxa"/>
            <w:shd w:val="clear" w:color="auto" w:fill="auto"/>
            <w:tcMar>
              <w:top w:w="0" w:type="dxa"/>
              <w:left w:w="105" w:type="dxa"/>
              <w:bottom w:w="0" w:type="dxa"/>
              <w:right w:w="105" w:type="dxa"/>
            </w:tcMar>
            <w:vAlign w:val="center"/>
          </w:tcPr>
          <w:p w14:paraId="58EC4F82">
            <w:pPr>
              <w:pStyle w:val="16"/>
              <w:numPr>
                <w:ilvl w:val="0"/>
                <w:numId w:val="0"/>
              </w:numPr>
              <w:spacing w:line="240" w:lineRule="auto"/>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1DB4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1" w:type="dxa"/>
            <w:shd w:val="clear" w:color="auto" w:fill="auto"/>
            <w:tcMar>
              <w:top w:w="0" w:type="dxa"/>
              <w:left w:w="105" w:type="dxa"/>
              <w:bottom w:w="0" w:type="dxa"/>
              <w:right w:w="105" w:type="dxa"/>
            </w:tcMar>
            <w:vAlign w:val="center"/>
          </w:tcPr>
          <w:p w14:paraId="0EA9BFA2">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2081" w:type="dxa"/>
            <w:shd w:val="clear" w:color="auto" w:fill="auto"/>
            <w:tcMar>
              <w:top w:w="0" w:type="dxa"/>
              <w:left w:w="105" w:type="dxa"/>
              <w:bottom w:w="0" w:type="dxa"/>
              <w:right w:w="105" w:type="dxa"/>
            </w:tcMar>
            <w:vAlign w:val="center"/>
          </w:tcPr>
          <w:p w14:paraId="4F8DCDDE">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互联网专线</w:t>
            </w:r>
          </w:p>
        </w:tc>
        <w:tc>
          <w:tcPr>
            <w:tcW w:w="2861" w:type="dxa"/>
            <w:shd w:val="clear" w:color="auto" w:fill="auto"/>
            <w:tcMar>
              <w:top w:w="0" w:type="dxa"/>
              <w:left w:w="105" w:type="dxa"/>
              <w:bottom w:w="0" w:type="dxa"/>
              <w:right w:w="105" w:type="dxa"/>
            </w:tcMar>
            <w:vAlign w:val="center"/>
          </w:tcPr>
          <w:p w14:paraId="50C20E64">
            <w:pPr>
              <w:pStyle w:val="16"/>
              <w:numPr>
                <w:ilvl w:val="0"/>
                <w:numId w:val="0"/>
              </w:numPr>
              <w:ind w:left="0" w:leftChars="0" w:firstLine="0" w:firstLineChars="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运营商机房到医院网络隔离区（DMZ区）网络专线（带宽≥1G）</w:t>
            </w:r>
          </w:p>
        </w:tc>
        <w:tc>
          <w:tcPr>
            <w:tcW w:w="685" w:type="dxa"/>
            <w:shd w:val="clear" w:color="auto" w:fill="auto"/>
            <w:tcMar>
              <w:top w:w="0" w:type="dxa"/>
              <w:left w:w="105" w:type="dxa"/>
              <w:bottom w:w="0" w:type="dxa"/>
              <w:right w:w="105" w:type="dxa"/>
            </w:tcMar>
            <w:vAlign w:val="center"/>
          </w:tcPr>
          <w:p w14:paraId="17D8563A">
            <w:pPr>
              <w:pStyle w:val="16"/>
              <w:numPr>
                <w:ilvl w:val="0"/>
                <w:numId w:val="0"/>
              </w:numPr>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686" w:type="dxa"/>
            <w:shd w:val="clear" w:color="auto" w:fill="auto"/>
            <w:tcMar>
              <w:top w:w="0" w:type="dxa"/>
              <w:left w:w="105" w:type="dxa"/>
              <w:bottom w:w="0" w:type="dxa"/>
              <w:right w:w="105" w:type="dxa"/>
            </w:tcMar>
            <w:vAlign w:val="center"/>
          </w:tcPr>
          <w:p w14:paraId="61E9B0F0">
            <w:pPr>
              <w:pStyle w:val="16"/>
              <w:numPr>
                <w:ilvl w:val="0"/>
                <w:numId w:val="0"/>
              </w:numPr>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条</w:t>
            </w:r>
          </w:p>
        </w:tc>
        <w:tc>
          <w:tcPr>
            <w:tcW w:w="1795" w:type="dxa"/>
            <w:shd w:val="clear" w:color="auto" w:fill="auto"/>
            <w:tcMar>
              <w:top w:w="0" w:type="dxa"/>
              <w:left w:w="105" w:type="dxa"/>
              <w:bottom w:w="0" w:type="dxa"/>
              <w:right w:w="105" w:type="dxa"/>
            </w:tcMar>
            <w:vAlign w:val="center"/>
          </w:tcPr>
          <w:p w14:paraId="7F93F207">
            <w:pPr>
              <w:pStyle w:val="16"/>
              <w:numPr>
                <w:ilvl w:val="0"/>
                <w:numId w:val="0"/>
              </w:numPr>
              <w:spacing w:line="240" w:lineRule="auto"/>
              <w:ind w:firstLine="0" w:firstLineChars="0"/>
              <w:jc w:val="center"/>
              <w:rPr>
                <w:rFonts w:hint="eastAsia" w:ascii="仿宋" w:hAnsi="仿宋" w:eastAsia="仿宋" w:cs="仿宋"/>
                <w:sz w:val="24"/>
                <w:szCs w:val="24"/>
              </w:rPr>
            </w:pPr>
          </w:p>
        </w:tc>
        <w:tc>
          <w:tcPr>
            <w:tcW w:w="960" w:type="dxa"/>
            <w:shd w:val="clear" w:color="auto" w:fill="auto"/>
            <w:tcMar>
              <w:top w:w="0" w:type="dxa"/>
              <w:left w:w="105" w:type="dxa"/>
              <w:bottom w:w="0" w:type="dxa"/>
              <w:right w:w="105" w:type="dxa"/>
            </w:tcMar>
            <w:vAlign w:val="center"/>
          </w:tcPr>
          <w:p w14:paraId="26897E4A">
            <w:pPr>
              <w:pStyle w:val="16"/>
              <w:numPr>
                <w:ilvl w:val="0"/>
                <w:numId w:val="0"/>
              </w:numPr>
              <w:spacing w:line="240" w:lineRule="auto"/>
              <w:ind w:firstLine="0" w:firstLineChars="0"/>
              <w:jc w:val="center"/>
              <w:rPr>
                <w:rFonts w:hint="eastAsia" w:ascii="仿宋" w:hAnsi="仿宋" w:eastAsia="仿宋" w:cs="仿宋"/>
                <w:sz w:val="24"/>
                <w:szCs w:val="24"/>
              </w:rPr>
            </w:pPr>
          </w:p>
        </w:tc>
      </w:tr>
      <w:tr w14:paraId="2096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772" w:type="dxa"/>
            <w:gridSpan w:val="2"/>
            <w:shd w:val="clear" w:color="auto" w:fill="auto"/>
            <w:tcMar>
              <w:top w:w="0" w:type="dxa"/>
              <w:left w:w="105" w:type="dxa"/>
              <w:bottom w:w="0" w:type="dxa"/>
              <w:right w:w="105" w:type="dxa"/>
            </w:tcMar>
            <w:vAlign w:val="center"/>
          </w:tcPr>
          <w:p w14:paraId="03AA928E">
            <w:pPr>
              <w:pStyle w:val="16"/>
              <w:numPr>
                <w:ilvl w:val="0"/>
                <w:numId w:val="0"/>
              </w:numPr>
              <w:spacing w:line="240" w:lineRule="auto"/>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6987" w:type="dxa"/>
            <w:gridSpan w:val="5"/>
            <w:shd w:val="clear" w:color="auto" w:fill="auto"/>
            <w:tcMar>
              <w:top w:w="0" w:type="dxa"/>
              <w:left w:w="105" w:type="dxa"/>
              <w:bottom w:w="0" w:type="dxa"/>
              <w:right w:w="105" w:type="dxa"/>
            </w:tcMar>
            <w:vAlign w:val="top"/>
          </w:tcPr>
          <w:p w14:paraId="03EC6F8E">
            <w:pPr>
              <w:pStyle w:val="16"/>
              <w:numPr>
                <w:ilvl w:val="0"/>
                <w:numId w:val="0"/>
              </w:numPr>
              <w:spacing w:line="240" w:lineRule="auto"/>
              <w:ind w:firstLine="720" w:firstLineChars="3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27908C2B">
      <w:pPr>
        <w:widowControl/>
        <w:jc w:val="left"/>
        <w:rPr>
          <w:rFonts w:ascii="Times New Roman" w:hAnsi="Times New Roman" w:eastAsia="仿宋" w:cs="Times New Roman"/>
          <w:szCs w:val="21"/>
          <w:lang w:val="zh-TW"/>
        </w:rPr>
      </w:pPr>
    </w:p>
    <w:p w14:paraId="2A79688B">
      <w:pPr>
        <w:widowControl/>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2.服务期：验收合格之日起，提供</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年</w:t>
      </w:r>
    </w:p>
    <w:p w14:paraId="25B217BC">
      <w:pPr>
        <w:widowControl/>
        <w:jc w:val="left"/>
        <w:rPr>
          <w:rFonts w:ascii="Times New Roman" w:hAnsi="Times New Roman" w:eastAsia="仿宋" w:cs="Times New Roman"/>
          <w:szCs w:val="21"/>
          <w:lang w:val="zh-TW"/>
        </w:rPr>
      </w:pPr>
    </w:p>
    <w:p w14:paraId="52943475">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14685"/>
      <w:bookmarkStart w:id="89" w:name="_Toc30002"/>
      <w:bookmarkStart w:id="90" w:name="_Toc2903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4"/>
        <w:rPr>
          <w:sz w:val="48"/>
          <w:szCs w:val="48"/>
        </w:rPr>
      </w:pPr>
      <w:r>
        <w:rPr>
          <w:rFonts w:hint="eastAsia"/>
          <w:sz w:val="48"/>
          <w:szCs w:val="48"/>
        </w:rPr>
        <w:t>*</w:t>
      </w:r>
      <w:r>
        <w:rPr>
          <w:sz w:val="48"/>
          <w:szCs w:val="48"/>
        </w:rPr>
        <w:t>**</w:t>
      </w:r>
      <w:r>
        <w:rPr>
          <w:rFonts w:hint="eastAsia"/>
          <w:sz w:val="48"/>
          <w:szCs w:val="48"/>
        </w:rPr>
        <w:t>服务项目</w:t>
      </w:r>
    </w:p>
    <w:p w14:paraId="622B975B">
      <w:pPr>
        <w:pStyle w:val="44"/>
        <w:rPr>
          <w:sz w:val="48"/>
          <w:szCs w:val="48"/>
        </w:rPr>
      </w:pPr>
      <w:r>
        <w:rPr>
          <w:rFonts w:hint="eastAsia"/>
          <w:sz w:val="48"/>
          <w:szCs w:val="48"/>
        </w:rPr>
        <w:t>采购</w:t>
      </w:r>
      <w:r>
        <w:rPr>
          <w:sz w:val="48"/>
          <w:szCs w:val="48"/>
        </w:rPr>
        <w:t>合同</w:t>
      </w:r>
    </w:p>
    <w:p w14:paraId="3987C57D">
      <w:pPr>
        <w:rPr>
          <w:sz w:val="24"/>
        </w:rPr>
        <w:sectPr>
          <w:headerReference r:id="rId6" w:type="default"/>
          <w:footerReference r:id="rId7" w:type="default"/>
          <w:footerReference r:id="rId8" w:type="even"/>
          <w:pgSz w:w="11906" w:h="16838"/>
          <w:pgMar w:top="1134" w:right="1134" w:bottom="1134" w:left="1134" w:header="850" w:footer="567" w:gutter="0"/>
          <w:cols w:space="425" w:num="1"/>
          <w:docGrid w:linePitch="312" w:charSpace="0"/>
        </w:sectPr>
      </w:pP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highlight w:val="none"/>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w:t>
      </w:r>
      <w:r>
        <w:rPr>
          <w:color w:val="000000"/>
          <w:szCs w:val="21"/>
          <w:highlight w:val="none"/>
        </w:rPr>
        <w:t>《采购文件》、《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30"/>
        <w:numPr>
          <w:ilvl w:val="0"/>
          <w:numId w:val="13"/>
        </w:numPr>
        <w:ind w:left="0" w:firstLine="0" w:firstLineChars="0"/>
        <w:contextualSpacing/>
        <w:jc w:val="left"/>
        <w:rPr>
          <w:b/>
          <w:szCs w:val="21"/>
          <w:highlight w:val="none"/>
        </w:rPr>
      </w:pPr>
      <w:r>
        <w:rPr>
          <w:b/>
          <w:szCs w:val="21"/>
          <w:highlight w:val="none"/>
        </w:rPr>
        <w:t>合同标的</w:t>
      </w:r>
    </w:p>
    <w:p w14:paraId="2E385537">
      <w:pPr>
        <w:pStyle w:val="9"/>
        <w:numPr>
          <w:ilvl w:val="0"/>
          <w:numId w:val="14"/>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4"/>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4"/>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30"/>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30"/>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30"/>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30"/>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30"/>
              <w:ind w:firstLine="0" w:firstLineChars="0"/>
              <w:rPr>
                <w:color w:val="000000"/>
                <w:szCs w:val="21"/>
                <w:highlight w:val="none"/>
              </w:rPr>
            </w:pPr>
          </w:p>
        </w:tc>
        <w:tc>
          <w:tcPr>
            <w:tcW w:w="3686" w:type="dxa"/>
            <w:vAlign w:val="center"/>
          </w:tcPr>
          <w:p w14:paraId="1B711F72">
            <w:pPr>
              <w:pStyle w:val="30"/>
              <w:ind w:firstLine="0" w:firstLineChars="0"/>
              <w:rPr>
                <w:color w:val="000000"/>
                <w:szCs w:val="21"/>
                <w:highlight w:val="none"/>
              </w:rPr>
            </w:pPr>
          </w:p>
        </w:tc>
        <w:tc>
          <w:tcPr>
            <w:tcW w:w="963" w:type="dxa"/>
            <w:vAlign w:val="center"/>
          </w:tcPr>
          <w:p w14:paraId="5DD02118">
            <w:pPr>
              <w:pStyle w:val="30"/>
              <w:ind w:firstLine="0" w:firstLineChars="0"/>
              <w:jc w:val="center"/>
              <w:rPr>
                <w:color w:val="000000"/>
                <w:szCs w:val="21"/>
                <w:highlight w:val="none"/>
              </w:rPr>
            </w:pPr>
          </w:p>
        </w:tc>
        <w:tc>
          <w:tcPr>
            <w:tcW w:w="2016" w:type="dxa"/>
          </w:tcPr>
          <w:p w14:paraId="149276E7">
            <w:pPr>
              <w:pStyle w:val="30"/>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30"/>
              <w:ind w:firstLine="0" w:firstLineChars="0"/>
              <w:rPr>
                <w:color w:val="000000"/>
                <w:szCs w:val="21"/>
                <w:highlight w:val="none"/>
              </w:rPr>
            </w:pPr>
          </w:p>
        </w:tc>
        <w:tc>
          <w:tcPr>
            <w:tcW w:w="3686" w:type="dxa"/>
            <w:vAlign w:val="center"/>
          </w:tcPr>
          <w:p w14:paraId="01B65D9C">
            <w:pPr>
              <w:pStyle w:val="30"/>
              <w:ind w:firstLine="0" w:firstLineChars="0"/>
              <w:rPr>
                <w:color w:val="000000"/>
                <w:szCs w:val="21"/>
                <w:highlight w:val="none"/>
              </w:rPr>
            </w:pPr>
          </w:p>
        </w:tc>
        <w:tc>
          <w:tcPr>
            <w:tcW w:w="963" w:type="dxa"/>
            <w:vAlign w:val="center"/>
          </w:tcPr>
          <w:p w14:paraId="4C31DD39">
            <w:pPr>
              <w:pStyle w:val="30"/>
              <w:ind w:firstLine="0" w:firstLineChars="0"/>
              <w:jc w:val="center"/>
              <w:rPr>
                <w:color w:val="000000"/>
                <w:szCs w:val="21"/>
                <w:highlight w:val="none"/>
              </w:rPr>
            </w:pPr>
          </w:p>
        </w:tc>
        <w:tc>
          <w:tcPr>
            <w:tcW w:w="2016" w:type="dxa"/>
          </w:tcPr>
          <w:p w14:paraId="3000AC5A">
            <w:pPr>
              <w:pStyle w:val="30"/>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30"/>
              <w:ind w:firstLine="0" w:firstLineChars="0"/>
              <w:rPr>
                <w:color w:val="000000"/>
                <w:szCs w:val="21"/>
                <w:highlight w:val="none"/>
              </w:rPr>
            </w:pPr>
          </w:p>
        </w:tc>
        <w:tc>
          <w:tcPr>
            <w:tcW w:w="3686" w:type="dxa"/>
            <w:vAlign w:val="center"/>
          </w:tcPr>
          <w:p w14:paraId="38AC0A57">
            <w:pPr>
              <w:pStyle w:val="30"/>
              <w:ind w:firstLine="0" w:firstLineChars="0"/>
              <w:rPr>
                <w:color w:val="000000"/>
                <w:szCs w:val="21"/>
                <w:highlight w:val="none"/>
              </w:rPr>
            </w:pPr>
          </w:p>
        </w:tc>
        <w:tc>
          <w:tcPr>
            <w:tcW w:w="963" w:type="dxa"/>
            <w:vAlign w:val="center"/>
          </w:tcPr>
          <w:p w14:paraId="3B158765">
            <w:pPr>
              <w:pStyle w:val="30"/>
              <w:ind w:firstLine="0" w:firstLineChars="0"/>
              <w:jc w:val="center"/>
              <w:rPr>
                <w:color w:val="000000"/>
                <w:szCs w:val="21"/>
                <w:highlight w:val="none"/>
              </w:rPr>
            </w:pPr>
          </w:p>
        </w:tc>
        <w:tc>
          <w:tcPr>
            <w:tcW w:w="2016" w:type="dxa"/>
          </w:tcPr>
          <w:p w14:paraId="43F7F4B9">
            <w:pPr>
              <w:pStyle w:val="30"/>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30"/>
              <w:ind w:firstLine="0" w:firstLineChars="0"/>
              <w:rPr>
                <w:color w:val="000000"/>
                <w:szCs w:val="21"/>
                <w:highlight w:val="none"/>
              </w:rPr>
            </w:pPr>
          </w:p>
        </w:tc>
        <w:tc>
          <w:tcPr>
            <w:tcW w:w="3686" w:type="dxa"/>
            <w:vAlign w:val="center"/>
          </w:tcPr>
          <w:p w14:paraId="5E27032F">
            <w:pPr>
              <w:pStyle w:val="30"/>
              <w:ind w:firstLine="0" w:firstLineChars="0"/>
              <w:rPr>
                <w:color w:val="000000"/>
                <w:szCs w:val="21"/>
                <w:highlight w:val="none"/>
              </w:rPr>
            </w:pPr>
          </w:p>
        </w:tc>
        <w:tc>
          <w:tcPr>
            <w:tcW w:w="963" w:type="dxa"/>
            <w:vAlign w:val="center"/>
          </w:tcPr>
          <w:p w14:paraId="19B21445">
            <w:pPr>
              <w:pStyle w:val="30"/>
              <w:ind w:firstLine="0" w:firstLineChars="0"/>
              <w:jc w:val="center"/>
              <w:rPr>
                <w:color w:val="000000"/>
                <w:szCs w:val="21"/>
                <w:highlight w:val="none"/>
              </w:rPr>
            </w:pPr>
          </w:p>
        </w:tc>
        <w:tc>
          <w:tcPr>
            <w:tcW w:w="2016" w:type="dxa"/>
          </w:tcPr>
          <w:p w14:paraId="5FC047A6">
            <w:pPr>
              <w:pStyle w:val="30"/>
              <w:ind w:firstLine="0" w:firstLineChars="0"/>
              <w:rPr>
                <w:color w:val="000000"/>
                <w:szCs w:val="21"/>
                <w:highlight w:val="none"/>
              </w:rPr>
            </w:pPr>
          </w:p>
        </w:tc>
      </w:tr>
    </w:tbl>
    <w:p w14:paraId="2D35C912">
      <w:pPr>
        <w:pStyle w:val="30"/>
        <w:numPr>
          <w:ilvl w:val="0"/>
          <w:numId w:val="13"/>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4" w:name="OLE_LINK2"/>
      <w:bookmarkStart w:id="95" w:name="OLE_LINK1"/>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6" w:name="OLE_LINK28"/>
      <w:r>
        <w:rPr>
          <w:szCs w:val="21"/>
          <w:highlight w:val="none"/>
        </w:rPr>
        <w:t>人民币大写：*** 圆整，即RMB *** 元</w:t>
      </w:r>
      <w:bookmarkEnd w:id="96"/>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4"/>
    <w:bookmarkEnd w:id="95"/>
    <w:p w14:paraId="61352334">
      <w:pPr>
        <w:pStyle w:val="30"/>
        <w:numPr>
          <w:ilvl w:val="0"/>
          <w:numId w:val="13"/>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30"/>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30"/>
        <w:jc w:val="left"/>
        <w:rPr>
          <w:bCs/>
          <w:szCs w:val="21"/>
          <w:highlight w:val="none"/>
        </w:rPr>
      </w:pPr>
    </w:p>
    <w:p w14:paraId="368787FF">
      <w:pPr>
        <w:pStyle w:val="30"/>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30"/>
        <w:jc w:val="left"/>
        <w:rPr>
          <w:bCs/>
          <w:szCs w:val="21"/>
          <w:highlight w:val="none"/>
        </w:rPr>
      </w:pPr>
    </w:p>
    <w:p w14:paraId="27DB179C">
      <w:pPr>
        <w:pStyle w:val="30"/>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7"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7"/>
      <w:r>
        <w:rPr>
          <w:bCs/>
          <w:szCs w:val="21"/>
          <w:highlight w:val="none"/>
        </w:rPr>
        <w:t>。</w:t>
      </w:r>
    </w:p>
    <w:p w14:paraId="1B257405">
      <w:pPr>
        <w:pStyle w:val="30"/>
        <w:numPr>
          <w:ilvl w:val="0"/>
          <w:numId w:val="13"/>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30"/>
        <w:numPr>
          <w:ilvl w:val="0"/>
          <w:numId w:val="13"/>
        </w:numPr>
        <w:ind w:left="0" w:firstLine="0" w:firstLineChars="0"/>
        <w:contextualSpacing/>
        <w:jc w:val="left"/>
        <w:rPr>
          <w:b/>
          <w:szCs w:val="21"/>
          <w:highlight w:val="none"/>
        </w:rPr>
      </w:pPr>
      <w:r>
        <w:rPr>
          <w:b/>
          <w:szCs w:val="21"/>
          <w:highlight w:val="none"/>
        </w:rPr>
        <w:t>验收</w:t>
      </w:r>
    </w:p>
    <w:p w14:paraId="57707485">
      <w:pPr>
        <w:pStyle w:val="30"/>
        <w:numPr>
          <w:ilvl w:val="0"/>
          <w:numId w:val="15"/>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30"/>
        <w:numPr>
          <w:ilvl w:val="0"/>
          <w:numId w:val="15"/>
        </w:numPr>
        <w:ind w:left="0" w:firstLine="0" w:firstLineChars="0"/>
        <w:contextualSpacing/>
        <w:rPr>
          <w:szCs w:val="21"/>
          <w:highlight w:val="none"/>
        </w:rPr>
      </w:pPr>
      <w:r>
        <w:rPr>
          <w:szCs w:val="21"/>
          <w:highlight w:val="none"/>
        </w:rPr>
        <w:t>验收方案：</w:t>
      </w:r>
    </w:p>
    <w:p w14:paraId="10719FFA">
      <w:pPr>
        <w:pStyle w:val="30"/>
        <w:numPr>
          <w:ilvl w:val="0"/>
          <w:numId w:val="16"/>
        </w:numPr>
        <w:ind w:firstLineChars="0"/>
        <w:contextualSpacing/>
        <w:rPr>
          <w:color w:val="000000"/>
          <w:szCs w:val="21"/>
          <w:highlight w:val="none"/>
        </w:rPr>
      </w:pPr>
      <w:r>
        <w:rPr>
          <w:rFonts w:hint="eastAsia"/>
          <w:color w:val="000000"/>
          <w:szCs w:val="21"/>
          <w:highlight w:val="none"/>
        </w:rPr>
        <w:t>验收主体：甲方</w:t>
      </w:r>
    </w:p>
    <w:p w14:paraId="7212F6E2">
      <w:pPr>
        <w:pStyle w:val="30"/>
        <w:numPr>
          <w:ilvl w:val="0"/>
          <w:numId w:val="16"/>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30"/>
        <w:numPr>
          <w:ilvl w:val="0"/>
          <w:numId w:val="16"/>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30"/>
        <w:numPr>
          <w:ilvl w:val="0"/>
          <w:numId w:val="16"/>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30"/>
        <w:numPr>
          <w:ilvl w:val="0"/>
          <w:numId w:val="16"/>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30"/>
        <w:numPr>
          <w:ilvl w:val="0"/>
          <w:numId w:val="16"/>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30"/>
        <w:numPr>
          <w:ilvl w:val="0"/>
          <w:numId w:val="16"/>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30"/>
        <w:numPr>
          <w:ilvl w:val="0"/>
          <w:numId w:val="16"/>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30"/>
        <w:numPr>
          <w:ilvl w:val="0"/>
          <w:numId w:val="16"/>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30"/>
        <w:numPr>
          <w:ilvl w:val="0"/>
          <w:numId w:val="16"/>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30"/>
        <w:numPr>
          <w:ilvl w:val="0"/>
          <w:numId w:val="16"/>
        </w:numPr>
        <w:ind w:firstLineChars="0"/>
        <w:contextualSpacing/>
        <w:rPr>
          <w:szCs w:val="21"/>
          <w:highlight w:val="none"/>
        </w:rPr>
      </w:pPr>
      <w:r>
        <w:rPr>
          <w:szCs w:val="21"/>
          <w:highlight w:val="none"/>
        </w:rPr>
        <w:t>验收标准：</w:t>
      </w:r>
    </w:p>
    <w:p w14:paraId="24757C73">
      <w:pPr>
        <w:pStyle w:val="16"/>
        <w:numPr>
          <w:ilvl w:val="0"/>
          <w:numId w:val="17"/>
        </w:numPr>
        <w:spacing w:after="0"/>
        <w:ind w:firstLineChars="0"/>
        <w:contextualSpacing/>
        <w:rPr>
          <w:rFonts w:ascii="Times New Roman" w:hAnsi="Times New Roman"/>
          <w:szCs w:val="21"/>
          <w:highlight w:val="none"/>
        </w:rPr>
      </w:pPr>
      <w:bookmarkStart w:id="98"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17"/>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8"/>
    <w:p w14:paraId="2BFFECC6">
      <w:pPr>
        <w:pStyle w:val="16"/>
        <w:numPr>
          <w:ilvl w:val="0"/>
          <w:numId w:val="17"/>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30"/>
        <w:numPr>
          <w:ilvl w:val="0"/>
          <w:numId w:val="16"/>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30"/>
        <w:numPr>
          <w:ilvl w:val="0"/>
          <w:numId w:val="15"/>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30"/>
        <w:numPr>
          <w:ilvl w:val="0"/>
          <w:numId w:val="13"/>
        </w:numPr>
        <w:ind w:left="0" w:firstLine="0" w:firstLineChars="0"/>
        <w:contextualSpacing/>
        <w:jc w:val="left"/>
        <w:rPr>
          <w:b/>
          <w:szCs w:val="21"/>
          <w:highlight w:val="none"/>
        </w:rPr>
      </w:pPr>
      <w:r>
        <w:rPr>
          <w:b/>
          <w:szCs w:val="21"/>
          <w:highlight w:val="none"/>
        </w:rPr>
        <w:t>付款方式</w:t>
      </w:r>
    </w:p>
    <w:p w14:paraId="5CC20725">
      <w:pPr>
        <w:pStyle w:val="9"/>
        <w:numPr>
          <w:ilvl w:val="0"/>
          <w:numId w:val="18"/>
        </w:numPr>
        <w:spacing w:after="0" w:line="240" w:lineRule="auto"/>
        <w:ind w:left="227" w:leftChars="0" w:hanging="227"/>
        <w:contextualSpacing/>
        <w:jc w:val="left"/>
        <w:rPr>
          <w:szCs w:val="21"/>
          <w:highlight w:val="none"/>
        </w:rPr>
      </w:pPr>
      <w:r>
        <w:rPr>
          <w:szCs w:val="21"/>
          <w:highlight w:val="none"/>
        </w:rPr>
        <w:t>履约保证金：</w:t>
      </w:r>
    </w:p>
    <w:p w14:paraId="1A98FD8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w:t>
      </w:r>
      <w:r>
        <w:rPr>
          <w:rFonts w:ascii="Times New Roman" w:hAnsi="Times New Roman"/>
          <w:color w:val="000000"/>
          <w:szCs w:val="21"/>
          <w:highlight w:val="none"/>
          <w:u w:val="single"/>
        </w:rPr>
        <w:t>***</w:t>
      </w:r>
      <w:r>
        <w:rPr>
          <w:rFonts w:ascii="Times New Roman" w:hAnsi="Times New Roman"/>
          <w:color w:val="000000"/>
          <w:szCs w:val="21"/>
          <w:highlight w:val="none"/>
        </w:rPr>
        <w:t>个工作日内，按合同总价</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w:t>
      </w:r>
      <w:r>
        <w:rPr>
          <w:rFonts w:hint="eastAsia" w:ascii="Times New Roman" w:hAnsi="Times New Roman"/>
          <w:color w:val="000000"/>
          <w:szCs w:val="21"/>
          <w:highlight w:val="none"/>
        </w:rPr>
        <w:t>服务期满且验收合格</w:t>
      </w:r>
      <w:r>
        <w:rPr>
          <w:rFonts w:ascii="Times New Roman" w:hAnsi="Times New Roman"/>
          <w:color w:val="000000"/>
          <w:szCs w:val="21"/>
          <w:highlight w:val="none"/>
        </w:rPr>
        <w:t>后，甲方接到乙方付款申请后</w:t>
      </w:r>
      <w:r>
        <w:rPr>
          <w:rFonts w:ascii="Times New Roman" w:hAnsi="Times New Roman"/>
          <w:color w:val="000000"/>
          <w:szCs w:val="21"/>
          <w:highlight w:val="none"/>
          <w:u w:val="single"/>
        </w:rPr>
        <w:t>30</w:t>
      </w:r>
      <w:r>
        <w:rPr>
          <w:rFonts w:ascii="Times New Roman" w:hAnsi="Times New Roman"/>
          <w:color w:val="000000"/>
          <w:szCs w:val="21"/>
          <w:highlight w:val="none"/>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18"/>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99" w:name="OLE_LINK30"/>
      <w:r>
        <w:rPr>
          <w:rFonts w:hint="eastAsia"/>
          <w:szCs w:val="21"/>
          <w:highlight w:val="none"/>
        </w:rPr>
        <w:t>固定部分价款</w:t>
      </w:r>
      <w:bookmarkEnd w:id="99"/>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18"/>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18"/>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30"/>
        <w:numPr>
          <w:ilvl w:val="0"/>
          <w:numId w:val="13"/>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19"/>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30"/>
        <w:numPr>
          <w:ilvl w:val="0"/>
          <w:numId w:val="20"/>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30"/>
        <w:numPr>
          <w:ilvl w:val="0"/>
          <w:numId w:val="20"/>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30"/>
        <w:numPr>
          <w:ilvl w:val="0"/>
          <w:numId w:val="20"/>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30"/>
        <w:numPr>
          <w:ilvl w:val="0"/>
          <w:numId w:val="20"/>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19"/>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1"/>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1"/>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30"/>
        <w:numPr>
          <w:ilvl w:val="0"/>
          <w:numId w:val="13"/>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2"/>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0BC8E6CE">
      <w:pPr>
        <w:pStyle w:val="30"/>
        <w:numPr>
          <w:ilvl w:val="0"/>
          <w:numId w:val="22"/>
        </w:numPr>
        <w:ind w:left="0" w:firstLine="0" w:firstLineChars="0"/>
        <w:rPr>
          <w:szCs w:val="21"/>
          <w:highlight w:val="none"/>
        </w:rPr>
      </w:pPr>
      <w:r>
        <w:rPr>
          <w:szCs w:val="21"/>
          <w:highlight w:val="none"/>
        </w:rPr>
        <w:t>乙方违约责任：</w:t>
      </w:r>
    </w:p>
    <w:p w14:paraId="354B31C5">
      <w:pPr>
        <w:pStyle w:val="9"/>
        <w:numPr>
          <w:ilvl w:val="0"/>
          <w:numId w:val="23"/>
        </w:numPr>
        <w:spacing w:after="0" w:line="240" w:lineRule="auto"/>
        <w:ind w:left="525" w:leftChars="0" w:hanging="525" w:hangingChars="250"/>
        <w:contextualSpacing/>
        <w:jc w:val="left"/>
        <w:rPr>
          <w:szCs w:val="21"/>
          <w:highlight w:val="none"/>
        </w:rPr>
      </w:pPr>
      <w:bookmarkStart w:id="100" w:name="OLE_LINK18"/>
      <w:bookmarkStart w:id="101"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p>
    <w:p w14:paraId="2E725C36">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74485C68">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szCs w:val="21"/>
          <w:highlight w:val="none"/>
          <w:u w:val="single"/>
        </w:rPr>
        <w:t>10</w:t>
      </w:r>
      <w:r>
        <w:rPr>
          <w:szCs w:val="21"/>
          <w:highlight w:val="none"/>
        </w:rPr>
        <w:t>%</w:t>
      </w:r>
      <w:r>
        <w:rPr>
          <w:rFonts w:hint="eastAsia"/>
          <w:szCs w:val="21"/>
          <w:highlight w:val="none"/>
        </w:rPr>
        <w:t>支付</w:t>
      </w:r>
      <w:r>
        <w:rPr>
          <w:szCs w:val="21"/>
          <w:highlight w:val="none"/>
        </w:rPr>
        <w:t>违约金。</w:t>
      </w:r>
    </w:p>
    <w:p w14:paraId="0B168445">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100"/>
    <w:bookmarkEnd w:id="101"/>
    <w:p w14:paraId="79DD140B">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3"/>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30"/>
        <w:numPr>
          <w:ilvl w:val="0"/>
          <w:numId w:val="13"/>
        </w:numPr>
        <w:ind w:left="0" w:firstLine="0" w:firstLineChars="0"/>
        <w:contextualSpacing/>
        <w:jc w:val="left"/>
        <w:rPr>
          <w:b/>
          <w:szCs w:val="21"/>
          <w:highlight w:val="none"/>
        </w:rPr>
      </w:pPr>
      <w:r>
        <w:rPr>
          <w:b/>
          <w:szCs w:val="21"/>
          <w:highlight w:val="none"/>
        </w:rPr>
        <w:t>不可抗力</w:t>
      </w:r>
    </w:p>
    <w:p w14:paraId="26541785">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30"/>
        <w:numPr>
          <w:ilvl w:val="0"/>
          <w:numId w:val="13"/>
        </w:numPr>
        <w:ind w:left="0" w:firstLine="0" w:firstLineChars="0"/>
        <w:contextualSpacing/>
        <w:jc w:val="left"/>
        <w:rPr>
          <w:b/>
          <w:szCs w:val="21"/>
          <w:highlight w:val="none"/>
        </w:rPr>
      </w:pPr>
      <w:r>
        <w:rPr>
          <w:b/>
          <w:szCs w:val="21"/>
          <w:highlight w:val="none"/>
        </w:rPr>
        <w:t>合同终止及解除</w:t>
      </w:r>
    </w:p>
    <w:p w14:paraId="275C61D9">
      <w:pPr>
        <w:pStyle w:val="30"/>
        <w:numPr>
          <w:ilvl w:val="0"/>
          <w:numId w:val="24"/>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4"/>
        </w:numPr>
        <w:ind w:left="0" w:firstLine="0" w:firstLineChars="0"/>
        <w:rPr>
          <w:szCs w:val="21"/>
          <w:highlight w:val="none"/>
        </w:rPr>
      </w:pPr>
      <w:r>
        <w:rPr>
          <w:szCs w:val="21"/>
          <w:highlight w:val="none"/>
        </w:rPr>
        <w:t>在甲、乙任何一方有严重违约行为时，另一方有权单方解除合同。</w:t>
      </w:r>
    </w:p>
    <w:p w14:paraId="2BA7B89E">
      <w:pPr>
        <w:pStyle w:val="30"/>
        <w:numPr>
          <w:ilvl w:val="0"/>
          <w:numId w:val="13"/>
        </w:numPr>
        <w:ind w:left="0" w:firstLine="0" w:firstLineChars="0"/>
        <w:contextualSpacing/>
        <w:jc w:val="left"/>
        <w:rPr>
          <w:b/>
          <w:szCs w:val="21"/>
          <w:highlight w:val="none"/>
        </w:rPr>
      </w:pPr>
      <w:r>
        <w:rPr>
          <w:b/>
          <w:szCs w:val="21"/>
          <w:highlight w:val="none"/>
        </w:rPr>
        <w:t>争议解决办法</w:t>
      </w:r>
    </w:p>
    <w:p w14:paraId="5C6244A3">
      <w:pPr>
        <w:pStyle w:val="30"/>
        <w:numPr>
          <w:ilvl w:val="0"/>
          <w:numId w:val="25"/>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5"/>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30"/>
        <w:numPr>
          <w:ilvl w:val="0"/>
          <w:numId w:val="13"/>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5"/>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5"/>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5"/>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3"/>
        </w:numPr>
        <w:ind w:left="0" w:firstLine="0" w:firstLineChars="0"/>
        <w:contextualSpacing/>
        <w:jc w:val="left"/>
        <w:rPr>
          <w:b/>
          <w:szCs w:val="21"/>
          <w:highlight w:val="none"/>
        </w:rPr>
      </w:pPr>
      <w:r>
        <w:rPr>
          <w:b/>
          <w:szCs w:val="21"/>
          <w:highlight w:val="none"/>
        </w:rPr>
        <w:t>其他</w:t>
      </w:r>
    </w:p>
    <w:p w14:paraId="162904B6">
      <w:pPr>
        <w:pStyle w:val="30"/>
        <w:numPr>
          <w:ilvl w:val="0"/>
          <w:numId w:val="27"/>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30"/>
        <w:numPr>
          <w:ilvl w:val="0"/>
          <w:numId w:val="27"/>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30"/>
        <w:numPr>
          <w:ilvl w:val="0"/>
          <w:numId w:val="13"/>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2" w:name="OLE_LINK32"/>
      <w:r>
        <w:rPr>
          <w:rFonts w:hint="eastAsia"/>
          <w:szCs w:val="21"/>
          <w:highlight w:val="none"/>
        </w:rPr>
        <w:t>结算单价清单</w:t>
      </w:r>
      <w:bookmarkEnd w:id="102"/>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rPr>
        <w:sectPr>
          <w:footerReference r:id="rId9" w:type="default"/>
          <w:pgSz w:w="11906" w:h="16838"/>
          <w:pgMar w:top="851" w:right="1134" w:bottom="851" w:left="1134" w:header="0" w:footer="567" w:gutter="0"/>
          <w:pgNumType w:start="1"/>
          <w:cols w:space="425" w:num="1"/>
          <w:docGrid w:linePitch="312" w:charSpace="0"/>
        </w:sectPr>
      </w:pPr>
    </w:p>
    <w:p w14:paraId="6BEFDD75">
      <w:pPr>
        <w:widowControl/>
        <w:jc w:val="left"/>
        <w:rPr>
          <w:rFonts w:ascii="宋体" w:hAnsi="宋体"/>
          <w:b/>
          <w:bCs/>
          <w:szCs w:val="21"/>
        </w:rPr>
      </w:pPr>
      <w:r>
        <w:rPr>
          <w:rFonts w:hint="eastAsia" w:ascii="宋体" w:hAnsi="宋体"/>
          <w:b/>
          <w:bCs/>
          <w:szCs w:val="21"/>
        </w:rPr>
        <w:t>附件2：考核标准</w:t>
      </w:r>
    </w:p>
    <w:p w14:paraId="6C0FC75D"/>
    <w:p w14:paraId="5A024B68">
      <w:pPr>
        <w:sectPr>
          <w:pgSz w:w="11906" w:h="16838"/>
          <w:pgMar w:top="851" w:right="1134" w:bottom="851" w:left="1134" w:header="0" w:footer="567" w:gutter="0"/>
          <w:pgNumType w:start="1"/>
          <w:cols w:space="425" w:num="1"/>
          <w:docGrid w:linePitch="312" w:charSpace="0"/>
        </w:sectPr>
      </w:pPr>
      <w:r>
        <w:rPr>
          <w:rFonts w:hint="eastAsia"/>
        </w:rPr>
        <w:t>*</w:t>
      </w:r>
      <w:r>
        <w:t>**</w:t>
      </w:r>
    </w:p>
    <w:p w14:paraId="692BA005">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56A674C7">
      <w:pPr>
        <w:pStyle w:val="27"/>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0B1D327-55DE-482D-BF09-C098B19A602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F1D1BD6-E87B-43F8-A58E-13A143CA12E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713A5F8-305E-4747-907D-1DC7A7FF5881}"/>
  </w:font>
  <w:font w:name="FangSong_GB2312">
    <w:altName w:val="仿宋_GB2312"/>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Wingdings 2">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embedRegular r:id="rId4" w:fontKey="{F6172AC3-2C3F-44EE-A74F-BAA00D8E3C84}"/>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jc w:val="center"/>
    </w:pPr>
    <w:r>
      <w:rPr>
        <w:rStyle w:val="22"/>
        <w:rFonts w:hint="eastAsia"/>
      </w:rPr>
      <w:t>第</w:t>
    </w:r>
    <w:r>
      <w:rPr>
        <w:rStyle w:val="22"/>
      </w:rPr>
      <w:fldChar w:fldCharType="begin"/>
    </w:r>
    <w:r>
      <w:rPr>
        <w:rStyle w:val="22"/>
      </w:rPr>
      <w:instrText xml:space="preserve"> PAGE  \* MERGEFORMAT </w:instrText>
    </w:r>
    <w:r>
      <w:rPr>
        <w:rStyle w:val="22"/>
      </w:rPr>
      <w:fldChar w:fldCharType="separate"/>
    </w:r>
    <w:r>
      <w:rPr>
        <w:rStyle w:val="22"/>
      </w:rPr>
      <w:t>6</w:t>
    </w:r>
    <w:r>
      <w:rPr>
        <w:rStyle w:val="22"/>
      </w:rPr>
      <w:fldChar w:fldCharType="end"/>
    </w:r>
    <w:r>
      <w:rPr>
        <w:rStyle w:val="22"/>
        <w:rFonts w:hint="eastAsia"/>
      </w:rPr>
      <w:t>页</w:t>
    </w:r>
    <w:r>
      <w:rPr>
        <w:rStyle w:val="22"/>
      </w:rPr>
      <w:t>/</w:t>
    </w:r>
    <w:r>
      <w:rPr>
        <w:rStyle w:val="22"/>
        <w:rFonts w:hint="eastAsia"/>
      </w:rPr>
      <w:t>共</w:t>
    </w:r>
    <w:r>
      <w:rPr>
        <w:rStyle w:val="22"/>
      </w:rPr>
      <w:fldChar w:fldCharType="begin"/>
    </w:r>
    <w:r>
      <w:rPr>
        <w:rStyle w:val="22"/>
      </w:rPr>
      <w:instrText xml:space="preserve"> SECTIONPAGES  \* MERGEFORMAT </w:instrText>
    </w:r>
    <w:r>
      <w:rPr>
        <w:rStyle w:val="22"/>
      </w:rPr>
      <w:fldChar w:fldCharType="separate"/>
    </w:r>
    <w:r>
      <w:rPr>
        <w:rStyle w:val="22"/>
      </w:rPr>
      <w:t>4</w:t>
    </w:r>
    <w:r>
      <w:rPr>
        <w:rStyle w:val="22"/>
      </w:rPr>
      <w:fldChar w:fldCharType="end"/>
    </w:r>
    <w:r>
      <w:rPr>
        <w:rStyle w:val="22"/>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jc w:val="center"/>
    </w:pPr>
    <w:r>
      <w:rPr>
        <w:rStyle w:val="22"/>
        <w:rFonts w:hint="eastAsia"/>
      </w:rPr>
      <w:t>第</w:t>
    </w:r>
    <w:r>
      <w:rPr>
        <w:rStyle w:val="22"/>
      </w:rPr>
      <w:fldChar w:fldCharType="begin"/>
    </w:r>
    <w:r>
      <w:rPr>
        <w:rStyle w:val="22"/>
      </w:rPr>
      <w:instrText xml:space="preserve"> </w:instrText>
    </w:r>
    <w:r>
      <w:rPr>
        <w:rStyle w:val="22"/>
        <w:rFonts w:hint="eastAsia"/>
      </w:rPr>
      <w:instrText xml:space="preserve">PAGE  \* MERGEFORMAT</w:instrText>
    </w:r>
    <w:r>
      <w:rPr>
        <w:rStyle w:val="22"/>
      </w:rPr>
      <w:instrText xml:space="preserve"> </w:instrText>
    </w:r>
    <w:r>
      <w:rPr>
        <w:rStyle w:val="22"/>
      </w:rPr>
      <w:fldChar w:fldCharType="separate"/>
    </w:r>
    <w:r>
      <w:rPr>
        <w:rStyle w:val="22"/>
      </w:rPr>
      <w:t>5</w:t>
    </w:r>
    <w:r>
      <w:rPr>
        <w:rStyle w:val="22"/>
      </w:rPr>
      <w:fldChar w:fldCharType="end"/>
    </w:r>
    <w:r>
      <w:rPr>
        <w:rStyle w:val="22"/>
        <w:rFonts w:hint="eastAsia"/>
      </w:rPr>
      <w:t>页/共</w:t>
    </w:r>
    <w:r>
      <w:rPr>
        <w:rStyle w:val="22"/>
      </w:rPr>
      <w:fldChar w:fldCharType="begin"/>
    </w:r>
    <w:r>
      <w:rPr>
        <w:rStyle w:val="22"/>
      </w:rPr>
      <w:instrText xml:space="preserve"> SECTIONPAGES  \* MERGEFORMAT </w:instrText>
    </w:r>
    <w:r>
      <w:rPr>
        <w:rStyle w:val="22"/>
      </w:rPr>
      <w:fldChar w:fldCharType="separate"/>
    </w:r>
    <w:r>
      <w:rPr>
        <w:rStyle w:val="22"/>
      </w:rPr>
      <w:t>1</w:t>
    </w:r>
    <w:r>
      <w:rPr>
        <w:rStyle w:val="22"/>
      </w:rPr>
      <w:fldChar w:fldCharType="end"/>
    </w:r>
    <w:r>
      <w:rPr>
        <w:rStyle w:val="22"/>
        <w:rFonts w:hint="eastAsi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1885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C1885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6B008"/>
    <w:multiLevelType w:val="singleLevel"/>
    <w:tmpl w:val="8AB6B008"/>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48B33EC"/>
    <w:multiLevelType w:val="singleLevel"/>
    <w:tmpl w:val="F48B33EC"/>
    <w:lvl w:ilvl="0" w:tentative="0">
      <w:start w:val="1"/>
      <w:numFmt w:val="decimal"/>
      <w:suff w:val="nothing"/>
      <w:lvlText w:val="（%1）"/>
      <w:lvlJc w:val="left"/>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3"/>
  </w:num>
  <w:num w:numId="3">
    <w:abstractNumId w:val="17"/>
  </w:num>
  <w:num w:numId="4">
    <w:abstractNumId w:val="26"/>
  </w:num>
  <w:num w:numId="5">
    <w:abstractNumId w:val="13"/>
  </w:num>
  <w:num w:numId="6">
    <w:abstractNumId w:val="21"/>
  </w:num>
  <w:num w:numId="7">
    <w:abstractNumId w:val="16"/>
  </w:num>
  <w:num w:numId="8">
    <w:abstractNumId w:val="4"/>
  </w:num>
  <w:num w:numId="9">
    <w:abstractNumId w:val="2"/>
  </w:num>
  <w:num w:numId="10">
    <w:abstractNumId w:val="1"/>
  </w:num>
  <w:num w:numId="11">
    <w:abstractNumId w:val="5"/>
  </w:num>
  <w:num w:numId="12">
    <w:abstractNumId w:val="0"/>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229022E"/>
    <w:rsid w:val="027D5CF6"/>
    <w:rsid w:val="03465FDA"/>
    <w:rsid w:val="04174CC4"/>
    <w:rsid w:val="058C78B0"/>
    <w:rsid w:val="05E13064"/>
    <w:rsid w:val="065A0943"/>
    <w:rsid w:val="078A573C"/>
    <w:rsid w:val="0899454A"/>
    <w:rsid w:val="093A3733"/>
    <w:rsid w:val="09A03EDE"/>
    <w:rsid w:val="0A373B2E"/>
    <w:rsid w:val="0B4508AE"/>
    <w:rsid w:val="0B452CDC"/>
    <w:rsid w:val="0C8B7F7D"/>
    <w:rsid w:val="0C917B0E"/>
    <w:rsid w:val="0CF161C9"/>
    <w:rsid w:val="0E0B7FF0"/>
    <w:rsid w:val="0E65470A"/>
    <w:rsid w:val="0F5F00EE"/>
    <w:rsid w:val="0F8B4CE8"/>
    <w:rsid w:val="0FB82141"/>
    <w:rsid w:val="10DA02FB"/>
    <w:rsid w:val="117A5014"/>
    <w:rsid w:val="127F05A0"/>
    <w:rsid w:val="136D78F8"/>
    <w:rsid w:val="140908D1"/>
    <w:rsid w:val="14C173FE"/>
    <w:rsid w:val="15CC4977"/>
    <w:rsid w:val="15D66ED9"/>
    <w:rsid w:val="162A4F7D"/>
    <w:rsid w:val="16A82A66"/>
    <w:rsid w:val="17E72CD8"/>
    <w:rsid w:val="192F5006"/>
    <w:rsid w:val="194248F8"/>
    <w:rsid w:val="1994787E"/>
    <w:rsid w:val="1AF35E37"/>
    <w:rsid w:val="1D532BBD"/>
    <w:rsid w:val="1DD000AF"/>
    <w:rsid w:val="1DD45AAC"/>
    <w:rsid w:val="1DFE27F6"/>
    <w:rsid w:val="1E09745A"/>
    <w:rsid w:val="201B291E"/>
    <w:rsid w:val="21521B0A"/>
    <w:rsid w:val="22B025C2"/>
    <w:rsid w:val="22D66761"/>
    <w:rsid w:val="232956BD"/>
    <w:rsid w:val="238B1303"/>
    <w:rsid w:val="23D4489F"/>
    <w:rsid w:val="24FE78B3"/>
    <w:rsid w:val="262001B9"/>
    <w:rsid w:val="272A6FE5"/>
    <w:rsid w:val="272B0768"/>
    <w:rsid w:val="27930786"/>
    <w:rsid w:val="27B87AF9"/>
    <w:rsid w:val="27E80EA9"/>
    <w:rsid w:val="280414A1"/>
    <w:rsid w:val="28336BE3"/>
    <w:rsid w:val="283879F0"/>
    <w:rsid w:val="28570368"/>
    <w:rsid w:val="28F00E11"/>
    <w:rsid w:val="29C5318E"/>
    <w:rsid w:val="2A494D92"/>
    <w:rsid w:val="2B502F98"/>
    <w:rsid w:val="2B764647"/>
    <w:rsid w:val="2C9A0A9E"/>
    <w:rsid w:val="2D370EF9"/>
    <w:rsid w:val="2D7626DC"/>
    <w:rsid w:val="2DA70D65"/>
    <w:rsid w:val="2EBF2F4F"/>
    <w:rsid w:val="2EFD0262"/>
    <w:rsid w:val="2FE15A34"/>
    <w:rsid w:val="3427766B"/>
    <w:rsid w:val="343706EB"/>
    <w:rsid w:val="351A08D0"/>
    <w:rsid w:val="3555332D"/>
    <w:rsid w:val="35B1007D"/>
    <w:rsid w:val="36124C6D"/>
    <w:rsid w:val="36334CE5"/>
    <w:rsid w:val="375D490D"/>
    <w:rsid w:val="37C64260"/>
    <w:rsid w:val="39B3630B"/>
    <w:rsid w:val="39F74BA5"/>
    <w:rsid w:val="3A551407"/>
    <w:rsid w:val="3B033C36"/>
    <w:rsid w:val="3BF7408F"/>
    <w:rsid w:val="3DB02F98"/>
    <w:rsid w:val="3DC6484E"/>
    <w:rsid w:val="3E5D4E8E"/>
    <w:rsid w:val="3EBD5B21"/>
    <w:rsid w:val="3FE25336"/>
    <w:rsid w:val="3FEA3154"/>
    <w:rsid w:val="410F0A26"/>
    <w:rsid w:val="42075FF8"/>
    <w:rsid w:val="42842020"/>
    <w:rsid w:val="439A5D2A"/>
    <w:rsid w:val="440525B4"/>
    <w:rsid w:val="4479615E"/>
    <w:rsid w:val="468567BB"/>
    <w:rsid w:val="47150D60"/>
    <w:rsid w:val="47615D53"/>
    <w:rsid w:val="4782487D"/>
    <w:rsid w:val="487307B7"/>
    <w:rsid w:val="498779AB"/>
    <w:rsid w:val="4A372155"/>
    <w:rsid w:val="4A641AAE"/>
    <w:rsid w:val="4AEF78B9"/>
    <w:rsid w:val="4B31068E"/>
    <w:rsid w:val="4BA55220"/>
    <w:rsid w:val="4BAD0151"/>
    <w:rsid w:val="4C8F75A2"/>
    <w:rsid w:val="4D066C0A"/>
    <w:rsid w:val="4DAD4403"/>
    <w:rsid w:val="4DB85903"/>
    <w:rsid w:val="4DF94F37"/>
    <w:rsid w:val="4E5E7A74"/>
    <w:rsid w:val="4E8C008E"/>
    <w:rsid w:val="4ECA2430"/>
    <w:rsid w:val="4F695058"/>
    <w:rsid w:val="4FEF758C"/>
    <w:rsid w:val="502743BA"/>
    <w:rsid w:val="50771A9C"/>
    <w:rsid w:val="51C47F6D"/>
    <w:rsid w:val="53191BD8"/>
    <w:rsid w:val="53574AE5"/>
    <w:rsid w:val="5455382C"/>
    <w:rsid w:val="55EA33B8"/>
    <w:rsid w:val="569A1C2E"/>
    <w:rsid w:val="56E61DD1"/>
    <w:rsid w:val="58003366"/>
    <w:rsid w:val="58DB1253"/>
    <w:rsid w:val="59D57095"/>
    <w:rsid w:val="5A113973"/>
    <w:rsid w:val="5A8C2C8F"/>
    <w:rsid w:val="5B2130BD"/>
    <w:rsid w:val="5BE523F7"/>
    <w:rsid w:val="5C117CEF"/>
    <w:rsid w:val="5D0A3490"/>
    <w:rsid w:val="5D460082"/>
    <w:rsid w:val="5D7E0D39"/>
    <w:rsid w:val="5DAE25DF"/>
    <w:rsid w:val="5DF536DD"/>
    <w:rsid w:val="5E9B5B97"/>
    <w:rsid w:val="5E9D3F29"/>
    <w:rsid w:val="5EDC2437"/>
    <w:rsid w:val="5FE63BE9"/>
    <w:rsid w:val="60384CD1"/>
    <w:rsid w:val="60655808"/>
    <w:rsid w:val="60C457EE"/>
    <w:rsid w:val="62487DE4"/>
    <w:rsid w:val="637B5798"/>
    <w:rsid w:val="63A9427A"/>
    <w:rsid w:val="63D462B1"/>
    <w:rsid w:val="641A3596"/>
    <w:rsid w:val="643B5D39"/>
    <w:rsid w:val="64A6459D"/>
    <w:rsid w:val="64D96647"/>
    <w:rsid w:val="655B51E5"/>
    <w:rsid w:val="65C47781"/>
    <w:rsid w:val="65E40ADA"/>
    <w:rsid w:val="65EE0CA2"/>
    <w:rsid w:val="66330B86"/>
    <w:rsid w:val="66E22203"/>
    <w:rsid w:val="68701E42"/>
    <w:rsid w:val="68B812C9"/>
    <w:rsid w:val="69D50CF4"/>
    <w:rsid w:val="6A621C98"/>
    <w:rsid w:val="6AF44E44"/>
    <w:rsid w:val="6B185026"/>
    <w:rsid w:val="6B6F2492"/>
    <w:rsid w:val="6C487AFD"/>
    <w:rsid w:val="6CB24363"/>
    <w:rsid w:val="6DCC4332"/>
    <w:rsid w:val="6E3F391B"/>
    <w:rsid w:val="6EA93466"/>
    <w:rsid w:val="6EC76ECB"/>
    <w:rsid w:val="6FCF0795"/>
    <w:rsid w:val="6FF9A939"/>
    <w:rsid w:val="70256A67"/>
    <w:rsid w:val="709F1517"/>
    <w:rsid w:val="712A1FB4"/>
    <w:rsid w:val="71381023"/>
    <w:rsid w:val="713F6856"/>
    <w:rsid w:val="719153B4"/>
    <w:rsid w:val="71C4364F"/>
    <w:rsid w:val="7204360E"/>
    <w:rsid w:val="73714961"/>
    <w:rsid w:val="74E53276"/>
    <w:rsid w:val="754D1D92"/>
    <w:rsid w:val="758350A9"/>
    <w:rsid w:val="76D916E8"/>
    <w:rsid w:val="77071BC4"/>
    <w:rsid w:val="77541AA4"/>
    <w:rsid w:val="795D474A"/>
    <w:rsid w:val="79EB6EA3"/>
    <w:rsid w:val="7A530E81"/>
    <w:rsid w:val="7B560FD7"/>
    <w:rsid w:val="7B5F74F8"/>
    <w:rsid w:val="7B690630"/>
    <w:rsid w:val="7BEB8E7F"/>
    <w:rsid w:val="7BFC3005"/>
    <w:rsid w:val="7C5123F4"/>
    <w:rsid w:val="7C6158D2"/>
    <w:rsid w:val="7D040AB6"/>
    <w:rsid w:val="7D4119E6"/>
    <w:rsid w:val="7D7FDAED"/>
    <w:rsid w:val="7DAF162B"/>
    <w:rsid w:val="7DC42B41"/>
    <w:rsid w:val="7F8B0200"/>
    <w:rsid w:val="BFB443D2"/>
    <w:rsid w:val="D1AFE0AA"/>
    <w:rsid w:val="F7F7F134"/>
    <w:rsid w:val="FF5FB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character" w:customStyle="1" w:styleId="42">
    <w:name w:val="10"/>
    <w:basedOn w:val="20"/>
    <w:qFormat/>
    <w:uiPriority w:val="0"/>
    <w:rPr>
      <w:rFonts w:hint="default" w:ascii="Times New Roman" w:hAnsi="Times New Roman" w:cs="Times New Roman"/>
    </w:rPr>
  </w:style>
  <w:style w:type="character" w:customStyle="1" w:styleId="43">
    <w:name w:val="15"/>
    <w:basedOn w:val="20"/>
    <w:qFormat/>
    <w:uiPriority w:val="0"/>
    <w:rPr>
      <w:rFonts w:hint="default" w:ascii="Times New Roman" w:hAnsi="Times New Roman" w:cs="Times New Roman"/>
      <w:b/>
    </w:rPr>
  </w:style>
  <w:style w:type="paragraph" w:customStyle="1" w:styleId="44">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1059</Words>
  <Characters>1144</Characters>
  <Lines>1</Lines>
  <Paragraphs>1</Paragraphs>
  <TotalTime>2</TotalTime>
  <ScaleCrop>false</ScaleCrop>
  <LinksUpToDate>false</LinksUpToDate>
  <CharactersWithSpaces>1213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2022-05-24T17:05:00Z</dcterms:created>
  <dc:creator>7</dc:creator>
  <cp:lastModifiedBy>赵汗青</cp:lastModifiedBy>
  <dcterms:modified xsi:type="dcterms:W3CDTF">2026-10-20T00:31:46Z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C93850E3A5C249EEA50EE09F01503289_13</vt:lpwstr>
  </property>
  <property fmtid="{D5CDD505-2E9C-101B-9397-08002B2CF9AE}" pid="4" name="KSOTemplateDocerSaveRecord">
    <vt:lpwstr>eyJoZGlkIjoiODI0NWNhMWVlODNmNDgyZDYwMTI1YjU1MGEwODE5YjIiLCJ1c2VySWQiOiIxNzY1NjMyNjY0In0=</vt:lpwstr>
  </property>
</Properties>
</file>