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四川省人民医院2026年医用放大镜采购项目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3240"/>
      <w:bookmarkStart w:id="2" w:name="_Toc21919"/>
      <w:bookmarkStart w:id="3" w:name="_Toc20358"/>
      <w:bookmarkStart w:id="4" w:name="_Toc1907"/>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四川省人民医院2026年医用放大镜采购项目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CGZX-YXZ20261165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61500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医用放大镜</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医用放大镜</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3</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2.05</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6.15</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79802F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bookmarkStart w:id="118" w:name="_GoBack"/>
      <w:bookmarkEnd w:id="118"/>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1.可定制的放大镜倍数至少包括： 2.5倍、2.8倍、3.2倍、3.5倍、5.0倍</w:t>
      </w:r>
      <w:r>
        <w:rPr>
          <w:rFonts w:hint="eastAsia" w:ascii="Times New Roman" w:hAnsi="Times New Roman" w:eastAsia="仿宋" w:cs="Times New Roman"/>
          <w:sz w:val="24"/>
          <w:szCs w:val="24"/>
          <w:lang w:eastAsia="zh-CN"/>
        </w:rPr>
        <w:t>。</w:t>
      </w:r>
    </w:p>
    <w:p w14:paraId="2686BA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▲2. 2.5倍放大镜重量：≤42g（提供产品彩页或说明书证明）</w:t>
      </w:r>
      <w:r>
        <w:rPr>
          <w:rFonts w:hint="eastAsia" w:ascii="Times New Roman" w:hAnsi="Times New Roman" w:eastAsia="仿宋" w:cs="Times New Roman"/>
          <w:sz w:val="24"/>
          <w:szCs w:val="24"/>
          <w:lang w:eastAsia="zh-CN"/>
        </w:rPr>
        <w:t>。</w:t>
      </w:r>
    </w:p>
    <w:p w14:paraId="702911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  3.放大镜目镜重量≤总重量的25%</w:t>
      </w:r>
      <w:r>
        <w:rPr>
          <w:rFonts w:hint="eastAsia" w:ascii="Times New Roman" w:hAnsi="Times New Roman" w:eastAsia="仿宋" w:cs="Times New Roman"/>
          <w:sz w:val="24"/>
          <w:szCs w:val="24"/>
          <w:lang w:eastAsia="zh-CN"/>
        </w:rPr>
        <w:t>。</w:t>
      </w:r>
    </w:p>
    <w:p w14:paraId="42BEFE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4.可矫正近视、远视、散光、老花</w:t>
      </w:r>
      <w:r>
        <w:rPr>
          <w:rFonts w:hint="eastAsia" w:ascii="Times New Roman" w:hAnsi="Times New Roman" w:eastAsia="仿宋" w:cs="Times New Roman"/>
          <w:sz w:val="24"/>
          <w:szCs w:val="24"/>
          <w:lang w:eastAsia="zh-CN"/>
        </w:rPr>
        <w:t>。</w:t>
      </w:r>
    </w:p>
    <w:p w14:paraId="35F8B4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▲5.工作距离可定制，45cm时的视野直径≥200mm（提供产品彩页或说明书证明）</w:t>
      </w:r>
      <w:r>
        <w:rPr>
          <w:rFonts w:hint="eastAsia" w:ascii="Times New Roman" w:hAnsi="Times New Roman" w:eastAsia="仿宋" w:cs="Times New Roman"/>
          <w:sz w:val="24"/>
          <w:szCs w:val="24"/>
          <w:lang w:eastAsia="zh-CN"/>
        </w:rPr>
        <w:t>。</w:t>
      </w:r>
    </w:p>
    <w:p w14:paraId="08F5C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6.景深≥15cm</w:t>
      </w:r>
      <w:r>
        <w:rPr>
          <w:rFonts w:hint="eastAsia" w:ascii="Times New Roman" w:hAnsi="Times New Roman" w:eastAsia="仿宋" w:cs="Times New Roman"/>
          <w:sz w:val="24"/>
          <w:szCs w:val="24"/>
          <w:lang w:eastAsia="zh-CN"/>
        </w:rPr>
        <w:t>。</w:t>
      </w:r>
    </w:p>
    <w:p w14:paraId="5B5D2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7.具备手术辅助照明灯，采用同轴照明方式，手术辅助照明灯与放大镜同一品牌。</w:t>
      </w:r>
    </w:p>
    <w:p w14:paraId="073940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 8.镜框：钛合金材质</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颜色种类≥3种；镜片：树脂镜片；目镜：采用圆形镜头设计</w:t>
      </w:r>
      <w:r>
        <w:rPr>
          <w:rFonts w:hint="eastAsia" w:ascii="Times New Roman" w:hAnsi="Times New Roman" w:eastAsia="仿宋" w:cs="Times New Roman"/>
          <w:sz w:val="24"/>
          <w:szCs w:val="24"/>
          <w:lang w:eastAsia="zh-CN"/>
        </w:rPr>
        <w:t>。</w:t>
      </w:r>
    </w:p>
    <w:p w14:paraId="17215C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9.镜头色彩还原率CRI≥95%</w:t>
      </w:r>
      <w:r>
        <w:rPr>
          <w:rFonts w:hint="eastAsia" w:ascii="Times New Roman" w:hAnsi="Times New Roman" w:eastAsia="仿宋" w:cs="Times New Roman"/>
          <w:sz w:val="24"/>
          <w:szCs w:val="24"/>
          <w:lang w:eastAsia="zh-CN"/>
        </w:rPr>
        <w:t>。</w:t>
      </w:r>
    </w:p>
    <w:p w14:paraId="55E4E2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10.具备透明塑料材质侧护板</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3.交货地点：四川省人民医院（青羊院区）。</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9428"/>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9041"/>
      <w:bookmarkStart w:id="31" w:name="_Toc32352"/>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24859"/>
      <w:bookmarkStart w:id="35" w:name="_Toc1690"/>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3558"/>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526"/>
      <w:bookmarkStart w:id="44" w:name="_Toc27135"/>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19987"/>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11352"/>
      <w:bookmarkStart w:id="52" w:name="_Toc14829"/>
      <w:bookmarkStart w:id="53" w:name="_Toc6482"/>
      <w:bookmarkStart w:id="54" w:name="_Toc21519"/>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4305"/>
      <w:bookmarkStart w:id="58" w:name="_Toc22676"/>
      <w:bookmarkStart w:id="59" w:name="_Toc31838"/>
      <w:bookmarkStart w:id="60" w:name="_Toc17857"/>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0589"/>
      <w:bookmarkStart w:id="70" w:name="_Toc12015"/>
      <w:bookmarkStart w:id="71" w:name="_Toc27661"/>
      <w:bookmarkStart w:id="72" w:name="_Toc15526"/>
      <w:bookmarkStart w:id="73" w:name="_Toc11351"/>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26969"/>
      <w:bookmarkStart w:id="77" w:name="_Toc16435"/>
      <w:bookmarkStart w:id="78" w:name="_Toc2041"/>
      <w:bookmarkStart w:id="79" w:name="_Toc23967"/>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1369"/>
      <w:bookmarkStart w:id="83" w:name="_Toc21082"/>
      <w:bookmarkStart w:id="84" w:name="_Toc26839"/>
      <w:bookmarkStart w:id="85" w:name="_Toc28634"/>
      <w:bookmarkStart w:id="86" w:name="_Toc2480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5901098-F9BC-4C99-B771-E2CC2655CB7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F783FD7-24EA-427A-B841-6F6689E8EF1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396202D-F5A7-470C-92AA-C1DA1DF6526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C14F219-17E6-4231-89A7-26EF6BDFA90E}"/>
  </w:font>
  <w:font w:name="Segoe UI Symbol">
    <w:panose1 w:val="020B0502040204020203"/>
    <w:charset w:val="00"/>
    <w:family w:val="swiss"/>
    <w:pitch w:val="default"/>
    <w:sig w:usb0="800001E3" w:usb1="1200FFEF" w:usb2="00040000" w:usb3="04000000" w:csb0="00000001" w:csb1="40000000"/>
    <w:embedRegular r:id="rId5" w:fontKey="{C3B47B0D-F318-4F90-B6AE-B431F4167056}"/>
  </w:font>
  <w:font w:name="Wingdings 2">
    <w:altName w:val="Wingdings"/>
    <w:panose1 w:val="05020102010507070707"/>
    <w:charset w:val="4D"/>
    <w:family w:val="decorative"/>
    <w:pitch w:val="default"/>
    <w:sig w:usb0="00000000" w:usb1="00000000" w:usb2="00000000" w:usb3="00000000" w:csb0="80000000" w:csb1="00000000"/>
    <w:embedRegular r:id="rId6" w:fontKey="{DC3E5185-F7F5-4329-8A8D-1A64D0F51FE1}"/>
  </w:font>
  <w:font w:name="Songti SC">
    <w:altName w:val="宋体"/>
    <w:panose1 w:val="02010600040101010101"/>
    <w:charset w:val="86"/>
    <w:family w:val="auto"/>
    <w:pitch w:val="default"/>
    <w:sig w:usb0="00000000" w:usb1="00000000" w:usb2="00000010" w:usb3="00000000" w:csb0="0004009F" w:csb1="00000000"/>
    <w:embedRegular r:id="rId7" w:fontKey="{3FED8674-2C1B-45EA-A737-F75F2BDA4627}"/>
  </w:font>
  <w:font w:name="微软雅黑">
    <w:panose1 w:val="020B0503020204020204"/>
    <w:charset w:val="86"/>
    <w:family w:val="auto"/>
    <w:pitch w:val="default"/>
    <w:sig w:usb0="80000287" w:usb1="2ACF3C50" w:usb2="00000016" w:usb3="00000000" w:csb0="0004001F" w:csb1="00000000"/>
    <w:embedRegular r:id="rId8" w:fontKey="{5F08F942-C381-4DCF-8063-40881BAE5F8D}"/>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39</w:t>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4867A82"/>
    <w:rsid w:val="25FA5054"/>
    <w:rsid w:val="262001B9"/>
    <w:rsid w:val="27B87AF9"/>
    <w:rsid w:val="27E80EA9"/>
    <w:rsid w:val="280414A1"/>
    <w:rsid w:val="282322F9"/>
    <w:rsid w:val="28570368"/>
    <w:rsid w:val="28E72E42"/>
    <w:rsid w:val="29C5318E"/>
    <w:rsid w:val="2B502F98"/>
    <w:rsid w:val="2C9A0A9E"/>
    <w:rsid w:val="2DA70D65"/>
    <w:rsid w:val="2DF13843"/>
    <w:rsid w:val="2F66770D"/>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B174D2"/>
    <w:rsid w:val="65E40ADA"/>
    <w:rsid w:val="66330B86"/>
    <w:rsid w:val="66E22203"/>
    <w:rsid w:val="67857573"/>
    <w:rsid w:val="68A1631F"/>
    <w:rsid w:val="68B812C9"/>
    <w:rsid w:val="69635EF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1227</Words>
  <Characters>1318</Characters>
  <Lines>72</Lines>
  <Paragraphs>20</Paragraphs>
  <TotalTime>0</TotalTime>
  <ScaleCrop>false</ScaleCrop>
  <LinksUpToDate>false</LinksUpToDate>
  <CharactersWithSpaces>1390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2026-07-23T07:26:12Z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