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高新医学中心一期项目水土保持方案编制及监测</w:t>
      </w:r>
      <w:r>
        <w:rPr>
          <w:rFonts w:hint="eastAsia" w:ascii="Times New Roman" w:hAnsi="Times New Roman" w:eastAsia="黑体" w:cs="Times New Roman"/>
          <w:b/>
          <w:spacing w:val="24"/>
          <w:sz w:val="56"/>
          <w:szCs w:val="56"/>
          <w:lang w:val="en-US" w:eastAsia="zh-CN"/>
        </w:rPr>
        <w:t>服务</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1907"/>
      <w:bookmarkStart w:id="2" w:name="_Toc62832406"/>
      <w:bookmarkStart w:id="3" w:name="_Toc20358"/>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高新医学中心一期项目水土保持方案编制及监测服务</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lang w:eastAsia="zh-CN"/>
              </w:rPr>
              <w:t>JJG20261388</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450000.00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i/>
                <w:iCs/>
                <w:sz w:val="22"/>
                <w:highlight w:val="none"/>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8"/>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u w:val="single"/>
                <w:lang w:val="zh-CN"/>
              </w:rPr>
              <w:t>合同金额的5%</w:t>
            </w:r>
            <w:r>
              <w:rPr>
                <w:rFonts w:ascii="Times New Roman" w:hAnsi="Times New Roman" w:eastAsia="仿宋" w:cs="Times New Roman"/>
                <w:sz w:val="22"/>
                <w:u w:val="single"/>
              </w:rPr>
              <w:t xml:space="preserve">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 xml:space="preserve">履约保证金可以以支票、汇票、本票或者金融机构出具的保函等非现金形式提交（包括网银转账，电汇等方式）。 </w:t>
            </w:r>
          </w:p>
          <w:p>
            <w:pPr>
              <w:pStyle w:val="28"/>
              <w:numPr>
                <w:ilvl w:val="0"/>
                <w:numId w:val="0"/>
              </w:numPr>
              <w:tabs>
                <w:tab w:val="left" w:pos="220"/>
              </w:tabs>
              <w:spacing w:line="360" w:lineRule="auto"/>
              <w:ind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注：出具保函的主体应当是金融机构、保险机构、担保机构等依法成立且具有相关资质和偿付能力的机构，否则将取消成交供应商的成交资格，采购人重新确定成交供应商，并依法追究法律责任。</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服务期结束且经采购人验收合格后，采购人接到供应商退还申请后30个工作日内，一次性无息退还全部履约保证金。</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w:t>
            </w:r>
            <w:r>
              <w:rPr>
                <w:rFonts w:hint="eastAsia" w:ascii="Times New Roman" w:hAnsi="Times New Roman" w:eastAsia="仿宋" w:cs="Times New Roman"/>
                <w:sz w:val="22"/>
                <w:highlight w:val="none"/>
              </w:rPr>
              <w:t>相同则</w:t>
            </w:r>
            <w:r>
              <w:rPr>
                <w:rFonts w:hint="eastAsia" w:ascii="Times New Roman" w:hAnsi="Times New Roman" w:eastAsia="仿宋" w:cs="Times New Roman"/>
                <w:i/>
                <w:iCs/>
                <w:sz w:val="22"/>
                <w:highlight w:val="none"/>
              </w:rPr>
              <w:t>报价&lt;最低&gt;</w:t>
            </w:r>
            <w:r>
              <w:rPr>
                <w:rFonts w:hint="eastAsia" w:ascii="Times New Roman" w:hAnsi="Times New Roman" w:eastAsia="仿宋" w:cs="Times New Roman"/>
                <w:sz w:val="22"/>
                <w:highlight w:val="none"/>
              </w:rPr>
              <w:t>的为成交供应商。若得分相同且</w:t>
            </w:r>
            <w:r>
              <w:rPr>
                <w:rFonts w:hint="eastAsia" w:ascii="Times New Roman" w:hAnsi="Times New Roman" w:eastAsia="仿宋" w:cs="Times New Roman"/>
                <w:sz w:val="22"/>
              </w:rPr>
              <w:t>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bookmarkStart w:id="12" w:name="OLE_LINK9"/>
            <w:r>
              <w:rPr>
                <w:rFonts w:ascii="Times New Roman" w:hAnsi="Times New Roman" w:eastAsia="仿宋" w:cs="Times New Roman"/>
                <w:b/>
                <w:sz w:val="22"/>
              </w:rPr>
              <w:t>具有良好的商业信誉</w:t>
            </w:r>
            <w:bookmarkEnd w:id="12"/>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bookmarkStart w:id="13" w:name="OLE_LINK10"/>
            <w:r>
              <w:rPr>
                <w:rFonts w:ascii="Times New Roman" w:hAnsi="Times New Roman" w:eastAsia="仿宋" w:cs="Times New Roman"/>
                <w:b/>
                <w:sz w:val="22"/>
              </w:rPr>
              <w:t>参加本次采购活动前三年内，在经营活动中没有重大违法记录</w:t>
            </w:r>
            <w:bookmarkEnd w:id="13"/>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bookmarkStart w:id="14" w:name="OLE_LINK11" w:colFirst="1" w:colLast="1"/>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bookmark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hint="eastAsia" w:ascii="Times New Roman" w:hAnsi="Times New Roman" w:eastAsia="仿宋" w:cs="Times New Roman"/>
                <w:b/>
                <w:bCs/>
                <w:sz w:val="22"/>
                <w:lang w:val="en-US" w:eastAsia="zh-CN"/>
              </w:rPr>
            </w:pPr>
            <w:bookmarkStart w:id="15" w:name="OLE_LINK8"/>
            <w:r>
              <w:rPr>
                <w:rFonts w:ascii="Times New Roman" w:hAnsi="Times New Roman" w:eastAsia="仿宋" w:cs="Times New Roman"/>
                <w:b/>
                <w:bCs/>
                <w:sz w:val="22"/>
              </w:rPr>
              <w:t>本项目其他资格条件：</w:t>
            </w:r>
            <w:bookmarkEnd w:id="15"/>
            <w:r>
              <w:rPr>
                <w:rFonts w:hint="eastAsia" w:ascii="Times New Roman" w:hAnsi="Times New Roman" w:eastAsia="仿宋" w:cs="Times New Roman"/>
                <w:b/>
                <w:bCs/>
                <w:sz w:val="22"/>
                <w:lang w:val="en-US" w:eastAsia="zh-CN"/>
              </w:rPr>
              <w:t>无</w:t>
            </w:r>
          </w:p>
        </w:tc>
        <w:tc>
          <w:tcPr>
            <w:tcW w:w="2846" w:type="pct"/>
            <w:vAlign w:val="center"/>
          </w:tcPr>
          <w:p>
            <w:pPr>
              <w:rPr>
                <w:rFonts w:hint="default"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hint="eastAsia" w:ascii="Times New Roman" w:hAnsi="Times New Roman" w:eastAsia="仿宋" w:cs="Times New Roman"/>
                <w:sz w:val="22"/>
                <w:u w:val="single"/>
                <w:lang w:val="en-US" w:eastAsia="zh-CN"/>
              </w:rPr>
              <w:t xml:space="preserve">  /  </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6" w:name="_Toc12668"/>
      <w:bookmarkStart w:id="17" w:name="_Toc16403"/>
      <w:bookmarkStart w:id="18" w:name="_Toc3988"/>
      <w:r>
        <w:rPr>
          <w:rFonts w:ascii="Times New Roman" w:hAnsi="Times New Roman" w:cs="Times New Roman"/>
        </w:rPr>
        <w:t>采购需求</w:t>
      </w:r>
      <w:bookmarkEnd w:id="16"/>
      <w:bookmarkEnd w:id="17"/>
      <w:bookmarkEnd w:id="18"/>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项目新建建筑面积177574平方米，其中地上建筑面积107394平方米，地下建筑面积70180平方米。主要包括急诊、门诊、住院、医技等基本设施用房、科教用房、地下停车设施等，配套建设道路广场、绿化及室外给排水、电气照明等。按照基本建设程序，拟开展水土保持方案编制及监测工作</w:t>
      </w:r>
      <w:r>
        <w:rPr>
          <w:rFonts w:hint="eastAsia" w:ascii="仿宋" w:hAnsi="仿宋" w:eastAsia="仿宋" w:cs="仿宋"/>
          <w:sz w:val="24"/>
          <w:szCs w:val="24"/>
          <w:lang w:val="en-US" w:eastAsia="zh-CN"/>
        </w:rPr>
        <w:t>。</w:t>
      </w:r>
      <w:r>
        <w:rPr>
          <w:rFonts w:hint="eastAsia" w:ascii="仿宋" w:hAnsi="仿宋" w:eastAsia="仿宋" w:cs="仿宋"/>
          <w:color w:val="0000FF"/>
          <w:sz w:val="24"/>
          <w:szCs w:val="24"/>
          <w:lang w:val="en-US" w:eastAsia="zh-CN"/>
        </w:rPr>
        <w:t>拟确定一名供应商提供服务。</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2" w:firstLineChars="200"/>
        <w:jc w:val="left"/>
        <w:textAlignment w:val="auto"/>
        <w:rPr>
          <w:rFonts w:hint="eastAsia" w:ascii="Times New Roman" w:hAnsi="Times New Roman" w:eastAsia="仿宋" w:cs="Times New Roman"/>
          <w:b/>
          <w:bCs/>
          <w:sz w:val="24"/>
          <w:szCs w:val="24"/>
          <w:lang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二、技术、服务要求</w:t>
      </w:r>
      <w:r>
        <w:rPr>
          <w:rFonts w:hint="eastAsia" w:ascii="Times New Roman" w:hAnsi="Times New Roman" w:eastAsia="仿宋" w:cs="Times New Roman"/>
          <w:b/>
          <w:bCs/>
          <w:sz w:val="24"/>
          <w:szCs w:val="24"/>
          <w:lang w:eastAsia="zh-CN"/>
        </w:rPr>
        <w:t>：</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1、按照《中华人民共和国水土保持法》及相关技术文件规定完成本项目水土保持方案编制工作，并取得相关行政主管部门的批复。</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2、水土保持生态环境变化监测。应包括地形、地貌、土壤、植被和水系等的变化情况，建设项目占地和扰动地表面积，挖填方数量及面积，弃土、弃石、弃渣量及堆放面积等；</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3、水土流失动态监测。应包括水土流失面积、强度和总量的变化及其对周边地区造成的影响等；</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4、水土保持措施防治效果监测。应包括各类防治措施的数量和质量，林草措施的成活率，工程措施的稳定性，各类防治措施的拦渣保土效果等。</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5、提供《水土保持监测实施方案》，编制符合行政主管部门要求的《监测季度报告》、《监测年度报告》、《水土保持监测总结报告》。</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（1）负责按时按期报送监测报告至行政主管部门备案；</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（2）配合采购人水土保持监测服务合同的验收工作，配合水土保持验收单位的水土保持验收工作。</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6、符合《水土保持工程质量验收与评价规范》(SL/T 336-2025)、《水土保持监测技术规范》（SL/T 277-2024）要求。</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仿宋" w:hAnsi="仿宋" w:eastAsia="仿宋" w:cs="仿宋"/>
          <w:sz w:val="24"/>
          <w:szCs w:val="24"/>
          <w:lang w:val="en-US" w:eastAsia="zh-CN"/>
        </w:rPr>
        <w:t>7、监测需严格遵循水土保持法律法规及技术规程，成果需数据全面、分析科学、结论真实，能准确反映水土保持状况</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val="en-US" w:eastAsia="zh-CN"/>
        </w:rPr>
        <w:t>三</w:t>
      </w:r>
      <w:r>
        <w:rPr>
          <w:rFonts w:ascii="Times New Roman" w:hAnsi="Times New Roman" w:eastAsia="仿宋" w:cs="Times New Roman"/>
          <w:b/>
          <w:bCs/>
          <w:sz w:val="24"/>
          <w:szCs w:val="24"/>
        </w:rPr>
        <w:t>、商务要求：</w:t>
      </w:r>
    </w:p>
    <w:p>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1.服务期：</w:t>
      </w:r>
      <w:r>
        <w:rPr>
          <w:rFonts w:hint="default" w:ascii="仿宋" w:hAnsi="仿宋" w:eastAsia="仿宋" w:cs="仿宋"/>
          <w:color w:val="000000"/>
          <w:kern w:val="2"/>
          <w:sz w:val="21"/>
          <w:szCs w:val="21"/>
          <w:lang w:val="en-US" w:eastAsia="zh-CN"/>
        </w:rPr>
        <w:t>自合同签订之日起至监测工作全部完成，且水土保持监测总结报告经主管部门验收合格并提交采购人之日止</w:t>
      </w:r>
      <w:r>
        <w:rPr>
          <w:rFonts w:hint="eastAsia" w:ascii="仿宋" w:hAnsi="仿宋" w:eastAsia="仿宋" w:cs="仿宋"/>
          <w:sz w:val="24"/>
          <w:szCs w:val="24"/>
          <w:lang w:val="en-US" w:eastAsia="zh-CN"/>
        </w:rPr>
        <w:t>。</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2.服务地点：四川省人民医院（高新院区）。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付款条件：（1）合同签订后，供应商完成方案报告书编制并通过省级水利行政主管部门的审核，取得批复意见后5日内，供应商向采购人出具合法有效票据及其它相关请款资料，采购人自收到上述票据及资料后55日内支付至合同总金额的40% ；</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（2）监测工作开始后满12个月并完成当年监测年报工作后5日内，供应商向采购人出具合法有效票据及其它相关请款资料，采购人自收到上述票据及资料后55日内支付至合同总金额的60%；</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（3）监测工作开始后满24个月并完成当年监测年报工作后5日内，供应商向采购人出具合法有效票据及其它相关请款资料，采购人自收到上述票据及资料后55日内支付至合同总金额的80%；</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（4）监测工作全部完成并提交经主管部门验收合格的水土保持监测总结报告后5日内，供应商向采购人出具合法有效票据及其它相关请款资料，采购人自收到上述票据及资料后55日内支付至合同总金额的100%。</w:t>
      </w:r>
    </w:p>
    <w:p>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履约验收内容：按照基于本项目采购需求编制的采购文件要求及供应商响应文件情况，由供应商向采购人提供的全部服务。</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(6)履约验收时间：供应商完成全部交付工作后15日内通知采购人验收，采购人接供应商通知后7日内组织验收。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7）其它标准：按照《中华人民共和国水土保持法》及相关技术文件规定完成本项目水土保持方案编制工作，并取得相关行政主管部门的批复；监测工作全部完成并提交经主管部门验收合格的水土监测总结报告。</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pPr>
        <w:pStyle w:val="16"/>
        <w:keepNext w:val="0"/>
        <w:keepLines w:val="0"/>
        <w:pageBreakBefore w:val="0"/>
        <w:numPr>
          <w:ilvl w:val="0"/>
          <w:numId w:val="0"/>
        </w:numPr>
        <w:kinsoku/>
        <w:wordWrap/>
        <w:overflowPunct/>
        <w:topLinePunct w:val="0"/>
        <w:autoSpaceDE/>
        <w:autoSpaceDN/>
        <w:bidi w:val="0"/>
        <w:adjustRightInd/>
        <w:spacing w:before="0"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rPr>
        <w:t>要求：</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★1、安全要求:服务期内供应商负责所有工作人员的人身安全、财产安全等一切安全责任，在项目实施过程中造成直接或间接损失，均由供应商承担。</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2、业绩要求： 2023年1月1日至投标截止时间已完成不少于1 个经省级水利部门审查通过的公共建筑项目水土保持方案编制业绩或经省级水利部门验收通过的水土保持监测业绩。(注:提供合同复印件及主管部门批复相关成果证明并加盖供应商公章，以合同签订时间为准，合同能够反映为类似项目业绩情况。)</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负责人（1人）的资格要求：具有注册土木工程师（水利水电工程）水土保持专业资格证书、具有水土保持或水利类相关专业中级及以上职称；作为项目负责人（主要编制人员）从2023年1月1日至投标截止时间已完成不少于1 个经省级水利部门审查通过的公共建筑项目水土保持方案编制业绩或经省级水利部门验收通过的水土保持监测业绩。（注:提供合同复印件及主管部门批复相关成果证明并加盖供应商公章，以合同签订时间为准，合同能够反映为类似项目业绩情况。可与公司业绩为相同项目）</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4.其他团队成员：技术负责人1人具有水土保持或水利类相关专业中级及以上职称；其他人员2人，具有水土保持相关工作经验。</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注:以上人员不重</w:t>
      </w:r>
      <w:bookmarkStart w:id="112" w:name="_GoBack"/>
      <w:bookmarkEnd w:id="112"/>
      <w:r>
        <w:rPr>
          <w:rFonts w:hint="eastAsia" w:ascii="仿宋" w:hAnsi="仿宋" w:eastAsia="仿宋" w:cs="仿宋"/>
          <w:sz w:val="24"/>
          <w:szCs w:val="24"/>
          <w:highlight w:val="none"/>
          <w:lang w:val="en-US" w:eastAsia="zh-CN"/>
        </w:rPr>
        <w:t xml:space="preserve">复计分。提供人员清单、有效的证书复印件及在职证明、工作经验证明材料并加盖供应商公章。 </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供应商提供针对本项目的服务方案，方案内容至少包括：①人员配置、②仪器设备投入、③工作管理体系、④项目特点与重难点分析、⑤监测目标和依据、⑥监测方式、⑦监测内容（水土保持生态环境变化监测方式及内容、水土流失动态监测方式及内容、水土保持措施防治效果监测方式及内容）、⑧监测成果。</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19" w:name="OLE_LINK3"/>
      <w:r>
        <w:rPr>
          <w:rFonts w:ascii="Segoe UI Symbol" w:hAnsi="Segoe UI Symbol" w:eastAsia="仿宋" w:cs="Segoe UI Symbol"/>
          <w:b/>
          <w:bCs/>
          <w:sz w:val="24"/>
          <w:szCs w:val="22"/>
        </w:rPr>
        <w:t>★</w:t>
      </w:r>
      <w:bookmarkEnd w:id="19"/>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20" w:name="_Toc28789"/>
      <w:bookmarkStart w:id="21" w:name="_Toc13768"/>
      <w:bookmarkStart w:id="22" w:name="_Toc22588"/>
      <w:r>
        <w:rPr>
          <w:rFonts w:ascii="Times New Roman" w:hAnsi="Times New Roman" w:cs="Times New Roman"/>
        </w:rPr>
        <w:t>评分标准</w:t>
      </w:r>
      <w:bookmarkEnd w:id="20"/>
      <w:bookmarkEnd w:id="21"/>
      <w:bookmarkEnd w:id="22"/>
    </w:p>
    <w:p>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864"/>
        <w:gridCol w:w="637"/>
        <w:gridCol w:w="7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1" w:type="pct"/>
            <w:noWrap w:val="0"/>
            <w:vAlign w:val="center"/>
          </w:tcPr>
          <w:p>
            <w:pPr>
              <w:jc w:val="left"/>
              <w:rPr>
                <w:rFonts w:hint="eastAsia" w:ascii="仿宋" w:hAnsi="仿宋" w:eastAsia="仿宋" w:cs="仿宋"/>
                <w:color w:val="auto"/>
                <w:sz w:val="24"/>
                <w:szCs w:val="24"/>
                <w:highlight w:val="none"/>
                <w:vertAlign w:val="baseline"/>
                <w:lang w:val="en-US" w:eastAsia="zh-CN"/>
              </w:rPr>
            </w:pPr>
            <w:r>
              <w:rPr>
                <w:rFonts w:ascii="Times New Roman" w:hAnsi="Times New Roman" w:cs="Times New Roman"/>
              </w:rPr>
              <w:br w:type="page"/>
            </w:r>
            <w:r>
              <w:rPr>
                <w:rFonts w:hint="eastAsia" w:ascii="仿宋" w:hAnsi="仿宋" w:eastAsia="仿宋" w:cs="仿宋"/>
                <w:color w:val="auto"/>
                <w:sz w:val="24"/>
                <w:szCs w:val="24"/>
                <w:highlight w:val="none"/>
                <w:vertAlign w:val="baseline"/>
                <w:lang w:val="en-US" w:eastAsia="zh-CN"/>
              </w:rPr>
              <w:t>序号</w:t>
            </w:r>
          </w:p>
        </w:tc>
        <w:tc>
          <w:tcPr>
            <w:tcW w:w="438"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323"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3976" w:type="pct"/>
            <w:noWrap w:val="0"/>
            <w:vAlign w:val="center"/>
          </w:tcPr>
          <w:p>
            <w:pPr>
              <w:jc w:val="center"/>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1"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color w:val="auto"/>
                <w:sz w:val="24"/>
                <w:szCs w:val="24"/>
                <w:highlight w:val="none"/>
                <w:lang w:val="en-US" w:eastAsia="zh-CN"/>
              </w:rPr>
              <w:t>报价</w:t>
            </w:r>
          </w:p>
        </w:tc>
        <w:tc>
          <w:tcPr>
            <w:tcW w:w="323"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lang w:val="en-US"/>
              </w:rPr>
            </w:pPr>
            <w:r>
              <w:rPr>
                <w:rFonts w:hint="eastAsia" w:ascii="仿宋" w:hAnsi="仿宋" w:eastAsia="仿宋" w:cs="仿宋"/>
                <w:color w:val="auto"/>
                <w:sz w:val="24"/>
                <w:szCs w:val="24"/>
                <w:highlight w:val="none"/>
                <w:lang w:val="en-US" w:eastAsia="zh-CN"/>
              </w:rPr>
              <w:t>10分</w:t>
            </w:r>
          </w:p>
        </w:tc>
        <w:tc>
          <w:tcPr>
            <w:tcW w:w="3976" w:type="pct"/>
            <w:noWrap w:val="0"/>
            <w:vAlign w:val="center"/>
          </w:tcPr>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满足谈判文件要求且响应价格最低的响应报价为评审基准价，其价格分为满分，响应报价得分=(评审基准价／响应报价)×10。</w:t>
            </w:r>
          </w:p>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b w:val="0"/>
                <w:bCs/>
                <w:sz w:val="24"/>
                <w:szCs w:val="24"/>
                <w:highlight w:val="none"/>
                <w:lang w:val="en-US" w:eastAsia="zh-CN"/>
              </w:rPr>
              <w:t>注：得分保留小数点后两位小数，四舍五入。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1"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3" w:name="OLE_LINK12"/>
            <w:r>
              <w:rPr>
                <w:rFonts w:hint="eastAsia" w:ascii="仿宋" w:hAnsi="仿宋" w:eastAsia="仿宋" w:cs="仿宋"/>
                <w:b w:val="0"/>
                <w:bCs/>
                <w:sz w:val="24"/>
                <w:szCs w:val="24"/>
              </w:rPr>
              <w:t>人员配备</w:t>
            </w:r>
            <w:bookmarkEnd w:id="23"/>
          </w:p>
        </w:tc>
        <w:tc>
          <w:tcPr>
            <w:tcW w:w="323" w:type="pct"/>
            <w:shd w:val="clear" w:color="auto" w:fill="auto"/>
            <w:noWrap w:val="0"/>
            <w:vAlign w:val="center"/>
          </w:tcPr>
          <w:p>
            <w:pPr>
              <w:pStyle w:val="14"/>
              <w:widowControl/>
              <w:spacing w:line="360" w:lineRule="auto"/>
              <w:ind w:firstLine="0" w:firstLineChars="0"/>
              <w:jc w:val="both"/>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31</w:t>
            </w:r>
            <w:r>
              <w:rPr>
                <w:rFonts w:hint="eastAsia" w:ascii="仿宋" w:hAnsi="仿宋" w:eastAsia="仿宋" w:cs="仿宋"/>
                <w:b w:val="0"/>
                <w:bCs/>
                <w:sz w:val="24"/>
                <w:szCs w:val="24"/>
              </w:rPr>
              <w:t>分</w:t>
            </w:r>
          </w:p>
        </w:tc>
        <w:tc>
          <w:tcPr>
            <w:tcW w:w="3976" w:type="pct"/>
            <w:shd w:val="clear" w:color="auto" w:fill="auto"/>
            <w:noWrap w:val="0"/>
            <w:vAlign w:val="center"/>
          </w:tcPr>
          <w:p>
            <w:pPr>
              <w:widowControl/>
              <w:jc w:val="left"/>
              <w:outlineLvl w:val="1"/>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项目负责人（1人）：具有注册土木工程师（水利水电工程）水土保持专业资格证书得5分；具有水土保持或水利类相关专业中级职称得5分，具有高级及以上职称得10分，本项最多得15分。</w:t>
            </w:r>
          </w:p>
          <w:p>
            <w:pPr>
              <w:widowControl/>
              <w:jc w:val="left"/>
              <w:outlineLvl w:val="1"/>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其他团队成员：技术负责人（1人）具有水土保持或水利类相关专业中级职称得5分，具有高级及以上职称得10分；本项最多得10分.</w:t>
            </w:r>
          </w:p>
          <w:p>
            <w:pPr>
              <w:widowControl/>
              <w:jc w:val="left"/>
              <w:outlineLvl w:val="1"/>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其他人员（2人），每有1人具有水土保持相关工作经验得3分，本项最多得6分。</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sz w:val="24"/>
                <w:szCs w:val="24"/>
                <w:highlight w:val="none"/>
                <w:lang w:val="en-US" w:eastAsia="zh-CN"/>
              </w:rPr>
              <w:t>注:以上人员不重复计分。提供人员清单、有效的证书复印件及在职证明、工作经验证明材料并加盖供应商公章。</w:t>
            </w:r>
            <w:r>
              <w:rPr>
                <w:rFonts w:hint="eastAsia" w:ascii="仿宋" w:hAnsi="仿宋" w:eastAsia="仿宋" w:cs="仿宋"/>
                <w:b w:val="0"/>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1"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4" w:name="OLE_LINK5"/>
            <w:r>
              <w:rPr>
                <w:rFonts w:hint="eastAsia" w:ascii="仿宋" w:hAnsi="仿宋" w:eastAsia="仿宋" w:cs="仿宋"/>
                <w:b w:val="0"/>
                <w:bCs/>
                <w:sz w:val="24"/>
                <w:szCs w:val="24"/>
                <w:lang w:val="en-US" w:eastAsia="zh-CN"/>
              </w:rPr>
              <w:t>类似</w:t>
            </w:r>
            <w:r>
              <w:rPr>
                <w:rFonts w:hint="eastAsia" w:ascii="仿宋" w:hAnsi="仿宋" w:eastAsia="仿宋" w:cs="仿宋"/>
                <w:b w:val="0"/>
                <w:bCs/>
                <w:sz w:val="24"/>
                <w:szCs w:val="24"/>
                <w:lang w:val="zh-CN"/>
              </w:rPr>
              <w:t>业绩</w:t>
            </w:r>
            <w:r>
              <w:rPr>
                <w:rFonts w:hint="eastAsia" w:ascii="仿宋" w:hAnsi="仿宋" w:eastAsia="仿宋" w:cs="仿宋"/>
                <w:b w:val="0"/>
                <w:bCs/>
                <w:sz w:val="24"/>
                <w:szCs w:val="24"/>
                <w:lang w:val="en-US" w:eastAsia="zh-CN"/>
              </w:rPr>
              <w:t>情况</w:t>
            </w:r>
            <w:bookmarkEnd w:id="24"/>
          </w:p>
        </w:tc>
        <w:tc>
          <w:tcPr>
            <w:tcW w:w="323" w:type="pct"/>
            <w:shd w:val="clear" w:color="auto" w:fill="auto"/>
            <w:noWrap w:val="0"/>
            <w:vAlign w:val="center"/>
          </w:tcPr>
          <w:p>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47</w:t>
            </w:r>
            <w:r>
              <w:rPr>
                <w:rFonts w:hint="eastAsia" w:ascii="仿宋" w:hAnsi="仿宋" w:eastAsia="仿宋" w:cs="仿宋"/>
                <w:b w:val="0"/>
                <w:bCs/>
                <w:sz w:val="24"/>
                <w:szCs w:val="24"/>
                <w:highlight w:val="none"/>
                <w:lang w:val="zh-CN"/>
              </w:rPr>
              <w:t>分</w:t>
            </w:r>
          </w:p>
        </w:tc>
        <w:tc>
          <w:tcPr>
            <w:tcW w:w="3976" w:type="pct"/>
            <w:shd w:val="clear" w:color="auto" w:fill="auto"/>
            <w:noWrap w:val="0"/>
            <w:vAlign w:val="center"/>
          </w:tcPr>
          <w:p>
            <w:pPr>
              <w:widowControl/>
              <w:numPr>
                <w:ilvl w:val="0"/>
                <w:numId w:val="12"/>
              </w:numPr>
              <w:jc w:val="left"/>
              <w:outlineLvl w:val="1"/>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企业业绩：</w:t>
            </w:r>
            <w:r>
              <w:rPr>
                <w:rFonts w:hint="eastAsia" w:ascii="仿宋" w:hAnsi="仿宋" w:eastAsia="仿宋" w:cs="仿宋"/>
                <w:sz w:val="24"/>
                <w:szCs w:val="24"/>
                <w:highlight w:val="none"/>
                <w:lang w:val="en-US" w:eastAsia="zh-CN"/>
              </w:rPr>
              <w:t xml:space="preserve"> 2023年1月1日至投标截止时间已完成的经省级水利部门审查通过的公共建筑项目水土保持方案编制业绩或经省级水利部门验收通过的水土保持监测业绩</w:t>
            </w:r>
            <w:r>
              <w:rPr>
                <w:rFonts w:hint="eastAsia" w:ascii="仿宋" w:hAnsi="仿宋" w:eastAsia="仿宋" w:cs="仿宋"/>
                <w:b w:val="0"/>
                <w:bCs/>
                <w:sz w:val="24"/>
                <w:szCs w:val="24"/>
                <w:lang w:val="en-US" w:eastAsia="zh-CN"/>
              </w:rPr>
              <w:t>得7分，</w:t>
            </w:r>
            <w:r>
              <w:rPr>
                <w:rFonts w:hint="eastAsia" w:ascii="仿宋" w:hAnsi="仿宋" w:eastAsia="仿宋" w:cs="仿宋"/>
                <w:b w:val="0"/>
                <w:bCs/>
                <w:sz w:val="24"/>
                <w:szCs w:val="24"/>
                <w:lang w:val="zh-CN" w:eastAsia="zh-CN"/>
              </w:rPr>
              <w:t>本项最多得</w:t>
            </w:r>
            <w:r>
              <w:rPr>
                <w:rFonts w:hint="eastAsia" w:ascii="仿宋" w:hAnsi="仿宋" w:eastAsia="仿宋" w:cs="仿宋"/>
                <w:b w:val="0"/>
                <w:bCs/>
                <w:sz w:val="24"/>
                <w:szCs w:val="24"/>
                <w:lang w:val="en-US" w:eastAsia="zh-CN"/>
              </w:rPr>
              <w:t>35</w:t>
            </w:r>
            <w:r>
              <w:rPr>
                <w:rFonts w:hint="eastAsia" w:ascii="仿宋" w:hAnsi="仿宋" w:eastAsia="仿宋" w:cs="仿宋"/>
                <w:b w:val="0"/>
                <w:bCs/>
                <w:sz w:val="24"/>
                <w:szCs w:val="24"/>
                <w:lang w:val="zh-CN" w:eastAsia="zh-CN"/>
              </w:rPr>
              <w:t>分。</w:t>
            </w:r>
          </w:p>
          <w:p>
            <w:pPr>
              <w:widowControl/>
              <w:numPr>
                <w:ilvl w:val="0"/>
                <w:numId w:val="12"/>
              </w:numPr>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项目负责人业绩：</w:t>
            </w:r>
            <w:r>
              <w:rPr>
                <w:rFonts w:hint="eastAsia" w:ascii="仿宋" w:hAnsi="仿宋" w:eastAsia="仿宋" w:cs="仿宋"/>
                <w:sz w:val="24"/>
                <w:szCs w:val="24"/>
                <w:highlight w:val="none"/>
                <w:lang w:val="en-US" w:eastAsia="zh-CN"/>
              </w:rPr>
              <w:t xml:space="preserve"> 2023年1月1日至投标截止时间已完成的经省级水利部门审查通过的公共建筑项目水土保持方案编制业绩或经省级水利部门验收通过的水土保持监测业绩</w:t>
            </w:r>
            <w:r>
              <w:rPr>
                <w:rFonts w:hint="eastAsia" w:ascii="仿宋" w:hAnsi="仿宋" w:eastAsia="仿宋" w:cs="仿宋"/>
                <w:b w:val="0"/>
                <w:bCs/>
                <w:sz w:val="24"/>
                <w:szCs w:val="24"/>
                <w:lang w:val="en-US" w:eastAsia="zh-CN"/>
              </w:rPr>
              <w:t>得4分，本项最多得12分</w:t>
            </w:r>
            <w:r>
              <w:rPr>
                <w:rFonts w:hint="eastAsia" w:ascii="仿宋" w:hAnsi="仿宋" w:eastAsia="仿宋" w:cs="仿宋"/>
                <w:b w:val="0"/>
                <w:bCs/>
                <w:sz w:val="24"/>
                <w:szCs w:val="24"/>
                <w:lang w:val="zh-CN" w:eastAsia="zh-CN"/>
              </w:rPr>
              <w:t>。</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注：</w:t>
            </w:r>
            <w:r>
              <w:rPr>
                <w:rFonts w:hint="eastAsia" w:ascii="仿宋" w:hAnsi="仿宋" w:eastAsia="仿宋" w:cs="仿宋"/>
                <w:sz w:val="24"/>
                <w:szCs w:val="24"/>
                <w:highlight w:val="none"/>
                <w:lang w:val="en-US" w:eastAsia="zh-CN"/>
              </w:rPr>
              <w:t>提供合同复印件及主管部门批复相关成果证明并加盖供应商公章，以合同签订时间为准，合同能够反映为类似项目业绩情况。项目人业绩可与公司业绩为相同项目</w:t>
            </w:r>
            <w:r>
              <w:rPr>
                <w:rFonts w:hint="eastAsia" w:ascii="仿宋" w:hAnsi="仿宋" w:eastAsia="仿宋" w:cs="仿宋"/>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1"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5" w:name="OLE_LINK6"/>
            <w:r>
              <w:rPr>
                <w:rFonts w:hint="eastAsia" w:ascii="仿宋" w:hAnsi="仿宋" w:eastAsia="仿宋" w:cs="仿宋"/>
                <w:b w:val="0"/>
                <w:bCs/>
                <w:sz w:val="24"/>
                <w:szCs w:val="24"/>
                <w:lang w:val="en-US" w:eastAsia="zh-CN"/>
              </w:rPr>
              <w:t>服务方案</w:t>
            </w:r>
            <w:bookmarkEnd w:id="25"/>
          </w:p>
        </w:tc>
        <w:tc>
          <w:tcPr>
            <w:tcW w:w="323" w:type="pct"/>
            <w:shd w:val="clear" w:color="auto" w:fill="auto"/>
            <w:noWrap w:val="0"/>
            <w:vAlign w:val="center"/>
          </w:tcPr>
          <w:p>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12</w:t>
            </w:r>
            <w:r>
              <w:rPr>
                <w:rFonts w:hint="eastAsia" w:ascii="仿宋" w:hAnsi="仿宋" w:eastAsia="仿宋" w:cs="仿宋"/>
                <w:b w:val="0"/>
                <w:bCs/>
                <w:sz w:val="24"/>
                <w:szCs w:val="24"/>
                <w:highlight w:val="none"/>
                <w:lang w:val="zh-CN"/>
              </w:rPr>
              <w:t>分</w:t>
            </w:r>
          </w:p>
        </w:tc>
        <w:tc>
          <w:tcPr>
            <w:tcW w:w="3976" w:type="pct"/>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sz w:val="24"/>
                <w:szCs w:val="24"/>
                <w:highlight w:val="none"/>
                <w:lang w:val="en-US" w:eastAsia="zh-CN"/>
              </w:rPr>
              <w:t>供应商提供针对本项目的服务方案，方案内容至少包括：①人员配置、②仪器设备投入、③工作管理体系、④项目特点与重难点分析、⑤监测目标和依据、⑥监测方式、⑦监测内容（水土保持生态环境变化监测方式及内容、水土流失动态监测方式及内容、水土保持措施防治效果监测方式及内容）、⑧监测成果等，以上八项满分12分，</w:t>
            </w:r>
            <w:r>
              <w:rPr>
                <w:rFonts w:hint="eastAsia" w:ascii="仿宋" w:hAnsi="仿宋" w:eastAsia="仿宋" w:cs="仿宋"/>
                <w:sz w:val="24"/>
                <w:szCs w:val="24"/>
              </w:rPr>
              <w:t>每缺失一项扣</w:t>
            </w:r>
            <w:r>
              <w:rPr>
                <w:rFonts w:hint="eastAsia" w:ascii="仿宋" w:hAnsi="仿宋" w:eastAsia="仿宋" w:cs="仿宋"/>
                <w:sz w:val="24"/>
                <w:szCs w:val="24"/>
                <w:lang w:val="en-US" w:eastAsia="zh-CN"/>
              </w:rPr>
              <w:t>1.5</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0.75</w:t>
            </w:r>
            <w:r>
              <w:rPr>
                <w:rFonts w:hint="eastAsia" w:ascii="仿宋" w:hAnsi="仿宋" w:eastAsia="仿宋" w:cs="仿宋"/>
                <w:b w:val="0"/>
                <w:bCs/>
                <w:sz w:val="24"/>
                <w:szCs w:val="24"/>
              </w:rPr>
              <w:t>分，扣完为止。</w:t>
            </w:r>
          </w:p>
          <w:p>
            <w:pPr>
              <w:widowControl/>
              <w:jc w:val="left"/>
              <w:outlineLvl w:val="1"/>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26" w:name="_Toc22827"/>
      <w:bookmarkStart w:id="27" w:name="_Toc3094"/>
      <w:bookmarkStart w:id="28" w:name="_Toc28171"/>
      <w:r>
        <w:rPr>
          <w:rFonts w:ascii="Times New Roman" w:hAnsi="Times New Roman" w:cs="Times New Roman"/>
        </w:rPr>
        <w:t>响应文件格式</w:t>
      </w:r>
      <w:bookmarkEnd w:id="26"/>
      <w:bookmarkEnd w:id="27"/>
      <w:bookmarkEnd w:id="28"/>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9" w:name="_Toc4960"/>
      <w:bookmarkStart w:id="30" w:name="_Toc5913"/>
      <w:bookmarkStart w:id="31" w:name="_Toc29819"/>
      <w:r>
        <w:rPr>
          <w:rFonts w:ascii="Times New Roman" w:hAnsi="Times New Roman" w:eastAsia="仿宋" w:cs="Times New Roman"/>
          <w:sz w:val="28"/>
          <w:szCs w:val="24"/>
        </w:rPr>
        <w:t>（响应文件封面）</w:t>
      </w:r>
      <w:bookmarkEnd w:id="29"/>
      <w:bookmarkEnd w:id="30"/>
      <w:bookmarkEnd w:id="31"/>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32" w:name="_Toc30609"/>
      <w:bookmarkStart w:id="33" w:name="_Toc19851"/>
      <w:bookmarkStart w:id="34" w:name="_Toc9428"/>
      <w:r>
        <w:rPr>
          <w:rFonts w:ascii="Times New Roman" w:hAnsi="Times New Roman" w:eastAsia="仿宋" w:cs="Times New Roman"/>
          <w:sz w:val="24"/>
          <w:szCs w:val="24"/>
        </w:rPr>
        <w:t>项目名称：</w:t>
      </w:r>
      <w:bookmarkEnd w:id="32"/>
      <w:bookmarkEnd w:id="33"/>
      <w:bookmarkEnd w:id="34"/>
    </w:p>
    <w:p>
      <w:pPr>
        <w:jc w:val="left"/>
        <w:rPr>
          <w:rFonts w:ascii="Times New Roman" w:hAnsi="Times New Roman" w:eastAsia="仿宋" w:cs="Times New Roman"/>
          <w:sz w:val="24"/>
          <w:szCs w:val="24"/>
        </w:rPr>
      </w:pPr>
      <w:bookmarkStart w:id="35" w:name="_Toc1544"/>
      <w:bookmarkStart w:id="36" w:name="_Toc32352"/>
      <w:bookmarkStart w:id="37" w:name="_Toc9041"/>
      <w:r>
        <w:rPr>
          <w:rFonts w:ascii="Times New Roman" w:hAnsi="Times New Roman" w:eastAsia="仿宋" w:cs="Times New Roman"/>
          <w:sz w:val="24"/>
          <w:szCs w:val="24"/>
        </w:rPr>
        <w:t>项目编号：</w:t>
      </w:r>
      <w:bookmarkEnd w:id="35"/>
      <w:bookmarkEnd w:id="36"/>
      <w:bookmarkEnd w:id="37"/>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8" w:name="_Toc21472"/>
      <w:bookmarkStart w:id="39" w:name="_Toc24097"/>
    </w:p>
    <w:bookmarkEnd w:id="38"/>
    <w:bookmarkEnd w:id="39"/>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40" w:name="_Toc32749"/>
      <w:bookmarkStart w:id="41" w:name="_Toc17163"/>
      <w:bookmarkStart w:id="42" w:name="_Toc1690"/>
      <w:bookmarkStart w:id="43" w:name="_Toc24859"/>
      <w:r>
        <w:rPr>
          <w:rFonts w:ascii="Times New Roman" w:hAnsi="Times New Roman" w:eastAsia="仿宋" w:cs="Times New Roman"/>
          <w:sz w:val="28"/>
          <w:szCs w:val="24"/>
        </w:rPr>
        <w:t>供应商名称（公章）：</w:t>
      </w:r>
      <w:bookmarkEnd w:id="40"/>
      <w:bookmarkEnd w:id="41"/>
      <w:bookmarkEnd w:id="42"/>
      <w:bookmarkEnd w:id="43"/>
    </w:p>
    <w:p>
      <w:pPr>
        <w:jc w:val="left"/>
        <w:rPr>
          <w:rFonts w:ascii="Times New Roman" w:hAnsi="Times New Roman" w:eastAsia="仿宋" w:cs="Times New Roman"/>
          <w:sz w:val="28"/>
          <w:szCs w:val="24"/>
        </w:rPr>
      </w:pPr>
      <w:bookmarkStart w:id="44" w:name="_Toc17905"/>
      <w:bookmarkStart w:id="45" w:name="_Toc6803"/>
      <w:bookmarkStart w:id="46" w:name="_Toc24123"/>
      <w:bookmarkStart w:id="47" w:name="_Toc3558"/>
      <w:r>
        <w:rPr>
          <w:rFonts w:ascii="Times New Roman" w:hAnsi="Times New Roman" w:eastAsia="仿宋" w:cs="Times New Roman"/>
          <w:sz w:val="28"/>
          <w:szCs w:val="24"/>
        </w:rPr>
        <w:t>法定代表人或授权代理人（签字）：</w:t>
      </w:r>
      <w:bookmarkEnd w:id="44"/>
      <w:bookmarkEnd w:id="45"/>
      <w:bookmarkEnd w:id="46"/>
      <w:bookmarkEnd w:id="47"/>
    </w:p>
    <w:p>
      <w:pPr>
        <w:jc w:val="left"/>
        <w:rPr>
          <w:rFonts w:ascii="Times New Roman" w:hAnsi="Times New Roman" w:eastAsia="仿宋" w:cs="Times New Roman"/>
          <w:sz w:val="28"/>
          <w:szCs w:val="24"/>
        </w:rPr>
      </w:pPr>
      <w:bookmarkStart w:id="48" w:name="_Toc27135"/>
      <w:bookmarkStart w:id="49" w:name="_Toc2989"/>
      <w:bookmarkStart w:id="50" w:name="_Toc27526"/>
      <w:bookmarkStart w:id="51" w:name="_Toc5996"/>
      <w:r>
        <w:rPr>
          <w:rFonts w:ascii="Times New Roman" w:hAnsi="Times New Roman" w:eastAsia="仿宋" w:cs="Times New Roman"/>
          <w:sz w:val="28"/>
          <w:szCs w:val="24"/>
        </w:rPr>
        <w:t>联系方式（移动电话）：</w:t>
      </w:r>
      <w:bookmarkEnd w:id="48"/>
      <w:bookmarkEnd w:id="49"/>
      <w:bookmarkEnd w:id="50"/>
      <w:bookmarkEnd w:id="51"/>
    </w:p>
    <w:p>
      <w:pPr>
        <w:jc w:val="left"/>
        <w:rPr>
          <w:rFonts w:ascii="Times New Roman" w:hAnsi="Times New Roman" w:eastAsia="仿宋" w:cs="Times New Roman"/>
          <w:sz w:val="28"/>
          <w:szCs w:val="24"/>
        </w:rPr>
      </w:pPr>
      <w:bookmarkStart w:id="52" w:name="_Toc2031"/>
      <w:bookmarkStart w:id="53" w:name="_Toc5056"/>
      <w:bookmarkStart w:id="54" w:name="_Toc19987"/>
      <w:bookmarkStart w:id="55" w:name="_Toc7233"/>
      <w:r>
        <w:rPr>
          <w:rFonts w:ascii="Times New Roman" w:hAnsi="Times New Roman" w:eastAsia="仿宋" w:cs="Times New Roman"/>
          <w:sz w:val="28"/>
          <w:szCs w:val="24"/>
        </w:rPr>
        <w:t>日期：     年    月     日</w:t>
      </w:r>
      <w:bookmarkEnd w:id="52"/>
      <w:bookmarkEnd w:id="53"/>
      <w:bookmarkEnd w:id="54"/>
      <w:bookmarkEnd w:id="55"/>
    </w:p>
    <w:p>
      <w:pPr>
        <w:jc w:val="center"/>
        <w:rPr>
          <w:rFonts w:ascii="Times New Roman" w:hAnsi="Times New Roman" w:eastAsia="仿宋" w:cs="Times New Roman"/>
          <w:sz w:val="32"/>
          <w:szCs w:val="40"/>
        </w:rPr>
      </w:pPr>
      <w:bookmarkStart w:id="56" w:name="_Toc16029"/>
      <w:bookmarkStart w:id="57" w:name="_Toc14829"/>
      <w:bookmarkStart w:id="58" w:name="_Toc3023"/>
      <w:bookmarkStart w:id="59" w:name="_Toc21519"/>
      <w:bookmarkStart w:id="60" w:name="_Toc6482"/>
      <w:bookmarkStart w:id="61" w:name="_Toc1135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56"/>
      <w:bookmarkEnd w:id="57"/>
      <w:bookmarkEnd w:id="58"/>
      <w:bookmarkEnd w:id="59"/>
      <w:bookmarkEnd w:id="60"/>
      <w:bookmarkEnd w:id="61"/>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62" w:name="_Toc4305"/>
      <w:bookmarkStart w:id="63" w:name="_Toc31838"/>
      <w:bookmarkStart w:id="64" w:name="_Toc22676"/>
      <w:bookmarkStart w:id="65" w:name="_Toc30971"/>
      <w:bookmarkStart w:id="66" w:name="_Toc17857"/>
      <w:r>
        <w:rPr>
          <w:rFonts w:ascii="Times New Roman" w:hAnsi="Times New Roman" w:cs="Times New Roman"/>
        </w:rPr>
        <w:br w:type="page"/>
      </w:r>
    </w:p>
    <w:p>
      <w:pPr>
        <w:pStyle w:val="3"/>
        <w:ind w:firstLine="0"/>
      </w:pPr>
      <w:r>
        <w:t>具有独立承担民事责任的能力</w:t>
      </w:r>
      <w:bookmarkEnd w:id="62"/>
      <w:bookmarkEnd w:id="63"/>
      <w:bookmarkEnd w:id="64"/>
      <w:bookmarkEnd w:id="65"/>
      <w:bookmarkEnd w:id="66"/>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7" w:name="_Toc15613"/>
      <w:bookmarkStart w:id="68" w:name="_Toc27186"/>
      <w:bookmarkStart w:id="69"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7"/>
      <w:bookmarkEnd w:id="68"/>
      <w:bookmarkStart w:id="70" w:name="_Toc25357"/>
      <w:bookmarkStart w:id="71" w:name="_Toc13904"/>
      <w:bookmarkStart w:id="72" w:name="_Toc13706"/>
    </w:p>
    <w:p>
      <w:pPr>
        <w:pStyle w:val="3"/>
        <w:ind w:firstLine="0"/>
        <w:rPr>
          <w:szCs w:val="32"/>
        </w:rPr>
      </w:pPr>
      <w:bookmarkStart w:id="73" w:name="_Toc23146"/>
      <w:bookmarkStart w:id="74" w:name="_Toc15508"/>
      <w:r>
        <w:t>本项目其他资格条件提供的证明材料</w:t>
      </w:r>
      <w:bookmarkEnd w:id="69"/>
      <w:bookmarkEnd w:id="70"/>
      <w:bookmarkEnd w:id="71"/>
      <w:bookmarkEnd w:id="72"/>
      <w:bookmarkEnd w:id="73"/>
      <w:bookmarkEnd w:id="74"/>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75" w:name="_Toc15526"/>
      <w:bookmarkStart w:id="76" w:name="_Toc27661"/>
      <w:bookmarkStart w:id="77" w:name="_Toc12015"/>
      <w:bookmarkStart w:id="78" w:name="_Toc25638"/>
      <w:bookmarkStart w:id="79" w:name="_Toc11351"/>
      <w:bookmarkStart w:id="80" w:name="_Toc20589"/>
      <w:r>
        <w:rPr>
          <w:rStyle w:val="40"/>
          <w:b/>
        </w:rPr>
        <w:t>法定代表人身份证明书</w:t>
      </w:r>
      <w:bookmarkEnd w:id="75"/>
      <w:bookmarkEnd w:id="76"/>
      <w:bookmarkEnd w:id="77"/>
      <w:bookmarkEnd w:id="78"/>
      <w:bookmarkEnd w:id="79"/>
      <w:bookmarkEnd w:id="80"/>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81" w:name="_Toc12967"/>
      <w:bookmarkStart w:id="82" w:name="_Toc26969"/>
      <w:bookmarkStart w:id="83" w:name="_Toc23967"/>
      <w:bookmarkStart w:id="84" w:name="_Toc2041"/>
      <w:bookmarkStart w:id="85" w:name="_Toc16435"/>
      <w:bookmarkStart w:id="86" w:name="_Toc1074"/>
      <w:r>
        <w:rPr>
          <w:rStyle w:val="40"/>
          <w:b/>
        </w:rPr>
        <w:t>采购需求偏离表</w:t>
      </w:r>
      <w:bookmarkEnd w:id="81"/>
      <w:bookmarkEnd w:id="82"/>
      <w:bookmarkEnd w:id="83"/>
      <w:bookmarkEnd w:id="84"/>
      <w:bookmarkEnd w:id="85"/>
      <w:bookmarkEnd w:id="86"/>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7" w:name="_Toc24806"/>
      <w:bookmarkStart w:id="88" w:name="_Toc28634"/>
      <w:bookmarkStart w:id="89" w:name="_Toc21082"/>
      <w:bookmarkStart w:id="90" w:name="_Toc26839"/>
      <w:bookmarkStart w:id="91" w:name="_Toc31686"/>
      <w:bookmarkStart w:id="92" w:name="_Toc1369"/>
      <w:r>
        <w:rPr>
          <w:rStyle w:val="40"/>
          <w:b/>
        </w:rPr>
        <w:t>评分需要提供的证明材料</w:t>
      </w:r>
      <w:bookmarkEnd w:id="87"/>
      <w:bookmarkEnd w:id="88"/>
      <w:bookmarkEnd w:id="89"/>
      <w:bookmarkEnd w:id="90"/>
      <w:bookmarkEnd w:id="91"/>
      <w:bookmarkEnd w:id="92"/>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3" w:name="_Toc3871"/>
      <w:bookmarkStart w:id="94" w:name="_Toc32605"/>
      <w:bookmarkStart w:id="95" w:name="_Toc24494"/>
    </w:p>
    <w:p>
      <w:pPr>
        <w:pStyle w:val="3"/>
        <w:ind w:firstLine="0"/>
      </w:pPr>
      <w:bookmarkStart w:id="96" w:name="_Toc15065"/>
      <w:r>
        <w:t>报价单</w:t>
      </w:r>
      <w:bookmarkEnd w:id="96"/>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Times New Roman" w:hAnsi="Times New Roman" w:eastAsia="仿宋" w:cs="Times New Roman"/>
                <w:sz w:val="22"/>
                <w:lang w:val="en-US" w:eastAsia="zh-CN"/>
              </w:rPr>
              <w:t>高新医学中心一期项目水土保持方案编制及监测服务</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7" w:name="_Toc30002"/>
      <w:bookmarkStart w:id="98" w:name="_Toc29032"/>
      <w:bookmarkStart w:id="99"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93"/>
      <w:bookmarkEnd w:id="94"/>
      <w:bookmarkEnd w:id="95"/>
      <w:bookmarkEnd w:id="97"/>
      <w:bookmarkEnd w:id="98"/>
      <w:bookmarkEnd w:id="99"/>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00" w:name="_Toc5447"/>
      <w:bookmarkStart w:id="101"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02" w:name="_Toc10625"/>
      <w:r>
        <w:rPr>
          <w:rFonts w:ascii="Times New Roman" w:hAnsi="Times New Roman" w:cs="Times New Roman"/>
        </w:rPr>
        <w:t>合同条款（仅成交后使用）</w:t>
      </w:r>
      <w:bookmarkEnd w:id="100"/>
      <w:bookmarkEnd w:id="101"/>
      <w:bookmarkEnd w:id="102"/>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1"/>
        <w:rPr>
          <w:sz w:val="48"/>
          <w:szCs w:val="48"/>
        </w:rPr>
      </w:pPr>
      <w:r>
        <w:rPr>
          <w:rFonts w:hint="eastAsia"/>
          <w:sz w:val="48"/>
          <w:szCs w:val="48"/>
        </w:rPr>
        <w:t>*</w:t>
      </w:r>
      <w:r>
        <w:rPr>
          <w:sz w:val="48"/>
          <w:szCs w:val="48"/>
        </w:rPr>
        <w:t>**</w:t>
      </w:r>
      <w:r>
        <w:rPr>
          <w:rFonts w:hint="eastAsia"/>
          <w:sz w:val="48"/>
          <w:szCs w:val="48"/>
        </w:rPr>
        <w:t>服务项目</w:t>
      </w:r>
    </w:p>
    <w:p>
      <w:pPr>
        <w:pStyle w:val="41"/>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9"/>
        <w:numPr>
          <w:ilvl w:val="0"/>
          <w:numId w:val="13"/>
        </w:numPr>
        <w:ind w:left="0" w:firstLine="0" w:firstLineChars="0"/>
        <w:contextualSpacing/>
        <w:jc w:val="left"/>
        <w:rPr>
          <w:b/>
          <w:szCs w:val="21"/>
        </w:rPr>
      </w:pPr>
      <w:r>
        <w:rPr>
          <w:b/>
          <w:szCs w:val="21"/>
        </w:rPr>
        <w:t>合同标的</w:t>
      </w:r>
    </w:p>
    <w:p>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color w:val="000000"/>
                <w:szCs w:val="21"/>
              </w:rPr>
              <w:t>序号</w:t>
            </w:r>
          </w:p>
        </w:tc>
        <w:tc>
          <w:tcPr>
            <w:tcW w:w="2977" w:type="dxa"/>
            <w:vAlign w:val="center"/>
          </w:tcPr>
          <w:p>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9"/>
              <w:ind w:firstLine="0" w:firstLineChars="0"/>
              <w:jc w:val="center"/>
              <w:rPr>
                <w:color w:val="000000"/>
                <w:szCs w:val="21"/>
              </w:rPr>
            </w:pPr>
            <w:r>
              <w:rPr>
                <w:color w:val="000000"/>
                <w:szCs w:val="21"/>
              </w:rPr>
              <w:t>具体内容</w:t>
            </w:r>
          </w:p>
        </w:tc>
        <w:tc>
          <w:tcPr>
            <w:tcW w:w="963" w:type="dxa"/>
            <w:vAlign w:val="center"/>
          </w:tcPr>
          <w:p>
            <w:pPr>
              <w:pStyle w:val="29"/>
              <w:ind w:firstLine="0" w:firstLineChars="0"/>
              <w:jc w:val="center"/>
              <w:rPr>
                <w:color w:val="000000"/>
                <w:szCs w:val="21"/>
              </w:rPr>
            </w:pPr>
            <w:r>
              <w:rPr>
                <w:color w:val="000000"/>
                <w:szCs w:val="21"/>
              </w:rPr>
              <w:t>分项价格（万元）</w:t>
            </w:r>
          </w:p>
        </w:tc>
        <w:tc>
          <w:tcPr>
            <w:tcW w:w="2016" w:type="dxa"/>
          </w:tcPr>
          <w:p>
            <w:pPr>
              <w:pStyle w:val="29"/>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1</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2</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3</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color w:val="000000"/>
                <w:szCs w:val="21"/>
              </w:rPr>
              <w:t>…</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bl>
    <w:p>
      <w:pPr>
        <w:pStyle w:val="29"/>
        <w:numPr>
          <w:ilvl w:val="0"/>
          <w:numId w:val="13"/>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103" w:name="OLE_LINK1"/>
      <w:bookmarkStart w:id="104" w:name="OLE_LINK2"/>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5" w:name="OLE_LINK28"/>
      <w:r>
        <w:rPr>
          <w:szCs w:val="21"/>
        </w:rPr>
        <w:t>人民币大写：*** 圆整，即RMB *** 元</w:t>
      </w:r>
      <w:bookmarkEnd w:id="105"/>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103"/>
    <w:bookmarkEnd w:id="104"/>
    <w:p>
      <w:pPr>
        <w:pStyle w:val="29"/>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9"/>
        <w:jc w:val="left"/>
        <w:rPr>
          <w:bCs/>
          <w:szCs w:val="21"/>
        </w:rPr>
      </w:pPr>
    </w:p>
    <w:p>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9"/>
        <w:jc w:val="left"/>
        <w:rPr>
          <w:bCs/>
          <w:szCs w:val="21"/>
        </w:rPr>
      </w:pPr>
    </w:p>
    <w:p>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6" w:name="OLE_LINK29"/>
      <w:r>
        <w:rPr>
          <w:rFonts w:hint="eastAsia"/>
          <w:bCs/>
          <w:szCs w:val="21"/>
        </w:rPr>
        <w:t>，考核标准详见附件</w:t>
      </w:r>
      <w:r>
        <w:rPr>
          <w:rFonts w:hint="eastAsia"/>
          <w:bCs/>
          <w:szCs w:val="21"/>
          <w:u w:val="single"/>
        </w:rPr>
        <w:t>2</w:t>
      </w:r>
      <w:r>
        <w:rPr>
          <w:rFonts w:hint="eastAsia"/>
          <w:bCs/>
          <w:szCs w:val="21"/>
        </w:rPr>
        <w:t>《考核标准》</w:t>
      </w:r>
      <w:bookmarkEnd w:id="106"/>
      <w:r>
        <w:rPr>
          <w:bCs/>
          <w:szCs w:val="21"/>
        </w:rPr>
        <w:t>。</w:t>
      </w:r>
    </w:p>
    <w:p>
      <w:pPr>
        <w:pStyle w:val="29"/>
        <w:numPr>
          <w:ilvl w:val="0"/>
          <w:numId w:val="13"/>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9"/>
        <w:numPr>
          <w:ilvl w:val="0"/>
          <w:numId w:val="13"/>
        </w:numPr>
        <w:ind w:left="0" w:firstLine="0" w:firstLineChars="0"/>
        <w:contextualSpacing/>
        <w:jc w:val="left"/>
        <w:rPr>
          <w:b/>
          <w:szCs w:val="21"/>
        </w:rPr>
      </w:pPr>
      <w:r>
        <w:rPr>
          <w:b/>
          <w:szCs w:val="21"/>
        </w:rPr>
        <w:t>验收</w:t>
      </w:r>
    </w:p>
    <w:p>
      <w:pPr>
        <w:pStyle w:val="29"/>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pPr>
        <w:pStyle w:val="29"/>
        <w:numPr>
          <w:ilvl w:val="0"/>
          <w:numId w:val="15"/>
        </w:numPr>
        <w:ind w:left="0" w:firstLine="0" w:firstLineChars="0"/>
        <w:contextualSpacing/>
        <w:rPr>
          <w:szCs w:val="21"/>
        </w:rPr>
      </w:pPr>
      <w:r>
        <w:rPr>
          <w:szCs w:val="21"/>
        </w:rPr>
        <w:t>验收方案：</w:t>
      </w:r>
    </w:p>
    <w:p>
      <w:pPr>
        <w:pStyle w:val="29"/>
        <w:numPr>
          <w:ilvl w:val="0"/>
          <w:numId w:val="16"/>
        </w:numPr>
        <w:ind w:firstLineChars="0"/>
        <w:contextualSpacing/>
        <w:rPr>
          <w:color w:val="000000"/>
          <w:szCs w:val="21"/>
        </w:rPr>
      </w:pPr>
      <w:r>
        <w:rPr>
          <w:rFonts w:hint="eastAsia"/>
          <w:color w:val="000000"/>
          <w:szCs w:val="21"/>
        </w:rPr>
        <w:t>验收主体：甲方</w:t>
      </w:r>
    </w:p>
    <w:p>
      <w:pPr>
        <w:pStyle w:val="29"/>
        <w:numPr>
          <w:ilvl w:val="0"/>
          <w:numId w:val="16"/>
        </w:numPr>
        <w:ind w:firstLineChars="0"/>
        <w:contextualSpacing/>
        <w:rPr>
          <w:color w:val="000000"/>
          <w:szCs w:val="21"/>
        </w:rPr>
      </w:pPr>
      <w:r>
        <w:rPr>
          <w:rFonts w:hint="eastAsia"/>
          <w:color w:val="000000"/>
          <w:szCs w:val="21"/>
        </w:rPr>
        <w:t>验收组织方式：自行验收</w:t>
      </w:r>
    </w:p>
    <w:p>
      <w:pPr>
        <w:pStyle w:val="29"/>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9"/>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9"/>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9"/>
        <w:numPr>
          <w:ilvl w:val="0"/>
          <w:numId w:val="16"/>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9"/>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szCs w:val="21"/>
        </w:rPr>
        <w:t>验收标准：</w:t>
      </w:r>
    </w:p>
    <w:p>
      <w:pPr>
        <w:pStyle w:val="16"/>
        <w:numPr>
          <w:ilvl w:val="0"/>
          <w:numId w:val="17"/>
        </w:numPr>
        <w:spacing w:after="0"/>
        <w:ind w:firstLineChars="0"/>
        <w:contextualSpacing/>
        <w:rPr>
          <w:rFonts w:ascii="Times New Roman" w:hAnsi="Times New Roman"/>
          <w:szCs w:val="21"/>
        </w:rPr>
      </w:pPr>
      <w:bookmarkStart w:id="107" w:name="OLE_LINK4"/>
      <w:r>
        <w:rPr>
          <w:rFonts w:ascii="Times New Roman" w:hAnsi="Times New Roman"/>
          <w:szCs w:val="21"/>
          <w:shd w:val="clear" w:color="auto" w:fill="FFFFFF"/>
        </w:rPr>
        <w:t>国家相关法律法规、行业标准、技术规范。</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7"/>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9"/>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9"/>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9"/>
        <w:numPr>
          <w:ilvl w:val="0"/>
          <w:numId w:val="13"/>
        </w:numPr>
        <w:ind w:left="0" w:firstLine="0" w:firstLineChars="0"/>
        <w:contextualSpacing/>
        <w:jc w:val="left"/>
        <w:rPr>
          <w:b/>
          <w:szCs w:val="21"/>
        </w:rPr>
      </w:pPr>
      <w:r>
        <w:rPr>
          <w:b/>
          <w:szCs w:val="21"/>
        </w:rPr>
        <w:t>付款方式</w:t>
      </w:r>
    </w:p>
    <w:p>
      <w:pPr>
        <w:pStyle w:val="9"/>
        <w:numPr>
          <w:ilvl w:val="0"/>
          <w:numId w:val="18"/>
        </w:numPr>
        <w:spacing w:after="0" w:line="240" w:lineRule="auto"/>
        <w:ind w:left="227" w:leftChars="0" w:hanging="227"/>
        <w:contextualSpacing/>
        <w:jc w:val="left"/>
        <w:rPr>
          <w:szCs w:val="21"/>
        </w:rPr>
      </w:pPr>
      <w:r>
        <w:rPr>
          <w:szCs w:val="21"/>
        </w:rPr>
        <w:t>履约保证金：</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8" w:name="OLE_LINK30"/>
      <w:r>
        <w:rPr>
          <w:rFonts w:hint="eastAsia"/>
          <w:szCs w:val="21"/>
        </w:rPr>
        <w:t>固定部分价款</w:t>
      </w:r>
      <w:bookmarkEnd w:id="108"/>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jc w:val="left"/>
        <w:rPr>
          <w:b/>
          <w:szCs w:val="21"/>
        </w:rPr>
      </w:pPr>
      <w:r>
        <w:rPr>
          <w:b/>
          <w:szCs w:val="21"/>
        </w:rPr>
        <w:t>双方权利与义务</w:t>
      </w:r>
    </w:p>
    <w:p>
      <w:pPr>
        <w:pStyle w:val="9"/>
        <w:numPr>
          <w:ilvl w:val="0"/>
          <w:numId w:val="19"/>
        </w:numPr>
        <w:spacing w:after="0" w:line="240" w:lineRule="auto"/>
        <w:ind w:left="227" w:leftChars="0" w:hanging="227"/>
        <w:contextualSpacing/>
        <w:jc w:val="left"/>
        <w:rPr>
          <w:szCs w:val="21"/>
        </w:rPr>
      </w:pPr>
      <w:r>
        <w:rPr>
          <w:szCs w:val="21"/>
        </w:rPr>
        <w:t>甲方权利与义务</w:t>
      </w:r>
    </w:p>
    <w:p>
      <w:pPr>
        <w:pStyle w:val="29"/>
        <w:numPr>
          <w:ilvl w:val="0"/>
          <w:numId w:val="20"/>
        </w:numPr>
        <w:adjustRightInd w:val="0"/>
        <w:ind w:left="525" w:hanging="525" w:hangingChars="250"/>
        <w:contextualSpacing/>
        <w:jc w:val="left"/>
        <w:rPr>
          <w:szCs w:val="21"/>
        </w:rPr>
      </w:pPr>
      <w:r>
        <w:rPr>
          <w:szCs w:val="21"/>
        </w:rPr>
        <w:t>按合同约定向乙方支付费用。</w:t>
      </w:r>
    </w:p>
    <w:p>
      <w:pPr>
        <w:pStyle w:val="29"/>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9"/>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9"/>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9"/>
        </w:numPr>
        <w:spacing w:after="0" w:line="240" w:lineRule="auto"/>
        <w:ind w:left="227" w:leftChars="0" w:hanging="227"/>
        <w:contextualSpacing/>
        <w:jc w:val="left"/>
        <w:rPr>
          <w:szCs w:val="21"/>
        </w:rPr>
      </w:pPr>
      <w:r>
        <w:rPr>
          <w:szCs w:val="21"/>
        </w:rPr>
        <w:t>乙方权利与义务</w:t>
      </w:r>
    </w:p>
    <w:p>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9"/>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9"/>
        <w:numPr>
          <w:ilvl w:val="0"/>
          <w:numId w:val="22"/>
        </w:numPr>
        <w:ind w:left="0" w:firstLine="0" w:firstLineChars="0"/>
        <w:rPr>
          <w:szCs w:val="21"/>
        </w:rPr>
      </w:pPr>
      <w:r>
        <w:rPr>
          <w:szCs w:val="21"/>
        </w:rPr>
        <w:t>乙方违约责任：</w:t>
      </w:r>
    </w:p>
    <w:p>
      <w:pPr>
        <w:pStyle w:val="9"/>
        <w:numPr>
          <w:ilvl w:val="0"/>
          <w:numId w:val="23"/>
        </w:numPr>
        <w:spacing w:after="0" w:line="240" w:lineRule="auto"/>
        <w:ind w:left="525" w:leftChars="0" w:hanging="525" w:hangingChars="250"/>
        <w:contextualSpacing/>
        <w:jc w:val="left"/>
        <w:rPr>
          <w:szCs w:val="21"/>
        </w:rPr>
      </w:pPr>
      <w:bookmarkStart w:id="109" w:name="OLE_LINK17"/>
      <w:bookmarkStart w:id="110"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9"/>
    <w:bookmarkEnd w:id="110"/>
    <w:p>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jc w:val="left"/>
        <w:rPr>
          <w:b/>
          <w:szCs w:val="21"/>
        </w:rPr>
      </w:pPr>
      <w:r>
        <w:rPr>
          <w:b/>
          <w:szCs w:val="21"/>
        </w:rPr>
        <w:t>不可抗力</w:t>
      </w:r>
    </w:p>
    <w:p>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9"/>
        <w:numPr>
          <w:ilvl w:val="0"/>
          <w:numId w:val="13"/>
        </w:numPr>
        <w:ind w:left="0" w:firstLine="0" w:firstLineChars="0"/>
        <w:contextualSpacing/>
        <w:jc w:val="left"/>
        <w:rPr>
          <w:b/>
          <w:szCs w:val="21"/>
        </w:rPr>
      </w:pPr>
      <w:r>
        <w:rPr>
          <w:b/>
          <w:szCs w:val="21"/>
        </w:rPr>
        <w:t>合同终止及解除</w:t>
      </w:r>
    </w:p>
    <w:p>
      <w:pPr>
        <w:pStyle w:val="29"/>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4"/>
        </w:numPr>
        <w:ind w:left="0" w:firstLine="0" w:firstLineChars="0"/>
        <w:rPr>
          <w:szCs w:val="21"/>
        </w:rPr>
      </w:pPr>
      <w:r>
        <w:rPr>
          <w:szCs w:val="21"/>
        </w:rPr>
        <w:t>在甲、乙任何一方有严重违约行为时，另一方有权单方解除合同。</w:t>
      </w:r>
    </w:p>
    <w:p>
      <w:pPr>
        <w:pStyle w:val="29"/>
        <w:numPr>
          <w:ilvl w:val="0"/>
          <w:numId w:val="13"/>
        </w:numPr>
        <w:ind w:left="0" w:firstLine="0" w:firstLineChars="0"/>
        <w:contextualSpacing/>
        <w:jc w:val="left"/>
        <w:rPr>
          <w:b/>
          <w:szCs w:val="21"/>
        </w:rPr>
      </w:pPr>
      <w:r>
        <w:rPr>
          <w:b/>
          <w:szCs w:val="21"/>
        </w:rPr>
        <w:t>争议解决办法</w:t>
      </w:r>
    </w:p>
    <w:p>
      <w:pPr>
        <w:pStyle w:val="29"/>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9"/>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jc w:val="left"/>
        <w:rPr>
          <w:b/>
          <w:szCs w:val="21"/>
        </w:rPr>
      </w:pPr>
      <w:r>
        <w:rPr>
          <w:b/>
          <w:szCs w:val="21"/>
        </w:rPr>
        <w:t>其他</w:t>
      </w:r>
    </w:p>
    <w:p>
      <w:pPr>
        <w:pStyle w:val="29"/>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9"/>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9"/>
        <w:numPr>
          <w:ilvl w:val="0"/>
          <w:numId w:val="13"/>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11" w:name="OLE_LINK32"/>
      <w:r>
        <w:rPr>
          <w:rFonts w:hint="eastAsia"/>
          <w:szCs w:val="21"/>
        </w:rPr>
        <w:t>结算单价清单</w:t>
      </w:r>
      <w:bookmarkEnd w:id="111"/>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D95B7E-6804-44C4-A7CF-AEEB45B1D02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A1981F1-642D-4F41-8D1C-4277BAF014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61E0503-7835-46E3-AC02-6A984E98626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D53C08C-3A43-4B8E-BBDC-7158FCCB27F1}"/>
  </w:font>
  <w:font w:name="Segoe UI Symbol">
    <w:panose1 w:val="020B0502040204020203"/>
    <w:charset w:val="00"/>
    <w:family w:val="swiss"/>
    <w:pitch w:val="default"/>
    <w:sig w:usb0="800001E3" w:usb1="1200FFEF" w:usb2="00040000" w:usb3="04000000" w:csb0="00000001" w:csb1="40000000"/>
    <w:embedRegular r:id="rId5" w:fontKey="{87D4CD1F-25FD-4147-9161-5E2E63E83C5D}"/>
  </w:font>
  <w:font w:name="Wingdings 2">
    <w:altName w:val="Wingdings"/>
    <w:panose1 w:val="05020102010507070707"/>
    <w:charset w:val="4D"/>
    <w:family w:val="decorative"/>
    <w:pitch w:val="default"/>
    <w:sig w:usb0="00000000" w:usb1="00000000" w:usb2="00000000" w:usb3="00000000" w:csb0="80000000" w:csb1="00000000"/>
    <w:embedRegular r:id="rId6" w:fontKey="{28B57DAF-7601-424D-A26F-CD770D676869}"/>
  </w:font>
  <w:font w:name="微软雅黑">
    <w:panose1 w:val="020B0503020204020204"/>
    <w:charset w:val="86"/>
    <w:family w:val="auto"/>
    <w:pitch w:val="default"/>
    <w:sig w:usb0="80000287" w:usb1="2ACF3C50" w:usb2="00000016" w:usb3="00000000" w:csb0="0004001F" w:csb1="00000000"/>
    <w:embedRegular r:id="rId7" w:fontKey="{65127F28-1456-47F6-8E75-CB3B882BA7AE}"/>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B2755C1"/>
    <w:multiLevelType w:val="singleLevel"/>
    <w:tmpl w:val="AB2755C1"/>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0FE444A1"/>
    <w:rsid w:val="11496B7B"/>
    <w:rsid w:val="117A5014"/>
    <w:rsid w:val="127F05A0"/>
    <w:rsid w:val="136D78F8"/>
    <w:rsid w:val="15CC4977"/>
    <w:rsid w:val="162A4F7D"/>
    <w:rsid w:val="16A82A66"/>
    <w:rsid w:val="174043B2"/>
    <w:rsid w:val="1994787E"/>
    <w:rsid w:val="1BCC54CD"/>
    <w:rsid w:val="1DD000AF"/>
    <w:rsid w:val="1E09745A"/>
    <w:rsid w:val="1E176351"/>
    <w:rsid w:val="213D5DCC"/>
    <w:rsid w:val="22935D1D"/>
    <w:rsid w:val="23D4489F"/>
    <w:rsid w:val="24AF67BE"/>
    <w:rsid w:val="262001B9"/>
    <w:rsid w:val="27AA7420"/>
    <w:rsid w:val="27B87AF9"/>
    <w:rsid w:val="27E80EA9"/>
    <w:rsid w:val="280414A1"/>
    <w:rsid w:val="28570368"/>
    <w:rsid w:val="29C5318E"/>
    <w:rsid w:val="2B502F98"/>
    <w:rsid w:val="2C9A0A9E"/>
    <w:rsid w:val="2DA70D65"/>
    <w:rsid w:val="317E24A7"/>
    <w:rsid w:val="3427766B"/>
    <w:rsid w:val="343706EB"/>
    <w:rsid w:val="351A08D0"/>
    <w:rsid w:val="35C20699"/>
    <w:rsid w:val="36334CE5"/>
    <w:rsid w:val="3A551407"/>
    <w:rsid w:val="3B033C36"/>
    <w:rsid w:val="3E5D4E8E"/>
    <w:rsid w:val="3FE25336"/>
    <w:rsid w:val="41076015"/>
    <w:rsid w:val="42075FF8"/>
    <w:rsid w:val="42842020"/>
    <w:rsid w:val="468567BB"/>
    <w:rsid w:val="4782487D"/>
    <w:rsid w:val="496438D9"/>
    <w:rsid w:val="4B31068E"/>
    <w:rsid w:val="4BA55220"/>
    <w:rsid w:val="4BAD0151"/>
    <w:rsid w:val="4C184E09"/>
    <w:rsid w:val="4C8F75A2"/>
    <w:rsid w:val="4CAF6FB6"/>
    <w:rsid w:val="4CF5680D"/>
    <w:rsid w:val="4DAD4403"/>
    <w:rsid w:val="4E8C008E"/>
    <w:rsid w:val="4FEF758C"/>
    <w:rsid w:val="50771A9C"/>
    <w:rsid w:val="51C47F6D"/>
    <w:rsid w:val="53784E15"/>
    <w:rsid w:val="5455382C"/>
    <w:rsid w:val="593D0E14"/>
    <w:rsid w:val="5D0A3490"/>
    <w:rsid w:val="5D7E0D39"/>
    <w:rsid w:val="5E9D3F29"/>
    <w:rsid w:val="60384CD1"/>
    <w:rsid w:val="60655808"/>
    <w:rsid w:val="60F86CEE"/>
    <w:rsid w:val="63A9427A"/>
    <w:rsid w:val="63D462B1"/>
    <w:rsid w:val="641A3596"/>
    <w:rsid w:val="64D96647"/>
    <w:rsid w:val="655B51E5"/>
    <w:rsid w:val="65E40ADA"/>
    <w:rsid w:val="66330B86"/>
    <w:rsid w:val="66E22203"/>
    <w:rsid w:val="679666FC"/>
    <w:rsid w:val="68312057"/>
    <w:rsid w:val="68AA6162"/>
    <w:rsid w:val="68B812C9"/>
    <w:rsid w:val="69D50CF4"/>
    <w:rsid w:val="69D51877"/>
    <w:rsid w:val="6C487AFD"/>
    <w:rsid w:val="6CB24363"/>
    <w:rsid w:val="6EA93466"/>
    <w:rsid w:val="6EBA760D"/>
    <w:rsid w:val="6FCF0795"/>
    <w:rsid w:val="71285D95"/>
    <w:rsid w:val="71381023"/>
    <w:rsid w:val="71696852"/>
    <w:rsid w:val="73714961"/>
    <w:rsid w:val="754D1D92"/>
    <w:rsid w:val="758350A9"/>
    <w:rsid w:val="76610947"/>
    <w:rsid w:val="76812821"/>
    <w:rsid w:val="79687E1D"/>
    <w:rsid w:val="7AB16E91"/>
    <w:rsid w:val="7B560FD7"/>
    <w:rsid w:val="7B5F74F8"/>
    <w:rsid w:val="7B690630"/>
    <w:rsid w:val="7C5123F4"/>
    <w:rsid w:val="7CCE1D9D"/>
    <w:rsid w:val="7D040AB6"/>
    <w:rsid w:val="7D4119E6"/>
    <w:rsid w:val="7D887323"/>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1277</Words>
  <Characters>1365</Characters>
  <Lines>72</Lines>
  <Paragraphs>20</Paragraphs>
  <TotalTime>4</TotalTime>
  <ScaleCrop>false</ScaleCrop>
  <LinksUpToDate>false</LinksUpToDate>
  <CharactersWithSpaces>1445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2026-09-30T07:37:06Z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2F6D71853A374139B609110F5B061418_13</vt:lpwstr>
  </property>
  <property fmtid="{D5CDD505-2E9C-101B-9397-08002B2CF9AE}" pid="4" name="KSOTemplateDocerSaveRecord">
    <vt:lpwstr>eyJoZGlkIjoiNGNkNWE0MzY1ZDc3N2MyZTcxMDkxOGEzNTQ4MzE3MzciLCJ1c2VySWQiOiI2NTY2NzM4NjgifQ==</vt:lpwstr>
  </property>
</Properties>
</file>