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15E685">
      <w:pPr>
        <w:keepNext w:val="0"/>
        <w:keepLines w:val="0"/>
        <w:pageBreakBefore w:val="0"/>
        <w:widowControl w:val="0"/>
        <w:kinsoku/>
        <w:wordWrap/>
        <w:overflowPunct/>
        <w:topLinePunct w:val="0"/>
        <w:autoSpaceDE/>
        <w:autoSpaceDN/>
        <w:bidi w:val="0"/>
        <w:adjustRightInd/>
        <w:snapToGrid/>
        <w:spacing w:before="635" w:beforeLines="200" w:line="360" w:lineRule="auto"/>
        <w:jc w:val="center"/>
        <w:textAlignment w:val="auto"/>
        <w:rPr>
          <w:rFonts w:hint="eastAsia" w:ascii="Times New Roman" w:hAnsi="Times New Roman" w:eastAsia="黑体" w:cs="Times New Roman"/>
          <w:b/>
          <w:sz w:val="72"/>
          <w:szCs w:val="72"/>
          <w:lang w:val="en-US" w:eastAsia="zh-CN"/>
        </w:rPr>
      </w:pPr>
      <w:r>
        <w:rPr>
          <w:rFonts w:hint="eastAsia" w:ascii="Times New Roman" w:hAnsi="Times New Roman" w:eastAsia="黑体" w:cs="Times New Roman"/>
          <w:b/>
          <w:sz w:val="72"/>
          <w:szCs w:val="72"/>
          <w:lang w:val="en-US" w:eastAsia="zh-CN"/>
        </w:rPr>
        <w:t>四川省人民医院2026年公务用车维修服务采购项目</w:t>
      </w:r>
    </w:p>
    <w:p w14:paraId="6746945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eastAsia="黑体" w:cs="Times New Roman"/>
          <w:b/>
          <w:sz w:val="72"/>
          <w:szCs w:val="72"/>
          <w:lang w:val="en-US" w:eastAsia="zh-CN"/>
        </w:rPr>
      </w:pPr>
      <w:r>
        <w:rPr>
          <w:rFonts w:hint="eastAsia" w:ascii="Times New Roman" w:hAnsi="Times New Roman" w:eastAsia="黑体" w:cs="Times New Roman"/>
          <w:b/>
          <w:sz w:val="72"/>
          <w:szCs w:val="72"/>
          <w:lang w:val="en-US" w:eastAsia="zh-CN"/>
        </w:rPr>
        <w:t>（第三批）</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461B6F5">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E21DC66">
      <w:pPr>
        <w:spacing w:line="440" w:lineRule="exact"/>
        <w:jc w:val="center"/>
        <w:rPr>
          <w:rFonts w:ascii="Times New Roman" w:hAnsi="Times New Roman" w:eastAsia="仿宋" w:cs="Times New Roman"/>
          <w:b/>
          <w:sz w:val="36"/>
          <w:szCs w:val="36"/>
          <w:lang w:val="zh-CN"/>
        </w:rPr>
        <w:sectPr>
          <w:headerReference r:id="rId3" w:type="default"/>
          <w:footerReference r:id="rId4" w:type="default"/>
          <w:pgSz w:w="11905" w:h="16838"/>
          <w:pgMar w:top="1134" w:right="1134" w:bottom="1134" w:left="1134" w:header="851" w:footer="992" w:gutter="0"/>
          <w:pgNumType w:fmt="decimal"/>
          <w:cols w:space="0" w:num="1"/>
          <w:titlePg/>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hint="eastAsia" w:ascii="Times New Roman" w:hAnsi="Times New Roman" w:eastAsia="仿宋" w:cs="Times New Roman"/>
          <w:sz w:val="28"/>
          <w:szCs w:val="28"/>
          <w:lang w:val="en-US" w:eastAsia="zh-CN"/>
        </w:rPr>
        <w:t>7</w:t>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4125A95F">
      <w:pPr>
        <w:pStyle w:val="12"/>
        <w:outlineLvl w:val="0"/>
        <w:rPr>
          <w:rFonts w:ascii="Times New Roman" w:hAnsi="Times New Roman" w:cs="Times New Roman"/>
        </w:rPr>
        <w:sectPr>
          <w:headerReference r:id="rId5" w:type="default"/>
          <w:footerReference r:id="rId6" w:type="default"/>
          <w:pgSz w:w="11905" w:h="16838"/>
          <w:pgMar w:top="1134" w:right="1134" w:bottom="1134" w:left="1134" w:header="851" w:footer="992" w:gutter="0"/>
          <w:pgNumType w:fmt="decimal" w:start="1"/>
          <w:cols w:space="0" w:num="1"/>
          <w:titlePg/>
          <w:docGrid w:type="lines" w:linePitch="317" w:charSpace="0"/>
        </w:sectPr>
      </w:pPr>
      <w:r>
        <w:rPr>
          <w:rFonts w:ascii="Times New Roman" w:hAnsi="Times New Roman" w:eastAsia="仿宋" w:cs="Times New Roman"/>
          <w:sz w:val="28"/>
          <w:szCs w:val="28"/>
        </w:rPr>
        <w:fldChar w:fldCharType="end"/>
      </w:r>
    </w:p>
    <w:p w14:paraId="7F12773D">
      <w:pPr>
        <w:pStyle w:val="3"/>
        <w:rPr>
          <w:rFonts w:ascii="Times New Roman" w:hAnsi="Times New Roman" w:cs="Times New Roman"/>
        </w:rPr>
      </w:pPr>
      <w:bookmarkStart w:id="0" w:name="_Toc21919"/>
      <w:bookmarkStart w:id="1" w:name="_Toc471310326"/>
      <w:bookmarkStart w:id="2" w:name="_Toc3240"/>
      <w:bookmarkStart w:id="3" w:name="_Toc20358"/>
      <w:bookmarkStart w:id="4" w:name="_Toc1907"/>
      <w:bookmarkStart w:id="5" w:name="_Toc62832406"/>
      <w:r>
        <w:rPr>
          <w:rFonts w:ascii="Times New Roman" w:hAnsi="Times New Roman" w:cs="Times New Roman"/>
        </w:rPr>
        <w:t>谈判邀请</w:t>
      </w:r>
      <w:bookmarkEnd w:id="0"/>
      <w:bookmarkEnd w:id="1"/>
      <w:bookmarkEnd w:id="2"/>
      <w:bookmarkEnd w:id="3"/>
      <w:bookmarkEnd w:id="4"/>
      <w:bookmarkEnd w:id="5"/>
    </w:p>
    <w:tbl>
      <w:tblPr>
        <w:tblStyle w:val="17"/>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02754E5C">
            <w:pPr>
              <w:spacing w:line="24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694BC1D0">
            <w:pPr>
              <w:spacing w:line="24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1A5730B8">
            <w:pPr>
              <w:spacing w:line="24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50791428">
            <w:pPr>
              <w:pStyle w:val="26"/>
              <w:numPr>
                <w:ilvl w:val="0"/>
                <w:numId w:val="4"/>
              </w:numPr>
              <w:tabs>
                <w:tab w:val="left" w:pos="220"/>
                <w:tab w:val="clear" w:pos="0"/>
              </w:tabs>
              <w:adjustRightInd w:val="0"/>
              <w:snapToGrid w:val="0"/>
              <w:spacing w:line="240" w:lineRule="auto"/>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500732C6">
            <w:pPr>
              <w:spacing w:line="24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F33B384">
            <w:pPr>
              <w:spacing w:line="24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24E9AE16">
            <w:pPr>
              <w:pStyle w:val="26"/>
              <w:numPr>
                <w:ilvl w:val="0"/>
                <w:numId w:val="4"/>
              </w:numPr>
              <w:tabs>
                <w:tab w:val="left" w:pos="220"/>
                <w:tab w:val="clear" w:pos="0"/>
              </w:tabs>
              <w:adjustRightInd w:val="0"/>
              <w:snapToGrid w:val="0"/>
              <w:spacing w:line="240" w:lineRule="auto"/>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33C83C96">
            <w:pPr>
              <w:spacing w:line="240" w:lineRule="auto"/>
              <w:ind w:left="210" w:leftChars="100" w:firstLine="220" w:firstLineChars="100"/>
              <w:rPr>
                <w:rFonts w:ascii="Times New Roman" w:hAnsi="Times New Roman" w:eastAsia="仿宋" w:cs="Times New Roman"/>
                <w:sz w:val="22"/>
                <w:lang w:val="zh-CN"/>
              </w:rPr>
            </w:pPr>
            <w:r>
              <w:rPr>
                <w:rFonts w:ascii="Times New Roman" w:hAnsi="Times New Roman" w:eastAsia="仿宋" w:cs="Times New Roman"/>
                <w:sz w:val="22"/>
              </w:rPr>
              <w:t>项目名称</w:t>
            </w:r>
          </w:p>
        </w:tc>
        <w:tc>
          <w:tcPr>
            <w:tcW w:w="6674" w:type="dxa"/>
            <w:tcBorders>
              <w:bottom w:val="single" w:color="auto" w:sz="4" w:space="0"/>
            </w:tcBorders>
            <w:vAlign w:val="center"/>
          </w:tcPr>
          <w:p w14:paraId="16997B70">
            <w:pPr>
              <w:spacing w:line="24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w:t>
            </w:r>
            <w:r>
              <w:rPr>
                <w:rFonts w:hint="eastAsia" w:ascii="Times New Roman" w:hAnsi="Times New Roman" w:eastAsia="仿宋" w:cs="Times New Roman"/>
                <w:sz w:val="22"/>
                <w:lang w:val="en-US" w:eastAsia="zh-CN"/>
              </w:rPr>
              <w:t>6</w:t>
            </w:r>
            <w:r>
              <w:rPr>
                <w:rFonts w:hint="eastAsia" w:ascii="Times New Roman" w:hAnsi="Times New Roman" w:eastAsia="仿宋" w:cs="Times New Roman"/>
                <w:sz w:val="22"/>
                <w:lang w:eastAsia="zh-CN"/>
              </w:rPr>
              <w:t>年度公务用车维修服务采购项目（第</w:t>
            </w:r>
            <w:r>
              <w:rPr>
                <w:rFonts w:hint="eastAsia" w:ascii="Times New Roman" w:hAnsi="Times New Roman" w:eastAsia="仿宋" w:cs="Times New Roman"/>
                <w:sz w:val="22"/>
                <w:lang w:val="en-US" w:eastAsia="zh-CN"/>
              </w:rPr>
              <w:t>三</w:t>
            </w:r>
            <w:r>
              <w:rPr>
                <w:rFonts w:hint="eastAsia" w:ascii="Times New Roman" w:hAnsi="Times New Roman" w:eastAsia="仿宋" w:cs="Times New Roman"/>
                <w:sz w:val="22"/>
                <w:lang w:eastAsia="zh-CN"/>
              </w:rPr>
              <w:t>批）</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E15CA35">
            <w:pPr>
              <w:pStyle w:val="26"/>
              <w:numPr>
                <w:ilvl w:val="0"/>
                <w:numId w:val="4"/>
              </w:numPr>
              <w:tabs>
                <w:tab w:val="left" w:pos="220"/>
                <w:tab w:val="clear" w:pos="0"/>
              </w:tabs>
              <w:adjustRightInd w:val="0"/>
              <w:snapToGrid w:val="0"/>
              <w:spacing w:line="240" w:lineRule="auto"/>
              <w:jc w:val="both"/>
              <w:rPr>
                <w:rFonts w:ascii="Times New Roman" w:hAnsi="Times New Roman" w:eastAsia="仿宋" w:cs="Times New Roman"/>
                <w:szCs w:val="21"/>
              </w:rPr>
            </w:pPr>
          </w:p>
        </w:tc>
        <w:tc>
          <w:tcPr>
            <w:tcW w:w="1733" w:type="dxa"/>
            <w:vAlign w:val="center"/>
          </w:tcPr>
          <w:p w14:paraId="14FB29CD">
            <w:pPr>
              <w:spacing w:line="24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027F4916">
            <w:pPr>
              <w:spacing w:line="24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CGZX-HQB20261381</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33FA1427">
            <w:pPr>
              <w:pStyle w:val="26"/>
              <w:numPr>
                <w:ilvl w:val="0"/>
                <w:numId w:val="4"/>
              </w:numPr>
              <w:tabs>
                <w:tab w:val="left" w:pos="220"/>
                <w:tab w:val="clear" w:pos="0"/>
              </w:tabs>
              <w:adjustRightInd w:val="0"/>
              <w:snapToGrid w:val="0"/>
              <w:spacing w:line="240" w:lineRule="auto"/>
              <w:jc w:val="both"/>
              <w:rPr>
                <w:rFonts w:ascii="Times New Roman" w:hAnsi="Times New Roman" w:eastAsia="仿宋" w:cs="Times New Roman"/>
                <w:szCs w:val="21"/>
              </w:rPr>
            </w:pPr>
          </w:p>
        </w:tc>
        <w:tc>
          <w:tcPr>
            <w:tcW w:w="1733" w:type="dxa"/>
            <w:vAlign w:val="center"/>
          </w:tcPr>
          <w:p w14:paraId="1BE3DA10">
            <w:pPr>
              <w:spacing w:line="24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0F314CA4">
            <w:pPr>
              <w:spacing w:line="24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747BE03">
            <w:pPr>
              <w:pStyle w:val="26"/>
              <w:numPr>
                <w:ilvl w:val="0"/>
                <w:numId w:val="4"/>
              </w:numPr>
              <w:tabs>
                <w:tab w:val="left" w:pos="220"/>
                <w:tab w:val="clear" w:pos="0"/>
              </w:tabs>
              <w:adjustRightInd w:val="0"/>
              <w:snapToGrid w:val="0"/>
              <w:spacing w:line="240" w:lineRule="auto"/>
              <w:jc w:val="both"/>
              <w:rPr>
                <w:rFonts w:ascii="Times New Roman" w:hAnsi="Times New Roman" w:eastAsia="仿宋" w:cs="Times New Roman"/>
                <w:szCs w:val="21"/>
              </w:rPr>
            </w:pPr>
          </w:p>
        </w:tc>
        <w:tc>
          <w:tcPr>
            <w:tcW w:w="1733" w:type="dxa"/>
            <w:vAlign w:val="center"/>
          </w:tcPr>
          <w:p w14:paraId="665127C5">
            <w:pPr>
              <w:spacing w:line="240" w:lineRule="auto"/>
              <w:jc w:val="center"/>
              <w:rPr>
                <w:rFonts w:hint="eastAsia" w:ascii="Times New Roman" w:hAnsi="Times New Roman" w:eastAsia="仿宋" w:cs="Times New Roman"/>
                <w:kern w:val="0"/>
                <w:sz w:val="22"/>
                <w:lang w:val="zh-CN" w:eastAsia="zh-CN"/>
              </w:rPr>
            </w:pPr>
            <w:r>
              <w:rPr>
                <w:rFonts w:hint="eastAsia" w:ascii="Times New Roman" w:hAnsi="Times New Roman" w:eastAsia="仿宋" w:cs="Times New Roman"/>
                <w:kern w:val="0"/>
                <w:sz w:val="22"/>
                <w:lang w:val="en-US" w:eastAsia="zh-CN"/>
              </w:rPr>
              <w:t>结算限价</w:t>
            </w:r>
          </w:p>
        </w:tc>
        <w:tc>
          <w:tcPr>
            <w:tcW w:w="6674" w:type="dxa"/>
            <w:vAlign w:val="center"/>
          </w:tcPr>
          <w:p w14:paraId="1D0C1EB9">
            <w:pPr>
              <w:spacing w:line="24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u w:val="single"/>
                <w:lang w:val="en-US" w:eastAsia="zh-CN"/>
              </w:rPr>
              <w:t>499000</w:t>
            </w:r>
            <w:r>
              <w:rPr>
                <w:rFonts w:ascii="Times New Roman" w:hAnsi="Times New Roman" w:eastAsia="仿宋" w:cs="Times New Roman"/>
                <w:sz w:val="22"/>
              </w:rPr>
              <w:t>元</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1BF23077">
            <w:pPr>
              <w:pStyle w:val="26"/>
              <w:numPr>
                <w:ilvl w:val="0"/>
                <w:numId w:val="4"/>
              </w:numPr>
              <w:tabs>
                <w:tab w:val="left" w:pos="220"/>
                <w:tab w:val="clear" w:pos="0"/>
              </w:tabs>
              <w:adjustRightInd w:val="0"/>
              <w:snapToGrid w:val="0"/>
              <w:spacing w:line="240" w:lineRule="auto"/>
              <w:jc w:val="both"/>
              <w:rPr>
                <w:rFonts w:ascii="Times New Roman" w:hAnsi="Times New Roman" w:eastAsia="仿宋" w:cs="Times New Roman"/>
                <w:szCs w:val="21"/>
              </w:rPr>
            </w:pPr>
          </w:p>
        </w:tc>
        <w:tc>
          <w:tcPr>
            <w:tcW w:w="1733" w:type="dxa"/>
            <w:vAlign w:val="center"/>
          </w:tcPr>
          <w:p w14:paraId="3539F94E">
            <w:pPr>
              <w:spacing w:line="24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0C1E0865">
            <w:pPr>
              <w:spacing w:line="24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3E2E00C2">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4B6ED6B6">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62FF482">
            <w:pPr>
              <w:pStyle w:val="28"/>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5830264A">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12B09244">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1AE804CF">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20D4553">
            <w:pPr>
              <w:pStyle w:val="2"/>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2"/>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08E28B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24BF4ECA">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A3E651C">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26B9D930">
            <w:pPr>
              <w:pStyle w:val="27"/>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69DDB21E">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790710E5">
            <w:pPr>
              <w:pStyle w:val="27"/>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1F2025E4">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2F5A69AE">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合同支付上限的2%</w:t>
            </w:r>
          </w:p>
          <w:p w14:paraId="3A95077C">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eastAsia="zh-CN"/>
              </w:rPr>
              <w:t>担保机构</w:t>
            </w:r>
            <w:r>
              <w:rPr>
                <w:rFonts w:ascii="Times New Roman" w:hAnsi="Times New Roman" w:eastAsia="仿宋" w:cs="Times New Roman"/>
                <w:sz w:val="22"/>
                <w:szCs w:val="22"/>
                <w:lang w:val="zh-CN"/>
              </w:rPr>
              <w:t>出具的保函等非现金形式提交（包括网银转账，电汇等方式）；</w:t>
            </w:r>
          </w:p>
          <w:p w14:paraId="024D00A2">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7"/>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7"/>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4F09EBE3">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7755E56">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05EB120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jc w:val="left"/>
              <w:rPr>
                <w:rFonts w:ascii="Times New Roman" w:hAnsi="Times New Roman" w:eastAsia="仿宋" w:cs="Times New Roman"/>
                <w:kern w:val="0"/>
                <w:sz w:val="22"/>
              </w:rPr>
            </w:pPr>
            <w:r>
              <w:rPr>
                <w:rFonts w:ascii="Times New Roman" w:hAnsi="Times New Roman" w:eastAsia="仿宋" w:cs="Times New Roman"/>
                <w:kern w:val="0"/>
                <w:sz w:val="22"/>
              </w:rPr>
              <w:t>通过资格、符合性审查且满足谈判文件全部实质性要求的供应商达到3家以上(含3家)，若合格供应商只有2家，</w:t>
            </w:r>
            <w:r>
              <w:rPr>
                <w:rFonts w:hint="eastAsia" w:ascii="Times New Roman" w:hAnsi="Times New Roman" w:eastAsia="仿宋" w:cs="Times New Roman"/>
                <w:kern w:val="0"/>
                <w:sz w:val="22"/>
              </w:rPr>
              <w:t>且谈判文</w:t>
            </w:r>
            <w:r>
              <w:rPr>
                <w:rFonts w:ascii="Times New Roman" w:hAnsi="Times New Roman" w:eastAsia="仿宋" w:cs="Times New Roman"/>
                <w:kern w:val="0"/>
                <w:sz w:val="22"/>
              </w:rPr>
              <w:t>件没有不合理条款，</w:t>
            </w:r>
            <w:r>
              <w:rPr>
                <w:rFonts w:hint="eastAsia" w:ascii="Times New Roman" w:hAnsi="Times New Roman" w:eastAsia="仿宋" w:cs="Times New Roman"/>
                <w:kern w:val="0"/>
                <w:sz w:val="22"/>
              </w:rPr>
              <w:t>同时</w:t>
            </w:r>
            <w:r>
              <w:rPr>
                <w:rFonts w:ascii="Times New Roman" w:hAnsi="Times New Roman" w:eastAsia="仿宋" w:cs="Times New Roman"/>
                <w:kern w:val="0"/>
                <w:sz w:val="22"/>
              </w:rPr>
              <w:t>采购程序</w:t>
            </w:r>
            <w:r>
              <w:rPr>
                <w:rFonts w:hint="eastAsia" w:ascii="Times New Roman" w:hAnsi="Times New Roman" w:eastAsia="仿宋" w:cs="Times New Roman"/>
                <w:kern w:val="0"/>
                <w:sz w:val="22"/>
              </w:rPr>
              <w:t>亦</w:t>
            </w:r>
            <w:r>
              <w:rPr>
                <w:rFonts w:ascii="Times New Roman" w:hAnsi="Times New Roman" w:eastAsia="仿宋" w:cs="Times New Roman"/>
                <w:kern w:val="0"/>
                <w:sz w:val="22"/>
              </w:rPr>
              <w:t>符合规定的，</w:t>
            </w:r>
            <w:r>
              <w:rPr>
                <w:rFonts w:hint="eastAsia" w:ascii="Times New Roman" w:hAnsi="Times New Roman" w:eastAsia="仿宋" w:cs="Times New Roman"/>
                <w:kern w:val="0"/>
                <w:sz w:val="22"/>
              </w:rPr>
              <w:t>仍</w:t>
            </w:r>
            <w:r>
              <w:rPr>
                <w:rFonts w:ascii="Times New Roman" w:hAnsi="Times New Roman" w:eastAsia="仿宋" w:cs="Times New Roman"/>
                <w:kern w:val="0"/>
                <w:sz w:val="22"/>
              </w:rPr>
              <w:t>可以继续开展采购活动。谈判小组按照评审因素进行评分，得分最高的供应商为成交供应商。</w:t>
            </w:r>
          </w:p>
          <w:p w14:paraId="10FBF13A">
            <w:pPr>
              <w:spacing w:line="360" w:lineRule="auto"/>
              <w:rPr>
                <w:rFonts w:ascii="Times New Roman" w:hAnsi="Times New Roman" w:eastAsia="仿宋" w:cs="Times New Roman"/>
                <w:sz w:val="22"/>
              </w:rPr>
            </w:pPr>
          </w:p>
          <w:p w14:paraId="6F129B0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37D2F400">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w:t>
            </w:r>
            <w:r>
              <w:rPr>
                <w:rFonts w:hint="eastAsia" w:ascii="Times New Roman" w:hAnsi="Times New Roman" w:eastAsia="仿宋" w:cs="Times New Roman"/>
                <w:sz w:val="22"/>
              </w:rPr>
              <w:t>、服务</w:t>
            </w:r>
            <w:r>
              <w:rPr>
                <w:rFonts w:ascii="Times New Roman" w:hAnsi="Times New Roman" w:eastAsia="仿宋" w:cs="Times New Roman"/>
                <w:sz w:val="22"/>
              </w:rPr>
              <w:t>和商务</w:t>
            </w:r>
            <w:r>
              <w:rPr>
                <w:rFonts w:hint="eastAsia" w:ascii="Times New Roman" w:hAnsi="Times New Roman" w:eastAsia="仿宋" w:cs="Times New Roman"/>
                <w:sz w:val="22"/>
              </w:rPr>
              <w:t>条件</w:t>
            </w:r>
            <w:r>
              <w:rPr>
                <w:rFonts w:ascii="Times New Roman" w:hAnsi="Times New Roman" w:eastAsia="仿宋" w:cs="Times New Roman"/>
                <w:sz w:val="22"/>
              </w:rPr>
              <w:t>均符合</w:t>
            </w:r>
            <w:r>
              <w:rPr>
                <w:rFonts w:hint="eastAsia" w:ascii="Times New Roman" w:hAnsi="Times New Roman" w:eastAsia="仿宋" w:cs="Times New Roman"/>
                <w:sz w:val="22"/>
              </w:rPr>
              <w:t>谈判文件</w:t>
            </w:r>
            <w:r>
              <w:rPr>
                <w:rFonts w:ascii="Times New Roman" w:hAnsi="Times New Roman" w:eastAsia="仿宋" w:cs="Times New Roman"/>
                <w:sz w:val="22"/>
              </w:rPr>
              <w:t>要求的供应商达到3家以上（含3家），谈判小组按照有效报价进行评审，</w:t>
            </w:r>
            <w:r>
              <w:rPr>
                <w:rFonts w:ascii="Times New Roman" w:hAnsi="Times New Roman" w:eastAsia="仿宋" w:cs="Times New Roman"/>
                <w:b/>
                <w:bCs/>
                <w:sz w:val="22"/>
              </w:rPr>
              <w:t>有效报价最低</w:t>
            </w:r>
            <w:r>
              <w:rPr>
                <w:rFonts w:ascii="Times New Roman" w:hAnsi="Times New Roman" w:eastAsia="仿宋" w:cs="Times New Roman"/>
                <w:sz w:val="22"/>
              </w:rPr>
              <w:t>的供应商为成交供应商。</w:t>
            </w:r>
            <w:r>
              <w:rPr>
                <w:rFonts w:ascii="Times New Roman" w:hAnsi="Times New Roman" w:eastAsia="仿宋" w:cs="Times New Roman"/>
                <w:kern w:val="0"/>
                <w:sz w:val="22"/>
                <w:lang w:val="zh-CN"/>
              </w:rPr>
              <w:t>若报价相同</w:t>
            </w:r>
            <w:r>
              <w:rPr>
                <w:rFonts w:ascii="Times New Roman" w:hAnsi="Times New Roman" w:eastAsia="仿宋" w:cs="Times New Roman"/>
                <w:kern w:val="0"/>
                <w:sz w:val="22"/>
              </w:rPr>
              <w:t>且</w:t>
            </w:r>
            <w:r>
              <w:rPr>
                <w:rFonts w:ascii="Times New Roman" w:hAnsi="Times New Roman" w:eastAsia="仿宋" w:cs="Times New Roman"/>
                <w:kern w:val="0"/>
                <w:sz w:val="22"/>
                <w:lang w:val="zh-CN"/>
              </w:rPr>
              <w:t>所有技术、服务及商务</w:t>
            </w:r>
            <w:r>
              <w:rPr>
                <w:rFonts w:ascii="Times New Roman" w:hAnsi="Times New Roman" w:eastAsia="仿宋" w:cs="Times New Roman"/>
                <w:kern w:val="0"/>
                <w:sz w:val="22"/>
              </w:rPr>
              <w:t>要求响应情况均一致则</w:t>
            </w:r>
            <w:r>
              <w:rPr>
                <w:rFonts w:ascii="Times New Roman" w:hAnsi="Times New Roman" w:eastAsia="仿宋" w:cs="Times New Roman"/>
                <w:kern w:val="0"/>
                <w:sz w:val="22"/>
                <w:lang w:val="zh-CN"/>
              </w:rPr>
              <w:t>采取随机抽取的方式确定</w:t>
            </w:r>
            <w:r>
              <w:rPr>
                <w:rFonts w:ascii="Times New Roman" w:hAnsi="Times New Roman" w:eastAsia="仿宋" w:cs="Times New Roman"/>
                <w:kern w:val="0"/>
                <w:sz w:val="22"/>
              </w:rPr>
              <w:t>成交供应商</w:t>
            </w:r>
            <w:r>
              <w:rPr>
                <w:rFonts w:ascii="Times New Roman" w:hAnsi="Times New Roman" w:eastAsia="仿宋" w:cs="Times New Roman"/>
                <w:kern w:val="0"/>
                <w:sz w:val="22"/>
                <w:lang w:val="zh-CN"/>
              </w:rPr>
              <w:t>。</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7526FA89">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66443D">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3554DCB6">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13A3F209">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0815B312">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4383793A">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hint="eastAsia" w:ascii="Times New Roman" w:hAnsi="Times New Roman" w:eastAsia="仿宋" w:cs="Times New Roman"/>
                <w:sz w:val="22"/>
                <w:szCs w:val="22"/>
                <w:u w:val="single"/>
                <w:lang w:val="en-US" w:eastAsia="zh-CN"/>
              </w:rPr>
              <w:t>/</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hint="eastAsia" w:ascii="Times New Roman" w:hAnsi="Times New Roman" w:eastAsia="仿宋" w:cs="Times New Roman"/>
                <w:sz w:val="22"/>
                <w:szCs w:val="22"/>
                <w:u w:val="single"/>
                <w:lang w:val="en-US" w:eastAsia="zh-CN"/>
              </w:rPr>
              <w:t>/</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51C5A7F8">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6C9A784">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hint="default" w:ascii="Times New Roman" w:hAnsi="Times New Roman" w:eastAsia="仿宋" w:cs="Times New Roman"/>
                <w:sz w:val="22"/>
                <w:u w:val="none"/>
                <w:lang w:val="en-US" w:eastAsia="zh-CN"/>
              </w:rPr>
            </w:pPr>
            <w:r>
              <w:rPr>
                <w:rFonts w:ascii="Times New Roman" w:hAnsi="Times New Roman" w:eastAsia="仿宋" w:cs="Times New Roman"/>
                <w:sz w:val="22"/>
                <w:u w:val="none"/>
              </w:rPr>
              <w:t>联系方式：</w:t>
            </w:r>
            <w:r>
              <w:rPr>
                <w:rFonts w:hint="eastAsia" w:ascii="Times New Roman" w:hAnsi="Times New Roman" w:eastAsia="仿宋" w:cs="Times New Roman"/>
                <w:sz w:val="22"/>
                <w:u w:val="none"/>
                <w:lang w:val="en-US" w:eastAsia="zh-CN"/>
              </w:rPr>
              <w:t>费</w:t>
            </w:r>
            <w:r>
              <w:rPr>
                <w:rFonts w:ascii="Times New Roman" w:hAnsi="Times New Roman" w:eastAsia="仿宋" w:cs="Times New Roman"/>
                <w:sz w:val="22"/>
                <w:u w:val="none"/>
              </w:rPr>
              <w:t xml:space="preserve">老师028- </w:t>
            </w:r>
            <w:r>
              <w:rPr>
                <w:rFonts w:hint="eastAsia" w:ascii="Times New Roman" w:hAnsi="Times New Roman" w:eastAsia="仿宋" w:cs="Times New Roman"/>
                <w:sz w:val="22"/>
                <w:u w:val="none"/>
                <w:lang w:val="en-US" w:eastAsia="zh-CN"/>
              </w:rPr>
              <w:t>87394783</w:t>
            </w:r>
          </w:p>
          <w:p w14:paraId="45425A32">
            <w:pPr>
              <w:spacing w:line="360" w:lineRule="auto"/>
              <w:ind w:left="210" w:leftChars="100"/>
              <w:rPr>
                <w:rFonts w:hint="eastAsia" w:ascii="Times New Roman" w:hAnsi="Times New Roman" w:eastAsia="仿宋" w:cs="Times New Roman"/>
                <w:sz w:val="22"/>
                <w:u w:val="none"/>
                <w:lang w:eastAsia="zh-CN"/>
              </w:rPr>
            </w:pPr>
            <w:r>
              <w:rPr>
                <w:rFonts w:ascii="Times New Roman" w:hAnsi="Times New Roman" w:eastAsia="仿宋" w:cs="Times New Roman"/>
                <w:sz w:val="22"/>
                <w:u w:val="none"/>
              </w:rPr>
              <w:t>（2）归口部门：</w:t>
            </w:r>
            <w:r>
              <w:rPr>
                <w:rFonts w:hint="eastAsia" w:ascii="Times New Roman" w:hAnsi="Times New Roman" w:eastAsia="仿宋" w:cs="Times New Roman"/>
                <w:sz w:val="22"/>
                <w:u w:val="none"/>
                <w:lang w:val="en-US" w:eastAsia="zh-CN"/>
              </w:rPr>
              <w:t>后勤保障部</w:t>
            </w:r>
          </w:p>
          <w:p w14:paraId="1D8AFF4A">
            <w:pPr>
              <w:spacing w:line="360" w:lineRule="auto"/>
              <w:ind w:left="210" w:leftChars="100"/>
              <w:rPr>
                <w:rFonts w:hint="default" w:ascii="Times New Roman" w:hAnsi="Times New Roman" w:eastAsia="仿宋" w:cs="Times New Roman"/>
                <w:sz w:val="22"/>
                <w:u w:val="none"/>
                <w:lang w:val="en-US" w:eastAsia="zh-CN"/>
              </w:rPr>
            </w:pPr>
            <w:r>
              <w:rPr>
                <w:rFonts w:ascii="Times New Roman" w:hAnsi="Times New Roman" w:eastAsia="仿宋" w:cs="Times New Roman"/>
                <w:sz w:val="22"/>
                <w:u w:val="none"/>
              </w:rPr>
              <w:t>联系方式：</w:t>
            </w:r>
            <w:r>
              <w:rPr>
                <w:rFonts w:hint="eastAsia" w:ascii="Times New Roman" w:hAnsi="Times New Roman" w:eastAsia="仿宋" w:cs="Times New Roman"/>
                <w:sz w:val="22"/>
                <w:u w:val="none"/>
                <w:lang w:val="en-US" w:eastAsia="zh-CN"/>
              </w:rPr>
              <w:t>李</w:t>
            </w:r>
            <w:r>
              <w:rPr>
                <w:rFonts w:ascii="Times New Roman" w:hAnsi="Times New Roman" w:eastAsia="仿宋" w:cs="Times New Roman"/>
                <w:sz w:val="22"/>
                <w:u w:val="none"/>
              </w:rPr>
              <w:t xml:space="preserve">老师028- </w:t>
            </w:r>
            <w:r>
              <w:rPr>
                <w:rFonts w:hint="eastAsia" w:ascii="Times New Roman" w:hAnsi="Times New Roman" w:eastAsia="仿宋" w:cs="Times New Roman"/>
                <w:sz w:val="22"/>
                <w:u w:val="none"/>
                <w:lang w:val="en-US" w:eastAsia="zh-CN"/>
              </w:rPr>
              <w:t xml:space="preserve">87393442 </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3"/>
        <w:rPr>
          <w:rFonts w:ascii="Times New Roman" w:hAnsi="Times New Roman" w:cs="Times New Roman"/>
        </w:rPr>
      </w:pPr>
      <w:bookmarkStart w:id="6" w:name="_Toc22329"/>
      <w:bookmarkStart w:id="7" w:name="_Toc14460"/>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7"/>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5306D9A1">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w:t>
            </w:r>
            <w:r>
              <w:rPr>
                <w:rFonts w:hint="eastAsia" w:ascii="Times New Roman" w:hAnsi="Times New Roman" w:eastAsia="仿宋" w:cs="Times New Roman"/>
                <w:sz w:val="22"/>
                <w:lang w:val="en-US" w:eastAsia="zh-CN"/>
              </w:rPr>
              <w:t>本项目不涉及</w:t>
            </w:r>
            <w:r>
              <w:rPr>
                <w:rFonts w:ascii="Times New Roman" w:hAnsi="Times New Roman" w:eastAsia="仿宋" w:cs="Times New Roman"/>
                <w:sz w:val="22"/>
              </w:rPr>
              <w:t>。</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25EBC0FA">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12A0774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4AC0DE18">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41522A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5EBF1AF4">
            <w:pPr>
              <w:spacing w:line="360" w:lineRule="auto"/>
              <w:ind w:left="210" w:leftChars="100"/>
              <w:rPr>
                <w:rFonts w:ascii="Times New Roman" w:hAnsi="Times New Roman" w:cs="Times New Roman"/>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310BFDC3">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3C16AEDA">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7291B37F">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428C8D8A">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7F56B90">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D2C65B9">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2B47786C">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093CF7DF">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2FDED93">
            <w:pPr>
              <w:pStyle w:val="27"/>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628FBF6C">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w:t>
            </w:r>
            <w:r>
              <w:rPr>
                <w:rFonts w:hint="eastAsia" w:ascii="Times New Roman" w:hAnsi="Times New Roman" w:eastAsia="仿宋" w:cs="Times New Roman"/>
                <w:sz w:val="22"/>
                <w:szCs w:val="22"/>
                <w:lang w:eastAsia="zh-CN"/>
              </w:rPr>
              <w:t>谈判文件</w:t>
            </w:r>
            <w:r>
              <w:rPr>
                <w:rFonts w:ascii="Times New Roman" w:hAnsi="Times New Roman" w:eastAsia="仿宋" w:cs="Times New Roman"/>
                <w:sz w:val="22"/>
                <w:szCs w:val="22"/>
              </w:rPr>
              <w:t>、采购过程、采购结果的范围；</w:t>
            </w:r>
          </w:p>
          <w:p w14:paraId="4E0817F0">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16F8B326">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DFD6E60">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805435">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7"/>
              <w:spacing w:line="360" w:lineRule="auto"/>
              <w:ind w:left="210" w:leftChars="100"/>
              <w:jc w:val="both"/>
              <w:rPr>
                <w:rFonts w:ascii="Times New Roman" w:hAnsi="Times New Roman" w:eastAsia="仿宋" w:cs="Times New Roman"/>
                <w:sz w:val="22"/>
                <w:szCs w:val="22"/>
                <w:u w:val="none"/>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ascii="Times New Roman" w:hAnsi="Times New Roman" w:eastAsia="仿宋" w:cs="Times New Roman"/>
                <w:sz w:val="22"/>
                <w:szCs w:val="22"/>
                <w:u w:val="none"/>
                <w:lang w:val="zh-CN"/>
              </w:rPr>
              <w:t>028-8739</w:t>
            </w:r>
            <w:r>
              <w:rPr>
                <w:rFonts w:hint="eastAsia" w:ascii="Times New Roman" w:hAnsi="Times New Roman" w:eastAsia="仿宋" w:cs="Times New Roman"/>
                <w:sz w:val="22"/>
                <w:szCs w:val="22"/>
                <w:u w:val="none"/>
                <w:lang w:val="en-US" w:eastAsia="zh-CN"/>
              </w:rPr>
              <w:t>4783进行合同签订事宜</w:t>
            </w:r>
            <w:r>
              <w:rPr>
                <w:rFonts w:ascii="Times New Roman" w:hAnsi="Times New Roman" w:eastAsia="仿宋" w:cs="Times New Roman"/>
                <w:sz w:val="22"/>
                <w:szCs w:val="22"/>
                <w:u w:val="none"/>
              </w:rPr>
              <w:t>。</w:t>
            </w:r>
          </w:p>
          <w:p w14:paraId="24695EB0">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93A1F9A">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DB3129">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64F9C00B">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03BAC88B">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3"/>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5D31D562">
      <w:pPr>
        <w:pStyle w:val="2"/>
        <w:rPr>
          <w:rFonts w:ascii="Times New Roman" w:hAnsi="Times New Roman" w:eastAsia="黑体" w:cs="Times New Roman"/>
          <w:b/>
          <w:sz w:val="36"/>
          <w:szCs w:val="32"/>
        </w:rPr>
      </w:pP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5"/>
        <w:gridCol w:w="5027"/>
        <w:gridCol w:w="1031"/>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其他资格条件</w:t>
            </w:r>
          </w:p>
        </w:tc>
        <w:tc>
          <w:tcPr>
            <w:tcW w:w="4398" w:type="dxa"/>
            <w:vAlign w:val="center"/>
          </w:tcPr>
          <w:p w14:paraId="557F6DE6">
            <w:pPr>
              <w:rPr>
                <w:rFonts w:hint="default" w:ascii="Times New Roman" w:hAnsi="Times New Roman" w:eastAsia="仿宋" w:cs="Times New Roman"/>
                <w:sz w:val="22"/>
                <w:u w:val="single"/>
                <w:lang w:val="en-US" w:eastAsia="zh-CN"/>
              </w:rPr>
            </w:pPr>
            <w:r>
              <w:rPr>
                <w:rFonts w:hint="eastAsia" w:ascii="Times New Roman" w:hAnsi="Times New Roman" w:eastAsia="仿宋" w:cs="Times New Roman"/>
                <w:sz w:val="22"/>
                <w:lang w:val="en-US" w:eastAsia="zh-CN"/>
              </w:rPr>
              <w:t>供应商为四川省省本级和成都市市本级机关、事业单位和团体组织公务用车维修和保养服务框架协议（框架协议编号：</w:t>
            </w:r>
            <w:r>
              <w:rPr>
                <w:rFonts w:hint="eastAsia" w:ascii="宋体" w:hAnsi="宋体" w:eastAsia="宋体" w:cs="宋体"/>
                <w:i w:val="0"/>
                <w:iCs w:val="0"/>
                <w:caps w:val="0"/>
                <w:color w:val="222222"/>
                <w:spacing w:val="0"/>
                <w:sz w:val="24"/>
                <w:szCs w:val="24"/>
              </w:rPr>
              <w:t>K5101012026000009</w:t>
            </w:r>
            <w:r>
              <w:rPr>
                <w:rFonts w:hint="eastAsia" w:ascii="Times New Roman" w:hAnsi="Times New Roman" w:eastAsia="仿宋" w:cs="Times New Roman"/>
                <w:sz w:val="22"/>
                <w:lang w:val="en-US" w:eastAsia="zh-CN"/>
              </w:rPr>
              <w:t>）采购项目的入围供应商</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348"/>
        <w:gridCol w:w="5564"/>
        <w:gridCol w:w="1031"/>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4867" w:type="dxa"/>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符合谈判文件要求;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7BEEAD2D">
            <w:pPr>
              <w:rPr>
                <w:rFonts w:hint="eastAsia"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本项目不涉及</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3"/>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7AF53CCC">
      <w:pPr>
        <w:keepNext w:val="0"/>
        <w:keepLines w:val="0"/>
        <w:pageBreakBefore w:val="0"/>
        <w:widowControl w:val="0"/>
        <w:numPr>
          <w:ilvl w:val="0"/>
          <w:numId w:val="12"/>
        </w:numPr>
        <w:kinsoku/>
        <w:wordWrap/>
        <w:overflowPunct/>
        <w:topLinePunct w:val="0"/>
        <w:autoSpaceDE/>
        <w:autoSpaceDN/>
        <w:bidi w:val="0"/>
        <w:adjustRightInd/>
        <w:snapToGrid/>
        <w:spacing w:afterAutospacing="0" w:line="360" w:lineRule="auto"/>
        <w:ind w:left="0" w:firstLine="0" w:firstLineChars="0"/>
        <w:jc w:val="both"/>
        <w:textAlignment w:val="auto"/>
        <w:rPr>
          <w:rFonts w:ascii="Times New Roman" w:hAnsi="Times New Roman" w:eastAsia="仿宋" w:cs="Times New Roman"/>
          <w:b/>
          <w:bCs/>
          <w:sz w:val="24"/>
          <w:szCs w:val="24"/>
        </w:rPr>
      </w:pPr>
      <w:r>
        <w:rPr>
          <w:rFonts w:ascii="Times New Roman" w:hAnsi="Times New Roman" w:eastAsia="仿宋" w:cs="Times New Roman"/>
          <w:b/>
          <w:bCs/>
          <w:sz w:val="24"/>
          <w:szCs w:val="24"/>
        </w:rPr>
        <w:t>采购内容</w:t>
      </w:r>
    </w:p>
    <w:p w14:paraId="080C889A">
      <w:pPr>
        <w:pStyle w:val="4"/>
        <w:keepNext w:val="0"/>
        <w:keepLines w:val="0"/>
        <w:pageBreakBefore w:val="0"/>
        <w:widowControl w:val="0"/>
        <w:numPr>
          <w:ilvl w:val="0"/>
          <w:numId w:val="0"/>
        </w:numPr>
        <w:kinsoku/>
        <w:wordWrap/>
        <w:overflowPunct/>
        <w:topLinePunct w:val="0"/>
        <w:bidi w:val="0"/>
        <w:snapToGrid/>
        <w:spacing w:line="360" w:lineRule="auto"/>
        <w:ind w:left="0" w:leftChars="0" w:firstLine="0" w:firstLineChars="0"/>
        <w:jc w:val="both"/>
        <w:textAlignment w:val="auto"/>
        <w:rPr>
          <w:b w:val="0"/>
          <w:bCs/>
        </w:rPr>
      </w:pPr>
      <w:r>
        <w:rPr>
          <w:rFonts w:hint="eastAsia" w:ascii="仿宋" w:hAnsi="仿宋" w:eastAsia="仿宋" w:cs="仿宋"/>
          <w:b w:val="0"/>
          <w:bCs/>
          <w:sz w:val="24"/>
          <w:szCs w:val="24"/>
          <w:lang w:val="en-US" w:eastAsia="zh-CN"/>
        </w:rPr>
        <w:t>本项目拟用谈判方式采购我院202</w:t>
      </w:r>
      <w:r>
        <w:rPr>
          <w:rFonts w:hint="eastAsia" w:ascii="仿宋" w:hAnsi="仿宋" w:cs="仿宋"/>
          <w:b w:val="0"/>
          <w:bCs/>
          <w:sz w:val="24"/>
          <w:szCs w:val="24"/>
          <w:lang w:val="en-US" w:eastAsia="zh-CN"/>
        </w:rPr>
        <w:t>6</w:t>
      </w:r>
      <w:r>
        <w:rPr>
          <w:rFonts w:hint="eastAsia" w:ascii="仿宋" w:hAnsi="仿宋" w:eastAsia="仿宋" w:cs="仿宋"/>
          <w:b w:val="0"/>
          <w:bCs/>
          <w:sz w:val="24"/>
          <w:szCs w:val="24"/>
          <w:lang w:val="en-US" w:eastAsia="zh-CN"/>
        </w:rPr>
        <w:t>年度公务用车定点维修商。</w:t>
      </w:r>
    </w:p>
    <w:p w14:paraId="481D8D48">
      <w:pPr>
        <w:keepNext w:val="0"/>
        <w:keepLines w:val="0"/>
        <w:pageBreakBefore w:val="0"/>
        <w:widowControl w:val="0"/>
        <w:numPr>
          <w:ilvl w:val="0"/>
          <w:numId w:val="12"/>
        </w:numPr>
        <w:kinsoku/>
        <w:wordWrap/>
        <w:overflowPunct/>
        <w:topLinePunct w:val="0"/>
        <w:autoSpaceDE/>
        <w:autoSpaceDN/>
        <w:bidi w:val="0"/>
        <w:adjustRightInd/>
        <w:snapToGrid/>
        <w:spacing w:afterAutospacing="0" w:line="360" w:lineRule="auto"/>
        <w:ind w:left="0" w:firstLine="0" w:firstLineChars="0"/>
        <w:jc w:val="both"/>
        <w:textAlignment w:val="auto"/>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技术、服务要求</w:t>
      </w:r>
    </w:p>
    <w:p w14:paraId="4D7671F3">
      <w:pPr>
        <w:keepNext w:val="0"/>
        <w:keepLines w:val="0"/>
        <w:pageBreakBefore w:val="0"/>
        <w:widowControl w:val="0"/>
        <w:kinsoku/>
        <w:wordWrap/>
        <w:overflowPunct/>
        <w:topLinePunct w:val="0"/>
        <w:autoSpaceDE/>
        <w:autoSpaceDN/>
        <w:bidi w:val="0"/>
        <w:adjustRightInd/>
        <w:snapToGrid/>
        <w:spacing w:afterAutospacing="0" w:line="360" w:lineRule="auto"/>
        <w:ind w:left="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1、维修质量管理：具有车辆维修质量管理制度、维修质量的保障措施，维修车辆档案的建立制度、维修检测设备的保养制度。（响应时提供承诺函）</w:t>
      </w:r>
    </w:p>
    <w:p w14:paraId="6859B156">
      <w:pPr>
        <w:keepNext w:val="0"/>
        <w:keepLines w:val="0"/>
        <w:pageBreakBefore w:val="0"/>
        <w:widowControl w:val="0"/>
        <w:kinsoku/>
        <w:wordWrap/>
        <w:overflowPunct/>
        <w:topLinePunct w:val="0"/>
        <w:autoSpaceDE/>
        <w:autoSpaceDN/>
        <w:bidi w:val="0"/>
        <w:adjustRightInd/>
        <w:snapToGrid/>
        <w:spacing w:afterAutospacing="0" w:line="360" w:lineRule="auto"/>
        <w:ind w:left="0" w:firstLine="480" w:firstLineChars="20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2、维修服务计划：响应文件中提供车辆维修服务计划（应包含接受维修委托时、维修时、维修完成后的服务措施）。</w:t>
      </w:r>
    </w:p>
    <w:p w14:paraId="19660CB3">
      <w:pPr>
        <w:keepNext w:val="0"/>
        <w:keepLines w:val="0"/>
        <w:pageBreakBefore w:val="0"/>
        <w:widowControl w:val="0"/>
        <w:kinsoku/>
        <w:wordWrap/>
        <w:overflowPunct/>
        <w:topLinePunct w:val="0"/>
        <w:autoSpaceDE/>
        <w:autoSpaceDN/>
        <w:bidi w:val="0"/>
        <w:adjustRightInd/>
        <w:snapToGrid/>
        <w:spacing w:afterAutospacing="0"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3、应急保障能力：拥有专用应急保障作业车辆（拖车</w:t>
      </w:r>
      <w:r>
        <w:rPr>
          <w:rFonts w:hint="eastAsia" w:ascii="仿宋" w:hAnsi="仿宋" w:eastAsia="仿宋" w:cs="仿宋"/>
          <w:color w:val="auto"/>
          <w:sz w:val="24"/>
          <w:szCs w:val="24"/>
          <w:lang w:val="en-US" w:eastAsia="zh-CN"/>
        </w:rPr>
        <w:t>、具有随车维修工具及设备的服务保障车、客户替换车</w:t>
      </w:r>
      <w:r>
        <w:rPr>
          <w:rFonts w:hint="eastAsia" w:ascii="仿宋" w:hAnsi="仿宋" w:eastAsia="仿宋" w:cs="仿宋"/>
          <w:sz w:val="24"/>
          <w:szCs w:val="24"/>
          <w:lang w:val="en-US" w:eastAsia="zh-CN"/>
        </w:rPr>
        <w:t>）（响应时需提供行驶证复印件、车辆设施设备照片）。</w:t>
      </w:r>
    </w:p>
    <w:p w14:paraId="4CBAFC37">
      <w:pPr>
        <w:keepNext w:val="0"/>
        <w:keepLines w:val="0"/>
        <w:pageBreakBefore w:val="0"/>
        <w:widowControl w:val="0"/>
        <w:kinsoku/>
        <w:wordWrap/>
        <w:overflowPunct/>
        <w:topLinePunct w:val="0"/>
        <w:autoSpaceDE/>
        <w:autoSpaceDN/>
        <w:bidi w:val="0"/>
        <w:adjustRightInd/>
        <w:snapToGrid/>
        <w:spacing w:afterAutospacing="0"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4、内部管理：具有车辆维修管理系统，响应时提供系统截图说明。</w:t>
      </w:r>
    </w:p>
    <w:p w14:paraId="4F748F1B">
      <w:pPr>
        <w:keepNext w:val="0"/>
        <w:keepLines w:val="0"/>
        <w:pageBreakBefore w:val="0"/>
        <w:widowControl w:val="0"/>
        <w:kinsoku/>
        <w:wordWrap/>
        <w:overflowPunct/>
        <w:topLinePunct w:val="0"/>
        <w:autoSpaceDE/>
        <w:autoSpaceDN/>
        <w:bidi w:val="0"/>
        <w:adjustRightInd/>
        <w:snapToGrid/>
        <w:spacing w:afterAutospacing="0"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5、安全、文明生产措施：具有作业区域安全、文明生产措施。</w:t>
      </w:r>
    </w:p>
    <w:p w14:paraId="481AEC9F">
      <w:pPr>
        <w:keepNext w:val="0"/>
        <w:keepLines w:val="0"/>
        <w:pageBreakBefore w:val="0"/>
        <w:widowControl w:val="0"/>
        <w:kinsoku/>
        <w:wordWrap/>
        <w:overflowPunct/>
        <w:topLinePunct w:val="0"/>
        <w:autoSpaceDE/>
        <w:autoSpaceDN/>
        <w:bidi w:val="0"/>
        <w:adjustRightInd/>
        <w:snapToGrid/>
        <w:spacing w:afterAutospacing="0"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6、作业区域及布局：作业区域不低于2500平方米（响应时需提供经营场地产权证明或租赁合同复印件及作业区域布局图片）</w:t>
      </w:r>
    </w:p>
    <w:p w14:paraId="12BF9466">
      <w:pPr>
        <w:keepNext w:val="0"/>
        <w:keepLines w:val="0"/>
        <w:pageBreakBefore w:val="0"/>
        <w:widowControl/>
        <w:numPr>
          <w:ilvl w:val="0"/>
          <w:numId w:val="0"/>
        </w:numPr>
        <w:kinsoku/>
        <w:wordWrap/>
        <w:overflowPunct/>
        <w:topLinePunct w:val="0"/>
        <w:autoSpaceDE/>
        <w:autoSpaceDN/>
        <w:bidi w:val="0"/>
        <w:adjustRightInd/>
        <w:snapToGrid/>
        <w:spacing w:afterAutospacing="0" w:line="360" w:lineRule="auto"/>
        <w:ind w:left="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7、车辆维修设备状况（需提供设备现场图片）：具备不少于6个升降架、1条地沟、1个烤漆房、1个轮胎动平衡检测仪、1个四轮定位、1台电脑检测仪（解码器）。</w:t>
      </w:r>
      <w:r>
        <w:rPr>
          <w:rFonts w:hint="eastAsia" w:ascii="仿宋" w:hAnsi="仿宋" w:eastAsia="仿宋" w:cs="仿宋"/>
          <w:kern w:val="2"/>
          <w:sz w:val="24"/>
          <w:szCs w:val="24"/>
          <w:lang w:val="en-US" w:eastAsia="zh-CN" w:bidi="ar-SA"/>
        </w:rPr>
        <w:t>（响应时需提供设备现场图片）</w:t>
      </w:r>
    </w:p>
    <w:p w14:paraId="159B52E4">
      <w:pPr>
        <w:keepNext w:val="0"/>
        <w:keepLines w:val="0"/>
        <w:pageBreakBefore w:val="0"/>
        <w:widowControl w:val="0"/>
        <w:kinsoku/>
        <w:wordWrap/>
        <w:overflowPunct/>
        <w:topLinePunct w:val="0"/>
        <w:autoSpaceDE/>
        <w:autoSpaceDN/>
        <w:bidi w:val="0"/>
        <w:adjustRightInd/>
        <w:snapToGrid/>
        <w:spacing w:afterAutospacing="0"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8、人员资质：</w:t>
      </w:r>
    </w:p>
    <w:p w14:paraId="1663FC33">
      <w:pPr>
        <w:keepNext w:val="0"/>
        <w:keepLines w:val="0"/>
        <w:pageBreakBefore w:val="0"/>
        <w:widowControl w:val="0"/>
        <w:kinsoku/>
        <w:wordWrap/>
        <w:overflowPunct/>
        <w:topLinePunct w:val="0"/>
        <w:autoSpaceDE/>
        <w:autoSpaceDN/>
        <w:bidi w:val="0"/>
        <w:adjustRightInd/>
        <w:snapToGrid/>
        <w:spacing w:afterAutospacing="0"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（1）配备项目负责人 1 名：须同时具备汽车类维修工程师职称，且持有汽车维修工职业技能等级一级（高级技师）证书。</w:t>
      </w:r>
    </w:p>
    <w:p w14:paraId="20BD22C9">
      <w:pPr>
        <w:keepNext w:val="0"/>
        <w:keepLines w:val="0"/>
        <w:pageBreakBefore w:val="0"/>
        <w:widowControl w:val="0"/>
        <w:kinsoku/>
        <w:wordWrap/>
        <w:overflowPunct/>
        <w:topLinePunct w:val="0"/>
        <w:autoSpaceDE/>
        <w:autoSpaceDN/>
        <w:bidi w:val="0"/>
        <w:adjustRightInd/>
        <w:snapToGrid/>
        <w:spacing w:afterAutospacing="0"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rPr>
        <w:t>配备技师不少于 2 人：须持有汽车维修工职业技能等级二级及以上证书</w:t>
      </w:r>
    </w:p>
    <w:p w14:paraId="150A1B50">
      <w:pPr>
        <w:keepNext w:val="0"/>
        <w:keepLines w:val="0"/>
        <w:pageBreakBefore w:val="0"/>
        <w:widowControl w:val="0"/>
        <w:kinsoku/>
        <w:wordWrap/>
        <w:overflowPunct/>
        <w:topLinePunct w:val="0"/>
        <w:autoSpaceDE/>
        <w:autoSpaceDN/>
        <w:bidi w:val="0"/>
        <w:adjustRightInd/>
        <w:snapToGrid/>
        <w:spacing w:afterAutospacing="0"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（3）配备高级工不少于 2 人：须持有汽车维修工职业技能等级三级证书。</w:t>
      </w:r>
    </w:p>
    <w:p w14:paraId="5D584E3D">
      <w:pPr>
        <w:keepNext w:val="0"/>
        <w:keepLines w:val="0"/>
        <w:pageBreakBefore w:val="0"/>
        <w:widowControl w:val="0"/>
        <w:kinsoku/>
        <w:wordWrap/>
        <w:overflowPunct/>
        <w:topLinePunct w:val="0"/>
        <w:autoSpaceDE/>
        <w:autoSpaceDN/>
        <w:bidi w:val="0"/>
        <w:adjustRightInd/>
        <w:snapToGrid/>
        <w:spacing w:afterAutospacing="0"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以上人员响应时需提供从业人员职业资格证书复印件和在职证明，同一人员不得同时计入多个岗位名额。</w:t>
      </w:r>
    </w:p>
    <w:p w14:paraId="15BCD3C9">
      <w:pPr>
        <w:pStyle w:val="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jc w:val="both"/>
        <w:textAlignment w:val="auto"/>
        <w:rPr>
          <w:rFonts w:hint="default" w:ascii="仿宋" w:hAnsi="仿宋" w:eastAsia="仿宋" w:cs="仿宋"/>
          <w:b w:val="0"/>
          <w:kern w:val="2"/>
          <w:sz w:val="24"/>
          <w:szCs w:val="24"/>
          <w:lang w:val="en-US" w:eastAsia="zh-CN" w:bidi="ar-SA"/>
        </w:rPr>
      </w:pPr>
      <w:r>
        <w:rPr>
          <w:rFonts w:hint="eastAsia" w:ascii="仿宋" w:hAnsi="仿宋" w:eastAsia="仿宋" w:cs="仿宋"/>
          <w:b w:val="0"/>
          <w:kern w:val="2"/>
          <w:sz w:val="24"/>
          <w:szCs w:val="24"/>
          <w:lang w:val="en-US" w:eastAsia="zh-CN" w:bidi="ar-SA"/>
        </w:rPr>
        <w:t>9.履约能力：202</w:t>
      </w:r>
      <w:r>
        <w:rPr>
          <w:rFonts w:hint="eastAsia" w:ascii="仿宋" w:hAnsi="仿宋" w:cs="仿宋"/>
          <w:b w:val="0"/>
          <w:kern w:val="2"/>
          <w:sz w:val="24"/>
          <w:szCs w:val="24"/>
          <w:lang w:val="en-US" w:eastAsia="zh-CN" w:bidi="ar-SA"/>
        </w:rPr>
        <w:t>3</w:t>
      </w:r>
      <w:r>
        <w:rPr>
          <w:rFonts w:hint="eastAsia" w:ascii="仿宋" w:hAnsi="仿宋" w:eastAsia="仿宋" w:cs="仿宋"/>
          <w:b w:val="0"/>
          <w:kern w:val="2"/>
          <w:sz w:val="24"/>
          <w:szCs w:val="24"/>
          <w:lang w:val="en-US" w:eastAsia="zh-CN" w:bidi="ar-SA"/>
        </w:rPr>
        <w:t>年至今有不少于3个机动车维保类服务业绩，</w:t>
      </w:r>
      <w:r>
        <w:rPr>
          <w:rFonts w:hint="eastAsia" w:ascii="仿宋" w:hAnsi="仿宋" w:eastAsia="仿宋" w:cs="仿宋"/>
          <w:b w:val="0"/>
          <w:sz w:val="24"/>
          <w:szCs w:val="24"/>
          <w:lang w:val="en-US" w:eastAsia="zh-CN"/>
        </w:rPr>
        <w:t>响应时</w:t>
      </w:r>
      <w:r>
        <w:rPr>
          <w:rFonts w:hint="eastAsia" w:ascii="仿宋" w:hAnsi="仿宋" w:eastAsia="仿宋" w:cs="仿宋"/>
          <w:b w:val="0"/>
          <w:kern w:val="2"/>
          <w:sz w:val="24"/>
          <w:szCs w:val="24"/>
          <w:lang w:val="en-US" w:eastAsia="zh-CN" w:bidi="ar-SA"/>
        </w:rPr>
        <w:t>需提供中标通知书复印件或合同复印件（相同单位不同合同周期只算一个业绩）</w:t>
      </w:r>
    </w:p>
    <w:p w14:paraId="4BC03C32">
      <w:pPr>
        <w:pStyle w:val="4"/>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jc w:val="both"/>
        <w:textAlignment w:val="auto"/>
        <w:rPr>
          <w:rFonts w:hint="eastAsia" w:ascii="仿宋" w:hAnsi="仿宋" w:eastAsia="仿宋" w:cs="仿宋"/>
          <w:b w:val="0"/>
          <w:sz w:val="24"/>
          <w:szCs w:val="24"/>
          <w:lang w:val="en-US" w:eastAsia="zh-CN"/>
        </w:rPr>
      </w:pPr>
      <w:r>
        <w:rPr>
          <w:rFonts w:hint="eastAsia" w:ascii="仿宋" w:hAnsi="仿宋" w:eastAsia="仿宋" w:cs="仿宋"/>
          <w:b w:val="0"/>
          <w:sz w:val="24"/>
          <w:szCs w:val="24"/>
          <w:lang w:val="en-US" w:eastAsia="zh-CN"/>
        </w:rPr>
        <w:t>具有与本项目相关的特种车辆(救护车)维修业绩，提供合同，并以维修记录及关联发票予以佐证。</w:t>
      </w:r>
    </w:p>
    <w:p w14:paraId="79E18D12">
      <w:pPr>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rPr>
        <w:t>备注：同一份合同不可同时在上述两项业绩中重复计分。</w:t>
      </w:r>
    </w:p>
    <w:p w14:paraId="79FDDA5D">
      <w:pPr>
        <w:keepNext w:val="0"/>
        <w:keepLines w:val="0"/>
        <w:pageBreakBefore w:val="0"/>
        <w:widowControl w:val="0"/>
        <w:kinsoku/>
        <w:wordWrap/>
        <w:overflowPunct/>
        <w:topLinePunct w:val="0"/>
        <w:autoSpaceDE/>
        <w:autoSpaceDN/>
        <w:bidi w:val="0"/>
        <w:adjustRightInd/>
        <w:snapToGrid/>
        <w:spacing w:afterAutospacing="0"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10、汽车排放污染治理：具备汽车尾气维修治理资格，能对汽油车及柴油车进行汽车尾气治理。响应时需提供尾气维修公众号尾气治理维修企业查询截图、汽车排放污染维修治理站授权牌。</w:t>
      </w:r>
    </w:p>
    <w:p w14:paraId="356C89BE">
      <w:pPr>
        <w:keepNext w:val="0"/>
        <w:keepLines w:val="0"/>
        <w:pageBreakBefore w:val="0"/>
        <w:widowControl w:val="0"/>
        <w:kinsoku/>
        <w:wordWrap/>
        <w:overflowPunct/>
        <w:topLinePunct w:val="0"/>
        <w:autoSpaceDE/>
        <w:autoSpaceDN/>
        <w:bidi w:val="0"/>
        <w:adjustRightInd/>
        <w:snapToGrid/>
        <w:spacing w:afterAutospacing="0" w:line="360" w:lineRule="auto"/>
        <w:ind w:left="0"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11、具备一类汽车维修</w:t>
      </w:r>
      <w:r>
        <w:rPr>
          <w:rFonts w:hint="eastAsia" w:ascii="仿宋" w:hAnsi="仿宋" w:eastAsia="仿宋" w:cs="仿宋"/>
          <w:kern w:val="2"/>
          <w:sz w:val="24"/>
          <w:szCs w:val="24"/>
          <w:lang w:val="en-US" w:eastAsia="zh-CN" w:bidi="ar-SA"/>
        </w:rPr>
        <w:t>企业资质，</w:t>
      </w:r>
      <w:r>
        <w:rPr>
          <w:rFonts w:hint="eastAsia" w:ascii="仿宋" w:hAnsi="仿宋" w:eastAsia="仿宋" w:cs="仿宋"/>
          <w:sz w:val="24"/>
          <w:szCs w:val="24"/>
          <w:lang w:val="en-US" w:eastAsia="zh-CN"/>
        </w:rPr>
        <w:t>响应时</w:t>
      </w:r>
      <w:r>
        <w:rPr>
          <w:rFonts w:hint="eastAsia" w:ascii="仿宋" w:hAnsi="仿宋" w:eastAsia="仿宋" w:cs="仿宋"/>
          <w:kern w:val="2"/>
          <w:sz w:val="24"/>
          <w:szCs w:val="24"/>
          <w:lang w:val="en-US" w:eastAsia="zh-CN" w:bidi="ar-SA"/>
        </w:rPr>
        <w:t>提供交通运输主管部门出具的有效的机动车维修经营备案表复印件或机动车维修经营备案证明材料复印件或道路运输经营许可证复印件。</w:t>
      </w:r>
    </w:p>
    <w:p w14:paraId="6F835F9F">
      <w:pPr>
        <w:keepNext w:val="0"/>
        <w:keepLines w:val="0"/>
        <w:pageBreakBefore w:val="0"/>
        <w:widowControl w:val="0"/>
        <w:kinsoku/>
        <w:wordWrap/>
        <w:overflowPunct/>
        <w:topLinePunct w:val="0"/>
        <w:autoSpaceDE/>
        <w:autoSpaceDN/>
        <w:bidi w:val="0"/>
        <w:adjustRightInd/>
        <w:snapToGrid/>
        <w:spacing w:afterAutospacing="0" w:line="360" w:lineRule="auto"/>
        <w:ind w:left="0"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12、位于四川省人民医院本部（一环路西二段32号）直线距离7km以内（以导航软件显示距离为准，本次响应文件中提供导航软件直线距离截图，供应商地址须与第6条提供的经营场地产权证明或租赁合同复印件中企业地址一致。</w:t>
      </w:r>
    </w:p>
    <w:p w14:paraId="5FA1AF11">
      <w:pPr>
        <w:keepNext w:val="0"/>
        <w:keepLines w:val="0"/>
        <w:pageBreakBefore w:val="0"/>
        <w:widowControl w:val="0"/>
        <w:kinsoku/>
        <w:wordWrap/>
        <w:overflowPunct/>
        <w:topLinePunct w:val="0"/>
        <w:autoSpaceDE/>
        <w:autoSpaceDN/>
        <w:bidi w:val="0"/>
        <w:adjustRightInd/>
        <w:snapToGrid/>
        <w:spacing w:afterAutospacing="0"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kern w:val="2"/>
          <w:sz w:val="24"/>
          <w:szCs w:val="24"/>
          <w:lang w:val="en-US" w:eastAsia="zh-CN" w:bidi="ar-SA"/>
        </w:rPr>
        <w:t>13、采购人执行卫生应急救援（包含演练）任务时随行提供车辆维修保障服务（服务期内预计2次），随行配备应急维修保障车辆和团队，接到采购人通知后24小时内需随行出发</w:t>
      </w:r>
      <w:r>
        <w:rPr>
          <w:rFonts w:hint="eastAsia" w:ascii="仿宋" w:hAnsi="仿宋" w:eastAsia="仿宋" w:cs="仿宋"/>
          <w:sz w:val="24"/>
          <w:szCs w:val="24"/>
          <w:lang w:val="en-US" w:eastAsia="zh-CN"/>
        </w:rPr>
        <w:t>。</w:t>
      </w:r>
      <w:r>
        <w:rPr>
          <w:rFonts w:hint="eastAsia" w:ascii="仿宋" w:hAnsi="仿宋" w:eastAsia="仿宋" w:cs="仿宋"/>
          <w:sz w:val="24"/>
          <w:szCs w:val="24"/>
        </w:rPr>
        <w:t>（如响应，需同时提供承诺书，格式自拟</w:t>
      </w:r>
      <w:r>
        <w:rPr>
          <w:rFonts w:hint="eastAsia" w:ascii="仿宋" w:hAnsi="仿宋" w:eastAsia="仿宋" w:cs="仿宋"/>
          <w:sz w:val="24"/>
          <w:szCs w:val="24"/>
          <w:lang w:val="en-US" w:eastAsia="zh-CN"/>
        </w:rPr>
        <w:t>）</w:t>
      </w:r>
    </w:p>
    <w:p w14:paraId="13C49F1D">
      <w:pPr>
        <w:pStyle w:val="15"/>
        <w:keepNext w:val="0"/>
        <w:keepLines w:val="0"/>
        <w:pageBreakBefore w:val="0"/>
        <w:widowControl w:val="0"/>
        <w:numPr>
          <w:ilvl w:val="0"/>
          <w:numId w:val="0"/>
        </w:numPr>
        <w:kinsoku/>
        <w:wordWrap/>
        <w:overflowPunct/>
        <w:topLinePunct w:val="0"/>
        <w:autoSpaceDE/>
        <w:autoSpaceDN/>
        <w:bidi w:val="0"/>
        <w:adjustRightInd/>
        <w:snapToGrid w:val="0"/>
        <w:spacing w:before="0" w:after="0" w:afterAutospacing="0" w:line="400" w:lineRule="exact"/>
        <w:textAlignment w:val="auto"/>
        <w:rPr>
          <w:rFonts w:hint="eastAsia" w:ascii="仿宋" w:hAnsi="仿宋" w:eastAsia="仿宋" w:cs="仿宋"/>
          <w:sz w:val="24"/>
          <w:szCs w:val="24"/>
        </w:rPr>
      </w:pPr>
      <w:bookmarkStart w:id="15" w:name="OLE_LINK3"/>
      <w:r>
        <w:rPr>
          <w:rFonts w:hint="eastAsia" w:ascii="仿宋" w:hAnsi="仿宋" w:eastAsia="仿宋" w:cs="仿宋"/>
          <w:b/>
          <w:bCs/>
          <w:sz w:val="24"/>
          <w:szCs w:val="24"/>
        </w:rPr>
        <w:t>★</w:t>
      </w:r>
      <w:bookmarkEnd w:id="15"/>
      <w:r>
        <w:rPr>
          <w:rFonts w:hint="eastAsia" w:ascii="仿宋" w:hAnsi="仿宋" w:eastAsia="仿宋" w:cs="仿宋"/>
          <w:b/>
          <w:bCs/>
          <w:sz w:val="24"/>
          <w:szCs w:val="24"/>
          <w:lang w:val="en-US" w:eastAsia="zh-CN"/>
        </w:rPr>
        <w:t>三</w:t>
      </w:r>
      <w:r>
        <w:rPr>
          <w:rFonts w:hint="eastAsia" w:ascii="仿宋" w:hAnsi="仿宋" w:eastAsia="仿宋" w:cs="仿宋"/>
          <w:b/>
          <w:bCs/>
          <w:sz w:val="24"/>
          <w:szCs w:val="24"/>
        </w:rPr>
        <w:t>、商务要求：</w:t>
      </w:r>
    </w:p>
    <w:p w14:paraId="6E88969F">
      <w:pPr>
        <w:pStyle w:val="15"/>
        <w:keepNext w:val="0"/>
        <w:keepLines w:val="0"/>
        <w:pageBreakBefore w:val="0"/>
        <w:widowControl w:val="0"/>
        <w:numPr>
          <w:ilvl w:val="0"/>
          <w:numId w:val="0"/>
        </w:numPr>
        <w:kinsoku/>
        <w:wordWrap/>
        <w:overflowPunct/>
        <w:topLinePunct w:val="0"/>
        <w:autoSpaceDE/>
        <w:autoSpaceDN/>
        <w:bidi w:val="0"/>
        <w:adjustRightInd/>
        <w:spacing w:before="0" w:after="0" w:afterAutospacing="0" w:line="360" w:lineRule="auto"/>
        <w:ind w:left="0"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1、服务期：合同签订生效之日起一年或结算金额达到49.9万元，以先到达的作为服务期截止时间。</w:t>
      </w:r>
    </w:p>
    <w:p w14:paraId="09075411">
      <w:pPr>
        <w:pStyle w:val="15"/>
        <w:keepNext w:val="0"/>
        <w:keepLines w:val="0"/>
        <w:pageBreakBefore w:val="0"/>
        <w:widowControl w:val="0"/>
        <w:numPr>
          <w:ilvl w:val="0"/>
          <w:numId w:val="0"/>
        </w:numPr>
        <w:kinsoku/>
        <w:wordWrap/>
        <w:overflowPunct/>
        <w:topLinePunct w:val="0"/>
        <w:autoSpaceDE/>
        <w:autoSpaceDN/>
        <w:bidi w:val="0"/>
        <w:adjustRightInd/>
        <w:spacing w:before="0" w:after="0" w:afterAutospacing="0" w:line="360" w:lineRule="auto"/>
        <w:ind w:left="0"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2、服务地点：供应商所在地</w:t>
      </w:r>
    </w:p>
    <w:p w14:paraId="62A09B3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w:t>
      </w:r>
      <w:r>
        <w:rPr>
          <w:rFonts w:hint="eastAsia" w:ascii="仿宋" w:hAnsi="仿宋" w:eastAsia="仿宋" w:cs="仿宋"/>
          <w:sz w:val="24"/>
          <w:szCs w:val="24"/>
        </w:rPr>
        <w:t>本项目按照四川省省本级和成都市市本级机关、事业单位和团体组织公务用车维修和保养服务框架协议入围折扣率支付费用，其中车辆维修、保养服务，工时单价折扣率为40.00%，车辆维修、保养服务，材料综合管理费收取比例为2.00%。本项目每月按实结算，结算费用采用转账方式支付，每月初与采购人核对费用，确认无误后向采购人提供合法有效票据并附工时清单、材料清单、工时费及材料费清单等资料，采购人自收到上述票据及资料后55日内向供应商支付相应结算金额的100%。本项目支付上限为4990000元。</w:t>
      </w:r>
    </w:p>
    <w:p w14:paraId="2ADA95BF">
      <w:pPr>
        <w:keepNext w:val="0"/>
        <w:keepLines w:val="0"/>
        <w:pageBreakBefore w:val="0"/>
        <w:widowControl w:val="0"/>
        <w:numPr>
          <w:ilvl w:val="0"/>
          <w:numId w:val="0"/>
        </w:numPr>
        <w:kinsoku/>
        <w:wordWrap/>
        <w:overflowPunct/>
        <w:topLinePunct w:val="0"/>
        <w:autoSpaceDE/>
        <w:autoSpaceDN/>
        <w:bidi w:val="0"/>
        <w:adjustRightInd/>
        <w:spacing w:afterAutospacing="0" w:line="360" w:lineRule="auto"/>
        <w:ind w:left="0" w:leftChars="0" w:firstLine="480" w:firstLineChars="200"/>
        <w:textAlignment w:val="auto"/>
        <w:rPr>
          <w:rFonts w:hint="default" w:ascii="仿宋" w:hAnsi="仿宋" w:eastAsia="仿宋" w:cs="仿宋"/>
          <w:kern w:val="2"/>
          <w:sz w:val="24"/>
          <w:szCs w:val="24"/>
          <w:lang w:val="en-US" w:eastAsia="zh-CN" w:bidi="ar-SA"/>
        </w:rPr>
      </w:pPr>
      <w:r>
        <w:rPr>
          <w:rFonts w:hint="eastAsia" w:ascii="仿宋" w:hAnsi="仿宋" w:eastAsia="仿宋" w:cs="仿宋"/>
          <w:color w:val="auto"/>
          <w:kern w:val="2"/>
          <w:sz w:val="24"/>
          <w:szCs w:val="24"/>
          <w:lang w:val="en-US" w:eastAsia="zh-CN" w:bidi="ar-SA"/>
        </w:rPr>
        <w:t>4、</w:t>
      </w:r>
      <w:r>
        <w:rPr>
          <w:rFonts w:hint="eastAsia" w:ascii="仿宋" w:hAnsi="仿宋" w:eastAsia="仿宋" w:cs="仿宋"/>
          <w:kern w:val="2"/>
          <w:sz w:val="24"/>
          <w:szCs w:val="24"/>
          <w:lang w:val="en-US" w:eastAsia="zh-CN" w:bidi="ar-SA"/>
        </w:rPr>
        <w:t>履约验收方案：</w:t>
      </w:r>
    </w:p>
    <w:p w14:paraId="7C9285F5">
      <w:pPr>
        <w:pStyle w:val="15"/>
        <w:keepNext w:val="0"/>
        <w:keepLines w:val="0"/>
        <w:pageBreakBefore w:val="0"/>
        <w:widowControl w:val="0"/>
        <w:numPr>
          <w:ilvl w:val="0"/>
          <w:numId w:val="13"/>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验收时间：供应商完成每月服务内容后5日内通知采购人验收，采购人接到供应商通知后10日内组织验收。</w:t>
      </w:r>
    </w:p>
    <w:p w14:paraId="35C55AD0">
      <w:pPr>
        <w:pStyle w:val="15"/>
        <w:keepNext w:val="0"/>
        <w:keepLines w:val="0"/>
        <w:pageBreakBefore w:val="0"/>
        <w:widowControl w:val="0"/>
        <w:numPr>
          <w:ilvl w:val="0"/>
          <w:numId w:val="13"/>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验收主体：采购人；</w:t>
      </w:r>
    </w:p>
    <w:p w14:paraId="0CD0F732">
      <w:pPr>
        <w:pStyle w:val="15"/>
        <w:keepNext w:val="0"/>
        <w:keepLines w:val="0"/>
        <w:pageBreakBefore w:val="0"/>
        <w:widowControl w:val="0"/>
        <w:numPr>
          <w:ilvl w:val="0"/>
          <w:numId w:val="13"/>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验收方式：现场整体验收；</w:t>
      </w:r>
    </w:p>
    <w:p w14:paraId="6049E449">
      <w:pPr>
        <w:pStyle w:val="15"/>
        <w:keepNext w:val="0"/>
        <w:keepLines w:val="0"/>
        <w:pageBreakBefore w:val="0"/>
        <w:widowControl w:val="0"/>
        <w:numPr>
          <w:ilvl w:val="0"/>
          <w:numId w:val="13"/>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验收程序：分段/分期验收；</w:t>
      </w:r>
    </w:p>
    <w:p w14:paraId="50579417">
      <w:pPr>
        <w:pStyle w:val="15"/>
        <w:keepNext w:val="0"/>
        <w:keepLines w:val="0"/>
        <w:pageBreakBefore w:val="0"/>
        <w:widowControl w:val="0"/>
        <w:numPr>
          <w:ilvl w:val="0"/>
          <w:numId w:val="13"/>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验收组织方式：自行验收；</w:t>
      </w:r>
    </w:p>
    <w:p w14:paraId="42B8BBF9">
      <w:pPr>
        <w:pStyle w:val="15"/>
        <w:keepNext w:val="0"/>
        <w:keepLines w:val="0"/>
        <w:pageBreakBefore w:val="0"/>
        <w:widowControl w:val="0"/>
        <w:numPr>
          <w:ilvl w:val="0"/>
          <w:numId w:val="13"/>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lang w:val="en-US" w:eastAsia="zh-CN" w:bidi="ar-SA"/>
        </w:rPr>
        <w:t>验收内容：按</w:t>
      </w:r>
      <w:r>
        <w:rPr>
          <w:rFonts w:hint="eastAsia" w:ascii="仿宋" w:hAnsi="仿宋" w:eastAsia="仿宋" w:cs="仿宋"/>
          <w:color w:val="auto"/>
          <w:sz w:val="24"/>
          <w:szCs w:val="24"/>
          <w:shd w:val="clear" w:color="auto" w:fill="FFFFFF"/>
        </w:rPr>
        <w:t>照</w:t>
      </w:r>
      <w:r>
        <w:rPr>
          <w:rFonts w:hint="eastAsia" w:ascii="仿宋" w:hAnsi="仿宋" w:eastAsia="仿宋" w:cs="仿宋"/>
          <w:color w:val="auto"/>
          <w:sz w:val="24"/>
          <w:szCs w:val="24"/>
        </w:rPr>
        <w:t>基于本项目采购需求编制的招标文件要求及</w:t>
      </w:r>
      <w:r>
        <w:rPr>
          <w:rFonts w:hint="eastAsia" w:ascii="仿宋" w:hAnsi="仿宋" w:eastAsia="仿宋" w:cs="仿宋"/>
          <w:color w:val="auto"/>
          <w:kern w:val="2"/>
          <w:sz w:val="24"/>
          <w:szCs w:val="24"/>
          <w:lang w:val="en-US" w:eastAsia="zh-CN" w:bidi="ar-SA"/>
        </w:rPr>
        <w:t>成交供应商</w:t>
      </w:r>
      <w:r>
        <w:rPr>
          <w:rFonts w:hint="eastAsia" w:ascii="仿宋" w:hAnsi="仿宋" w:eastAsia="仿宋" w:cs="仿宋"/>
          <w:color w:val="auto"/>
          <w:sz w:val="24"/>
          <w:szCs w:val="24"/>
          <w:lang w:eastAsia="zh-CN"/>
        </w:rPr>
        <w:t>响应文件</w:t>
      </w:r>
      <w:r>
        <w:rPr>
          <w:rFonts w:hint="eastAsia" w:ascii="仿宋" w:hAnsi="仿宋" w:eastAsia="仿宋" w:cs="仿宋"/>
          <w:color w:val="auto"/>
          <w:sz w:val="24"/>
          <w:szCs w:val="24"/>
        </w:rPr>
        <w:t>响应情况，由成交供应商向采购人提供的当月服务的履约情况</w:t>
      </w:r>
      <w:r>
        <w:rPr>
          <w:rFonts w:hint="eastAsia" w:ascii="仿宋" w:hAnsi="仿宋" w:eastAsia="仿宋" w:cs="仿宋"/>
          <w:color w:val="auto"/>
          <w:kern w:val="2"/>
          <w:sz w:val="24"/>
          <w:szCs w:val="24"/>
          <w:lang w:val="en-US" w:eastAsia="zh-CN" w:bidi="ar-SA"/>
        </w:rPr>
        <w:t>。</w:t>
      </w:r>
    </w:p>
    <w:p w14:paraId="210730EB">
      <w:pPr>
        <w:pStyle w:val="15"/>
        <w:keepNext w:val="0"/>
        <w:keepLines w:val="0"/>
        <w:pageBreakBefore w:val="0"/>
        <w:widowControl w:val="0"/>
        <w:numPr>
          <w:ilvl w:val="0"/>
          <w:numId w:val="13"/>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验收标准：</w:t>
      </w:r>
    </w:p>
    <w:p w14:paraId="39BC8E5E">
      <w:pPr>
        <w:pStyle w:val="15"/>
        <w:keepNext w:val="0"/>
        <w:keepLines w:val="0"/>
        <w:pageBreakBefore w:val="0"/>
        <w:widowControl w:val="0"/>
        <w:numPr>
          <w:ilvl w:val="0"/>
          <w:numId w:val="14"/>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sz w:val="24"/>
          <w:szCs w:val="24"/>
        </w:rPr>
      </w:pPr>
      <w:bookmarkStart w:id="16" w:name="OLE_LINK4"/>
      <w:r>
        <w:rPr>
          <w:rFonts w:hint="eastAsia" w:ascii="仿宋" w:hAnsi="仿宋" w:eastAsia="仿宋" w:cs="仿宋"/>
          <w:sz w:val="24"/>
          <w:szCs w:val="24"/>
          <w:shd w:val="clear" w:color="auto" w:fill="FFFFFF"/>
        </w:rPr>
        <w:t>国家相关法律法规、行业标准、技术规范。</w:t>
      </w:r>
    </w:p>
    <w:p w14:paraId="38209F12">
      <w:pPr>
        <w:pStyle w:val="15"/>
        <w:keepNext w:val="0"/>
        <w:keepLines w:val="0"/>
        <w:pageBreakBefore w:val="0"/>
        <w:widowControl w:val="0"/>
        <w:numPr>
          <w:ilvl w:val="0"/>
          <w:numId w:val="14"/>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sz w:val="24"/>
          <w:szCs w:val="24"/>
        </w:rPr>
      </w:pPr>
      <w:r>
        <w:rPr>
          <w:rFonts w:hint="eastAsia" w:ascii="仿宋" w:hAnsi="仿宋" w:eastAsia="仿宋" w:cs="仿宋"/>
          <w:sz w:val="24"/>
          <w:szCs w:val="24"/>
        </w:rPr>
        <w:t>基于本项目采购需求编制的招标文件相关技术、服务要求、</w:t>
      </w:r>
      <w:r>
        <w:rPr>
          <w:rFonts w:hint="eastAsia" w:ascii="仿宋" w:hAnsi="仿宋" w:eastAsia="仿宋" w:cs="仿宋"/>
          <w:sz w:val="24"/>
          <w:szCs w:val="24"/>
          <w:lang w:eastAsia="zh-CN"/>
        </w:rPr>
        <w:t>成交供应商响应文件</w:t>
      </w:r>
      <w:r>
        <w:rPr>
          <w:rFonts w:hint="eastAsia" w:ascii="仿宋" w:hAnsi="仿宋" w:eastAsia="仿宋" w:cs="仿宋"/>
          <w:sz w:val="24"/>
          <w:szCs w:val="24"/>
        </w:rPr>
        <w:t>相关响应内容。</w:t>
      </w:r>
    </w:p>
    <w:bookmarkEnd w:id="16"/>
    <w:p w14:paraId="04BE24EF">
      <w:pPr>
        <w:pStyle w:val="15"/>
        <w:keepNext w:val="0"/>
        <w:keepLines w:val="0"/>
        <w:pageBreakBefore w:val="0"/>
        <w:widowControl w:val="0"/>
        <w:numPr>
          <w:ilvl w:val="0"/>
          <w:numId w:val="14"/>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sz w:val="24"/>
          <w:szCs w:val="24"/>
        </w:rPr>
      </w:pPr>
      <w:r>
        <w:rPr>
          <w:rFonts w:hint="eastAsia" w:ascii="仿宋" w:hAnsi="仿宋" w:eastAsia="仿宋" w:cs="仿宋"/>
          <w:sz w:val="24"/>
          <w:szCs w:val="24"/>
          <w:lang w:eastAsia="zh-CN"/>
        </w:rPr>
        <w:t>成交产品</w:t>
      </w:r>
      <w:r>
        <w:rPr>
          <w:rFonts w:hint="eastAsia" w:ascii="仿宋" w:hAnsi="仿宋" w:eastAsia="仿宋" w:cs="仿宋"/>
          <w:sz w:val="24"/>
          <w:szCs w:val="24"/>
        </w:rPr>
        <w:t>生产厂家出具的产品说明书、技术白皮书、医疗器械注册证或备案凭证等技术资料（如涉及）。</w:t>
      </w:r>
    </w:p>
    <w:p w14:paraId="4E2A89E4">
      <w:pPr>
        <w:pStyle w:val="15"/>
        <w:keepNext w:val="0"/>
        <w:keepLines w:val="0"/>
        <w:pageBreakBefore w:val="0"/>
        <w:widowControl w:val="0"/>
        <w:numPr>
          <w:ilvl w:val="0"/>
          <w:numId w:val="14"/>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sz w:val="24"/>
          <w:szCs w:val="24"/>
        </w:rPr>
      </w:pPr>
      <w:r>
        <w:rPr>
          <w:rFonts w:hint="eastAsia" w:ascii="仿宋" w:hAnsi="仿宋" w:eastAsia="仿宋" w:cs="仿宋"/>
          <w:sz w:val="24"/>
          <w:szCs w:val="24"/>
        </w:rPr>
        <w:t>如验收时双方对技术指标、质量要求等约定标准有相互抵触或异议的事项，双方须按照国家相关规定及基于本项目采购需求编制的招标文件相关技术、服务要求、</w:t>
      </w:r>
      <w:r>
        <w:rPr>
          <w:rFonts w:hint="eastAsia" w:ascii="仿宋" w:hAnsi="仿宋" w:eastAsia="仿宋" w:cs="仿宋"/>
          <w:sz w:val="24"/>
          <w:szCs w:val="24"/>
          <w:lang w:eastAsia="zh-CN"/>
        </w:rPr>
        <w:t>成交供应商响应文件</w:t>
      </w:r>
      <w:r>
        <w:rPr>
          <w:rFonts w:hint="eastAsia" w:ascii="仿宋" w:hAnsi="仿宋" w:eastAsia="仿宋" w:cs="仿宋"/>
          <w:sz w:val="24"/>
          <w:szCs w:val="24"/>
        </w:rPr>
        <w:t>相关响应内容中质量要求和技术指标较严格的原则确定该事项的标准并进行验收。</w:t>
      </w:r>
    </w:p>
    <w:p w14:paraId="1D92B86B">
      <w:pPr>
        <w:pStyle w:val="15"/>
        <w:keepNext w:val="0"/>
        <w:keepLines w:val="0"/>
        <w:pageBreakBefore w:val="0"/>
        <w:widowControl w:val="0"/>
        <w:numPr>
          <w:ilvl w:val="0"/>
          <w:numId w:val="14"/>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sz w:val="24"/>
          <w:szCs w:val="24"/>
        </w:rPr>
      </w:pPr>
      <w:r>
        <w:rPr>
          <w:rFonts w:hint="eastAsia" w:ascii="仿宋" w:hAnsi="仿宋" w:eastAsia="仿宋" w:cs="仿宋"/>
          <w:sz w:val="24"/>
          <w:szCs w:val="24"/>
        </w:rPr>
        <w:t>按照《财政部关于进一步加强政府采购需求和履约验收管理的指导意见》（财库〔2016〕205号）的要求进行验收。（如本项目不涉及政府采购，将参照此条款）</w:t>
      </w:r>
    </w:p>
    <w:p w14:paraId="3179A03C">
      <w:pPr>
        <w:pStyle w:val="15"/>
        <w:keepNext w:val="0"/>
        <w:keepLines w:val="0"/>
        <w:pageBreakBefore w:val="0"/>
        <w:widowControl w:val="0"/>
        <w:numPr>
          <w:ilvl w:val="0"/>
          <w:numId w:val="14"/>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sz w:val="24"/>
          <w:szCs w:val="24"/>
        </w:rPr>
      </w:pPr>
      <w:r>
        <w:rPr>
          <w:rFonts w:hint="eastAsia" w:ascii="仿宋" w:hAnsi="仿宋" w:eastAsia="仿宋" w:cs="仿宋"/>
          <w:sz w:val="24"/>
          <w:szCs w:val="24"/>
        </w:rPr>
        <w:t>如本项目验收方式为考核验收，则考核结果须为合格。</w:t>
      </w:r>
    </w:p>
    <w:p w14:paraId="5210CA50">
      <w:pPr>
        <w:pStyle w:val="15"/>
        <w:keepNext w:val="0"/>
        <w:keepLines w:val="0"/>
        <w:pageBreakBefore w:val="0"/>
        <w:widowControl w:val="0"/>
        <w:numPr>
          <w:ilvl w:val="0"/>
          <w:numId w:val="14"/>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sz w:val="24"/>
          <w:szCs w:val="24"/>
        </w:rPr>
      </w:pPr>
      <w:r>
        <w:rPr>
          <w:rFonts w:hint="eastAsia" w:ascii="仿宋" w:hAnsi="仿宋" w:eastAsia="仿宋" w:cs="仿宋"/>
          <w:sz w:val="24"/>
          <w:szCs w:val="24"/>
        </w:rPr>
        <w:t>其它标</w:t>
      </w:r>
      <w:r>
        <w:rPr>
          <w:rFonts w:hint="eastAsia" w:ascii="仿宋" w:hAnsi="仿宋" w:eastAsia="仿宋" w:cs="仿宋"/>
          <w:sz w:val="24"/>
          <w:szCs w:val="24"/>
          <w:u w:val="none"/>
        </w:rPr>
        <w:t>准：无</w:t>
      </w:r>
      <w:r>
        <w:rPr>
          <w:rFonts w:hint="eastAsia" w:ascii="仿宋" w:hAnsi="仿宋" w:eastAsia="仿宋" w:cs="仿宋"/>
          <w:sz w:val="24"/>
          <w:szCs w:val="24"/>
          <w:u w:val="none"/>
          <w:lang w:eastAsia="zh-CN"/>
        </w:rPr>
        <w:t>；</w:t>
      </w:r>
    </w:p>
    <w:p w14:paraId="172D3D85">
      <w:pPr>
        <w:pStyle w:val="15"/>
        <w:keepNext w:val="0"/>
        <w:keepLines w:val="0"/>
        <w:pageBreakBefore w:val="0"/>
        <w:widowControl w:val="0"/>
        <w:numPr>
          <w:ilvl w:val="0"/>
          <w:numId w:val="13"/>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是否邀请本项目的其它潜在供应商：否；</w:t>
      </w:r>
    </w:p>
    <w:p w14:paraId="1011BB12">
      <w:pPr>
        <w:pStyle w:val="15"/>
        <w:keepNext w:val="0"/>
        <w:keepLines w:val="0"/>
        <w:pageBreakBefore w:val="0"/>
        <w:widowControl w:val="0"/>
        <w:numPr>
          <w:ilvl w:val="0"/>
          <w:numId w:val="13"/>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是否邀请专家：否；</w:t>
      </w:r>
    </w:p>
    <w:p w14:paraId="5A1B20F2">
      <w:pPr>
        <w:pStyle w:val="15"/>
        <w:keepNext w:val="0"/>
        <w:keepLines w:val="0"/>
        <w:pageBreakBefore w:val="0"/>
        <w:widowControl w:val="0"/>
        <w:numPr>
          <w:ilvl w:val="0"/>
          <w:numId w:val="13"/>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是否邀请第三方检测机构：否；</w:t>
      </w:r>
    </w:p>
    <w:p w14:paraId="0DF064EE">
      <w:pPr>
        <w:pStyle w:val="15"/>
        <w:keepNext w:val="0"/>
        <w:keepLines w:val="0"/>
        <w:pageBreakBefore w:val="0"/>
        <w:widowControl w:val="0"/>
        <w:numPr>
          <w:ilvl w:val="0"/>
          <w:numId w:val="13"/>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是否邀请服务对象：否。</w:t>
      </w:r>
    </w:p>
    <w:p w14:paraId="5CFF81F2">
      <w:pPr>
        <w:pStyle w:val="15"/>
        <w:keepNext w:val="0"/>
        <w:keepLines w:val="0"/>
        <w:pageBreakBefore w:val="0"/>
        <w:widowControl w:val="0"/>
        <w:numPr>
          <w:ilvl w:val="0"/>
          <w:numId w:val="0"/>
        </w:numPr>
        <w:kinsoku/>
        <w:wordWrap/>
        <w:overflowPunct/>
        <w:topLinePunct w:val="0"/>
        <w:autoSpaceDE/>
        <w:autoSpaceDN/>
        <w:bidi w:val="0"/>
        <w:adjustRightInd/>
        <w:spacing w:before="0" w:after="0" w:afterAutospacing="0" w:line="360" w:lineRule="auto"/>
        <w:ind w:left="0" w:leftChars="0" w:firstLine="480" w:firstLineChars="200"/>
        <w:contextualSpacing/>
        <w:textAlignment w:val="auto"/>
        <w:rPr>
          <w:rFonts w:hint="eastAsia" w:ascii="仿宋" w:hAnsi="仿宋" w:eastAsia="仿宋" w:cs="仿宋"/>
          <w:sz w:val="24"/>
          <w:szCs w:val="24"/>
          <w:shd w:val="clear" w:color="auto" w:fill="FFFFFF"/>
          <w:lang w:eastAsia="zh-CN"/>
        </w:rPr>
      </w:pPr>
      <w:r>
        <w:rPr>
          <w:rFonts w:hint="eastAsia" w:ascii="仿宋" w:hAnsi="仿宋" w:eastAsia="仿宋" w:cs="仿宋"/>
          <w:sz w:val="24"/>
          <w:szCs w:val="24"/>
          <w:lang w:val="en-US" w:eastAsia="zh-CN"/>
        </w:rPr>
        <w:t>5、售后</w:t>
      </w:r>
      <w:r>
        <w:rPr>
          <w:rFonts w:hint="eastAsia" w:ascii="仿宋" w:hAnsi="仿宋" w:eastAsia="仿宋" w:cs="仿宋"/>
          <w:sz w:val="24"/>
          <w:szCs w:val="24"/>
          <w:shd w:val="clear" w:color="auto" w:fill="FFFFFF"/>
          <w:lang w:val="en-US" w:eastAsia="zh-CN"/>
        </w:rPr>
        <w:t>服务：</w:t>
      </w:r>
      <w:r>
        <w:rPr>
          <w:rFonts w:hint="eastAsia" w:ascii="仿宋" w:hAnsi="仿宋" w:eastAsia="仿宋" w:cs="仿宋"/>
          <w:sz w:val="24"/>
          <w:szCs w:val="24"/>
          <w:shd w:val="clear" w:color="auto" w:fill="FFFFFF"/>
        </w:rPr>
        <w:t>按框架协议约定执行</w:t>
      </w:r>
      <w:r>
        <w:rPr>
          <w:rFonts w:hint="eastAsia" w:ascii="仿宋" w:hAnsi="仿宋" w:eastAsia="仿宋" w:cs="仿宋"/>
          <w:sz w:val="24"/>
          <w:szCs w:val="24"/>
          <w:shd w:val="clear" w:color="auto" w:fill="FFFFFF"/>
          <w:lang w:eastAsia="zh-CN"/>
        </w:rPr>
        <w:t>。</w:t>
      </w:r>
    </w:p>
    <w:p w14:paraId="288EFCFF">
      <w:pPr>
        <w:pStyle w:val="15"/>
        <w:keepNext w:val="0"/>
        <w:keepLines w:val="0"/>
        <w:pageBreakBefore w:val="0"/>
        <w:widowControl w:val="0"/>
        <w:kinsoku/>
        <w:wordWrap/>
        <w:overflowPunct/>
        <w:topLinePunct w:val="0"/>
        <w:autoSpaceDE/>
        <w:autoSpaceDN/>
        <w:bidi w:val="0"/>
        <w:adjustRightInd/>
        <w:spacing w:before="0" w:after="0" w:afterAutospacing="0" w:line="360" w:lineRule="auto"/>
        <w:ind w:left="0" w:firstLine="480" w:firstLineChars="200"/>
        <w:textAlignment w:val="auto"/>
        <w:rPr>
          <w:rFonts w:ascii="Times New Roman" w:hAnsi="Times New Roman" w:eastAsia="仿宋" w:cs="Times New Roman"/>
          <w:sz w:val="24"/>
          <w:szCs w:val="24"/>
        </w:rPr>
      </w:pPr>
      <w:r>
        <w:rPr>
          <w:rFonts w:ascii="Times New Roman" w:hAnsi="Times New Roman" w:eastAsia="仿宋" w:cs="Times New Roman"/>
          <w:sz w:val="24"/>
          <w:szCs w:val="24"/>
        </w:rPr>
        <w:t>注：本章中带“</w:t>
      </w:r>
      <w:bookmarkStart w:id="17" w:name="OLE_LINK1"/>
      <w:r>
        <w:rPr>
          <w:rFonts w:ascii="Segoe UI Symbol" w:hAnsi="Segoe UI Symbol" w:eastAsia="仿宋" w:cs="Segoe UI Symbol"/>
          <w:b/>
          <w:bCs/>
          <w:sz w:val="24"/>
          <w:szCs w:val="22"/>
        </w:rPr>
        <w:t>★</w:t>
      </w:r>
      <w:bookmarkEnd w:id="17"/>
      <w:r>
        <w:rPr>
          <w:rFonts w:ascii="Times New Roman" w:hAnsi="Times New Roman" w:eastAsia="仿宋" w:cs="Times New Roman"/>
          <w:sz w:val="24"/>
          <w:szCs w:val="24"/>
        </w:rPr>
        <w:t>”的条款为实质性要求，不满足将被作为无效响应处理。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3"/>
        <w:rPr>
          <w:rFonts w:ascii="Times New Roman" w:hAnsi="Times New Roman" w:cs="Times New Roman"/>
        </w:rPr>
      </w:pPr>
      <w:bookmarkStart w:id="18" w:name="_Toc22588"/>
      <w:bookmarkStart w:id="19" w:name="_Toc28789"/>
      <w:bookmarkStart w:id="20" w:name="_Toc13768"/>
      <w:r>
        <w:rPr>
          <w:rFonts w:ascii="Times New Roman" w:hAnsi="Times New Roman" w:cs="Times New Roman"/>
        </w:rPr>
        <w:t>评分标准</w:t>
      </w:r>
      <w:bookmarkEnd w:id="18"/>
      <w:bookmarkEnd w:id="19"/>
      <w:bookmarkEnd w:id="20"/>
    </w:p>
    <w:p w14:paraId="60F8EC8B">
      <w:pPr>
        <w:rPr>
          <w:lang w:val="zh-CN"/>
        </w:rPr>
      </w:pP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2"/>
        <w:gridCol w:w="775"/>
        <w:gridCol w:w="700"/>
        <w:gridCol w:w="4737"/>
        <w:gridCol w:w="3105"/>
      </w:tblGrid>
      <w:tr w14:paraId="728BB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482" w:type="dxa"/>
            <w:tcBorders>
              <w:top w:val="single" w:color="auto" w:sz="4" w:space="0"/>
              <w:left w:val="single" w:color="auto" w:sz="4" w:space="0"/>
              <w:bottom w:val="single" w:color="auto" w:sz="4" w:space="0"/>
              <w:right w:val="single" w:color="auto" w:sz="4" w:space="0"/>
            </w:tcBorders>
            <w:vAlign w:val="center"/>
          </w:tcPr>
          <w:p w14:paraId="1520C9AC">
            <w:pPr>
              <w:ind w:firstLine="28"/>
              <w:jc w:val="center"/>
              <w:rPr>
                <w:rFonts w:hint="eastAsia" w:ascii="仿宋" w:hAnsi="仿宋" w:eastAsia="仿宋" w:cs="仿宋"/>
                <w:b/>
                <w:bCs/>
                <w:color w:val="auto"/>
                <w:sz w:val="21"/>
                <w:szCs w:val="21"/>
              </w:rPr>
            </w:pPr>
            <w:r>
              <w:rPr>
                <w:rFonts w:hint="eastAsia" w:ascii="仿宋" w:hAnsi="仿宋" w:eastAsia="仿宋" w:cs="仿宋"/>
                <w:b/>
                <w:bCs/>
                <w:color w:val="auto"/>
                <w:sz w:val="21"/>
                <w:szCs w:val="21"/>
              </w:rPr>
              <w:t>序号</w:t>
            </w:r>
          </w:p>
        </w:tc>
        <w:tc>
          <w:tcPr>
            <w:tcW w:w="775" w:type="dxa"/>
            <w:tcBorders>
              <w:top w:val="single" w:color="auto" w:sz="4" w:space="0"/>
              <w:left w:val="single" w:color="auto" w:sz="4" w:space="0"/>
              <w:bottom w:val="single" w:color="auto" w:sz="4" w:space="0"/>
              <w:right w:val="single" w:color="auto" w:sz="4" w:space="0"/>
            </w:tcBorders>
            <w:vAlign w:val="center"/>
          </w:tcPr>
          <w:p w14:paraId="2B33591E">
            <w:pPr>
              <w:ind w:firstLine="28"/>
              <w:jc w:val="center"/>
              <w:rPr>
                <w:rFonts w:hint="eastAsia" w:ascii="仿宋" w:hAnsi="仿宋" w:eastAsia="仿宋" w:cs="仿宋"/>
                <w:b/>
                <w:bCs/>
                <w:color w:val="auto"/>
                <w:sz w:val="21"/>
                <w:szCs w:val="21"/>
              </w:rPr>
            </w:pPr>
            <w:r>
              <w:rPr>
                <w:rFonts w:hint="eastAsia" w:ascii="仿宋" w:hAnsi="仿宋" w:eastAsia="仿宋" w:cs="仿宋"/>
                <w:b/>
                <w:bCs/>
                <w:color w:val="auto"/>
                <w:sz w:val="21"/>
                <w:szCs w:val="21"/>
              </w:rPr>
              <w:t>评审</w:t>
            </w:r>
          </w:p>
          <w:p w14:paraId="25E58807">
            <w:pPr>
              <w:ind w:firstLine="28"/>
              <w:jc w:val="center"/>
              <w:rPr>
                <w:rFonts w:hint="eastAsia" w:ascii="仿宋" w:hAnsi="仿宋" w:eastAsia="仿宋" w:cs="仿宋"/>
                <w:b/>
                <w:bCs/>
                <w:color w:val="auto"/>
                <w:sz w:val="21"/>
                <w:szCs w:val="21"/>
              </w:rPr>
            </w:pPr>
            <w:r>
              <w:rPr>
                <w:rFonts w:hint="eastAsia" w:ascii="仿宋" w:hAnsi="仿宋" w:eastAsia="仿宋" w:cs="仿宋"/>
                <w:b/>
                <w:bCs/>
                <w:color w:val="auto"/>
                <w:sz w:val="21"/>
                <w:szCs w:val="21"/>
              </w:rPr>
              <w:t>因素</w:t>
            </w:r>
          </w:p>
        </w:tc>
        <w:tc>
          <w:tcPr>
            <w:tcW w:w="700" w:type="dxa"/>
            <w:tcBorders>
              <w:top w:val="single" w:color="auto" w:sz="4" w:space="0"/>
              <w:left w:val="single" w:color="auto" w:sz="4" w:space="0"/>
              <w:bottom w:val="single" w:color="auto" w:sz="4" w:space="0"/>
              <w:right w:val="single" w:color="auto" w:sz="4" w:space="0"/>
            </w:tcBorders>
            <w:vAlign w:val="center"/>
          </w:tcPr>
          <w:p w14:paraId="71A04563">
            <w:pPr>
              <w:ind w:firstLine="28"/>
              <w:jc w:val="center"/>
              <w:rPr>
                <w:rFonts w:hint="eastAsia" w:ascii="仿宋" w:hAnsi="仿宋" w:eastAsia="仿宋" w:cs="仿宋"/>
                <w:b/>
                <w:bCs/>
                <w:color w:val="auto"/>
                <w:sz w:val="21"/>
                <w:szCs w:val="21"/>
              </w:rPr>
            </w:pPr>
            <w:r>
              <w:rPr>
                <w:rFonts w:hint="eastAsia" w:ascii="仿宋" w:hAnsi="仿宋" w:eastAsia="仿宋" w:cs="仿宋"/>
                <w:b/>
                <w:bCs/>
                <w:color w:val="auto"/>
                <w:sz w:val="21"/>
                <w:szCs w:val="21"/>
              </w:rPr>
              <w:t>分值</w:t>
            </w:r>
          </w:p>
        </w:tc>
        <w:tc>
          <w:tcPr>
            <w:tcW w:w="4737" w:type="dxa"/>
            <w:tcBorders>
              <w:top w:val="single" w:color="auto" w:sz="4" w:space="0"/>
              <w:left w:val="single" w:color="auto" w:sz="4" w:space="0"/>
              <w:bottom w:val="single" w:color="auto" w:sz="4" w:space="0"/>
              <w:right w:val="single" w:color="auto" w:sz="4" w:space="0"/>
            </w:tcBorders>
            <w:vAlign w:val="center"/>
          </w:tcPr>
          <w:p w14:paraId="2C92E6CB">
            <w:pPr>
              <w:ind w:firstLine="28"/>
              <w:jc w:val="center"/>
              <w:rPr>
                <w:rFonts w:hint="eastAsia" w:ascii="仿宋" w:hAnsi="仿宋" w:eastAsia="仿宋" w:cs="仿宋"/>
                <w:b/>
                <w:bCs/>
                <w:color w:val="auto"/>
                <w:sz w:val="21"/>
                <w:szCs w:val="21"/>
              </w:rPr>
            </w:pPr>
            <w:r>
              <w:rPr>
                <w:rFonts w:hint="eastAsia" w:ascii="仿宋" w:hAnsi="仿宋" w:eastAsia="仿宋" w:cs="仿宋"/>
                <w:b/>
                <w:bCs/>
                <w:color w:val="auto"/>
                <w:sz w:val="21"/>
                <w:szCs w:val="21"/>
              </w:rPr>
              <w:t>评分标准</w:t>
            </w:r>
          </w:p>
        </w:tc>
        <w:tc>
          <w:tcPr>
            <w:tcW w:w="3105" w:type="dxa"/>
            <w:tcBorders>
              <w:top w:val="single" w:color="auto" w:sz="4" w:space="0"/>
              <w:left w:val="single" w:color="auto" w:sz="4" w:space="0"/>
              <w:bottom w:val="single" w:color="auto" w:sz="4" w:space="0"/>
              <w:right w:val="single" w:color="auto" w:sz="4" w:space="0"/>
            </w:tcBorders>
            <w:vAlign w:val="center"/>
          </w:tcPr>
          <w:p w14:paraId="1AACCEF1">
            <w:pPr>
              <w:jc w:val="center"/>
              <w:rPr>
                <w:rFonts w:hint="eastAsia" w:ascii="仿宋" w:hAnsi="仿宋" w:eastAsia="仿宋" w:cs="仿宋"/>
                <w:b/>
                <w:bCs/>
                <w:color w:val="auto"/>
                <w:sz w:val="21"/>
                <w:szCs w:val="21"/>
              </w:rPr>
            </w:pPr>
            <w:r>
              <w:rPr>
                <w:rFonts w:hint="eastAsia" w:ascii="仿宋" w:hAnsi="仿宋" w:eastAsia="仿宋" w:cs="仿宋"/>
                <w:b/>
                <w:bCs/>
                <w:color w:val="auto"/>
                <w:sz w:val="21"/>
                <w:szCs w:val="21"/>
              </w:rPr>
              <w:t>说明</w:t>
            </w:r>
          </w:p>
        </w:tc>
      </w:tr>
      <w:tr w14:paraId="0E435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482" w:type="dxa"/>
            <w:tcBorders>
              <w:top w:val="single" w:color="auto" w:sz="4" w:space="0"/>
              <w:left w:val="single" w:color="auto" w:sz="4" w:space="0"/>
              <w:bottom w:val="single" w:color="auto" w:sz="4" w:space="0"/>
              <w:right w:val="single" w:color="auto" w:sz="4" w:space="0"/>
            </w:tcBorders>
            <w:vAlign w:val="center"/>
          </w:tcPr>
          <w:p w14:paraId="7598C66C">
            <w:pPr>
              <w:ind w:firstLine="28"/>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1</w:t>
            </w:r>
          </w:p>
        </w:tc>
        <w:tc>
          <w:tcPr>
            <w:tcW w:w="775" w:type="dxa"/>
            <w:tcBorders>
              <w:top w:val="single" w:color="auto" w:sz="4" w:space="0"/>
              <w:left w:val="single" w:color="auto" w:sz="4" w:space="0"/>
              <w:bottom w:val="single" w:color="auto" w:sz="4" w:space="0"/>
              <w:right w:val="single" w:color="auto" w:sz="4" w:space="0"/>
            </w:tcBorders>
            <w:vAlign w:val="center"/>
          </w:tcPr>
          <w:p w14:paraId="0101210A">
            <w:pPr>
              <w:ind w:left="459" w:leftChars="0" w:hanging="459" w:hangingChars="219"/>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业绩</w:t>
            </w:r>
          </w:p>
        </w:tc>
        <w:tc>
          <w:tcPr>
            <w:tcW w:w="700" w:type="dxa"/>
            <w:tcBorders>
              <w:top w:val="single" w:color="auto" w:sz="4" w:space="0"/>
              <w:left w:val="single" w:color="auto" w:sz="4" w:space="0"/>
              <w:bottom w:val="single" w:color="auto" w:sz="4" w:space="0"/>
              <w:right w:val="single" w:color="auto" w:sz="4" w:space="0"/>
            </w:tcBorders>
            <w:vAlign w:val="center"/>
          </w:tcPr>
          <w:p w14:paraId="235D1D3B">
            <w:pPr>
              <w:ind w:firstLine="28" w:firstLineChars="0"/>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20分</w:t>
            </w:r>
          </w:p>
        </w:tc>
        <w:tc>
          <w:tcPr>
            <w:tcW w:w="4737" w:type="dxa"/>
            <w:tcBorders>
              <w:top w:val="single" w:color="auto" w:sz="4" w:space="0"/>
              <w:left w:val="single" w:color="auto" w:sz="4" w:space="0"/>
              <w:bottom w:val="single" w:color="auto" w:sz="4" w:space="0"/>
              <w:right w:val="single" w:color="auto" w:sz="4" w:space="0"/>
            </w:tcBorders>
            <w:vAlign w:val="center"/>
          </w:tcPr>
          <w:p w14:paraId="4637146F">
            <w:pPr>
              <w:jc w:val="center"/>
              <w:rPr>
                <w:rFonts w:hint="eastAsia" w:ascii="仿宋" w:hAnsi="仿宋" w:eastAsia="仿宋" w:cs="仿宋"/>
                <w:color w:val="auto"/>
                <w:sz w:val="21"/>
                <w:szCs w:val="21"/>
                <w:lang w:val="en-US" w:eastAsia="zh-CN"/>
              </w:rPr>
            </w:pPr>
            <w:r>
              <w:rPr>
                <w:rFonts w:hint="eastAsia" w:ascii="仿宋" w:hAnsi="仿宋" w:eastAsia="仿宋" w:cs="仿宋"/>
                <w:color w:val="auto"/>
                <w:kern w:val="2"/>
                <w:sz w:val="21"/>
                <w:szCs w:val="21"/>
                <w:lang w:val="en-US" w:eastAsia="zh-CN" w:bidi="ar-SA"/>
              </w:rPr>
              <w:t>1、供应商自2023年1月1日以来具有已完成类似项目业绩有3个得12分；</w:t>
            </w:r>
          </w:p>
          <w:p w14:paraId="7D801451">
            <w:p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2、具有与本项目相关的特种车辆(救护车)维修业绩1个得4分，本项最多得8分；</w:t>
            </w:r>
          </w:p>
          <w:p w14:paraId="5D574E4D">
            <w:pPr>
              <w:pStyle w:val="2"/>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rPr>
              <w:t>备注：同一份合同不可同时在上述两项业绩中重复计分</w:t>
            </w:r>
            <w:r>
              <w:rPr>
                <w:rFonts w:hint="eastAsia" w:ascii="仿宋" w:hAnsi="仿宋" w:eastAsia="仿宋" w:cs="仿宋"/>
                <w:color w:val="auto"/>
                <w:kern w:val="2"/>
                <w:sz w:val="21"/>
                <w:szCs w:val="21"/>
                <w:lang w:val="en-US" w:eastAsia="zh-CN" w:bidi="ar-SA"/>
              </w:rPr>
              <w:t>。</w:t>
            </w:r>
          </w:p>
        </w:tc>
        <w:tc>
          <w:tcPr>
            <w:tcW w:w="3105" w:type="dxa"/>
            <w:tcBorders>
              <w:top w:val="single" w:color="auto" w:sz="4" w:space="0"/>
              <w:left w:val="single" w:color="auto" w:sz="4" w:space="0"/>
              <w:bottom w:val="single" w:color="auto" w:sz="4" w:space="0"/>
              <w:right w:val="single" w:color="auto" w:sz="4" w:space="0"/>
            </w:tcBorders>
            <w:vAlign w:val="center"/>
          </w:tcPr>
          <w:p w14:paraId="4A17CDEA">
            <w:p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1、需提供成交通知书复印件或合同复印件（相同单位不同合同周期只算一个业绩）；</w:t>
            </w:r>
          </w:p>
          <w:p w14:paraId="1C553CBD">
            <w:p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2、提供合同，并以维修记录及关联发票予以佐证</w:t>
            </w:r>
          </w:p>
          <w:p w14:paraId="45145F4B">
            <w:pPr>
              <w:jc w:val="both"/>
              <w:rPr>
                <w:rFonts w:hint="eastAsia" w:ascii="仿宋" w:hAnsi="仿宋" w:eastAsia="仿宋" w:cs="仿宋"/>
                <w:color w:val="auto"/>
                <w:kern w:val="2"/>
                <w:sz w:val="21"/>
                <w:szCs w:val="21"/>
                <w:lang w:val="en-US" w:eastAsia="zh-CN" w:bidi="ar-SA"/>
              </w:rPr>
            </w:pPr>
          </w:p>
        </w:tc>
      </w:tr>
      <w:tr w14:paraId="5C76B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482" w:type="dxa"/>
            <w:tcBorders>
              <w:top w:val="single" w:color="auto" w:sz="4" w:space="0"/>
              <w:left w:val="single" w:color="auto" w:sz="4" w:space="0"/>
              <w:right w:val="single" w:color="auto" w:sz="4" w:space="0"/>
            </w:tcBorders>
            <w:vAlign w:val="center"/>
          </w:tcPr>
          <w:p w14:paraId="4829C6B9">
            <w:pPr>
              <w:ind w:firstLine="28"/>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2</w:t>
            </w:r>
          </w:p>
        </w:tc>
        <w:tc>
          <w:tcPr>
            <w:tcW w:w="775" w:type="dxa"/>
            <w:tcBorders>
              <w:top w:val="single" w:color="auto" w:sz="4" w:space="0"/>
              <w:left w:val="single" w:color="auto" w:sz="4" w:space="0"/>
              <w:right w:val="single" w:color="auto" w:sz="4" w:space="0"/>
            </w:tcBorders>
            <w:vAlign w:val="center"/>
          </w:tcPr>
          <w:p w14:paraId="1F35AF19">
            <w:pPr>
              <w:ind w:firstLine="28" w:firstLineChars="0"/>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人员</w:t>
            </w:r>
          </w:p>
          <w:p w14:paraId="05B97E94">
            <w:pPr>
              <w:ind w:firstLine="28" w:firstLineChars="0"/>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配置</w:t>
            </w:r>
          </w:p>
        </w:tc>
        <w:tc>
          <w:tcPr>
            <w:tcW w:w="700" w:type="dxa"/>
            <w:tcBorders>
              <w:top w:val="single" w:color="auto" w:sz="4" w:space="0"/>
              <w:left w:val="single" w:color="auto" w:sz="4" w:space="0"/>
              <w:bottom w:val="single" w:color="auto" w:sz="4" w:space="0"/>
              <w:right w:val="single" w:color="auto" w:sz="4" w:space="0"/>
            </w:tcBorders>
            <w:vAlign w:val="center"/>
          </w:tcPr>
          <w:p w14:paraId="38399F4D">
            <w:pPr>
              <w:ind w:firstLine="28" w:firstLineChars="0"/>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17分</w:t>
            </w:r>
          </w:p>
        </w:tc>
        <w:tc>
          <w:tcPr>
            <w:tcW w:w="4737" w:type="dxa"/>
            <w:tcBorders>
              <w:top w:val="single" w:color="auto" w:sz="4" w:space="0"/>
              <w:left w:val="single" w:color="auto" w:sz="4" w:space="0"/>
              <w:bottom w:val="single" w:color="auto" w:sz="4" w:space="0"/>
              <w:right w:val="single" w:color="auto" w:sz="4" w:space="0"/>
            </w:tcBorders>
            <w:vAlign w:val="center"/>
          </w:tcPr>
          <w:p w14:paraId="2496696E">
            <w:pPr>
              <w:numPr>
                <w:ilvl w:val="-1"/>
                <w:numId w:val="0"/>
              </w:numPr>
              <w:spacing w:line="360" w:lineRule="auto"/>
              <w:ind w:firstLine="420" w:firstLineChars="200"/>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1、</w:t>
            </w:r>
            <w:r>
              <w:rPr>
                <w:rFonts w:hint="eastAsia" w:ascii="仿宋" w:hAnsi="仿宋" w:eastAsia="仿宋" w:cs="仿宋"/>
                <w:color w:val="auto"/>
                <w:sz w:val="21"/>
                <w:szCs w:val="21"/>
                <w:lang w:val="en-US" w:eastAsia="zh-CN"/>
              </w:rPr>
              <w:t>配备项目负责人 1 名：配备项目负责人 1 名，同时具备汽车类维修工程师职称，且持有汽车维修工职业技能等级一级（高级技师）证书</w:t>
            </w:r>
            <w:r>
              <w:rPr>
                <w:rFonts w:hint="eastAsia" w:ascii="仿宋" w:hAnsi="仿宋" w:eastAsia="仿宋" w:cs="仿宋"/>
                <w:color w:val="auto"/>
                <w:kern w:val="2"/>
                <w:sz w:val="21"/>
                <w:szCs w:val="21"/>
                <w:lang w:val="en-US" w:eastAsia="zh-CN" w:bidi="ar-SA"/>
              </w:rPr>
              <w:t>得3分，本项最多得3分；</w:t>
            </w:r>
          </w:p>
          <w:p w14:paraId="74DC7006">
            <w:pPr>
              <w:numPr>
                <w:ilvl w:val="-1"/>
                <w:numId w:val="0"/>
              </w:numPr>
              <w:spacing w:line="360" w:lineRule="auto"/>
              <w:ind w:firstLine="420" w:firstLineChars="200"/>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2、</w:t>
            </w:r>
            <w:r>
              <w:rPr>
                <w:rFonts w:hint="eastAsia" w:ascii="仿宋" w:hAnsi="仿宋" w:eastAsia="仿宋" w:cs="仿宋"/>
                <w:color w:val="auto"/>
                <w:sz w:val="21"/>
                <w:szCs w:val="21"/>
              </w:rPr>
              <w:t>配备</w:t>
            </w:r>
            <w:r>
              <w:rPr>
                <w:rFonts w:hint="eastAsia" w:ascii="仿宋" w:hAnsi="仿宋" w:eastAsia="仿宋" w:cs="仿宋"/>
                <w:color w:val="auto"/>
                <w:kern w:val="2"/>
                <w:sz w:val="21"/>
                <w:szCs w:val="21"/>
                <w:lang w:val="en-US" w:eastAsia="zh-CN" w:bidi="ar-SA"/>
              </w:rPr>
              <w:t>2名</w:t>
            </w:r>
            <w:r>
              <w:rPr>
                <w:rFonts w:hint="eastAsia" w:ascii="仿宋" w:hAnsi="仿宋" w:eastAsia="仿宋" w:cs="仿宋"/>
                <w:color w:val="auto"/>
                <w:sz w:val="21"/>
                <w:szCs w:val="21"/>
              </w:rPr>
              <w:t>汽车维修工技师（二级及以上职业技能等级）</w:t>
            </w:r>
            <w:r>
              <w:rPr>
                <w:rFonts w:hint="eastAsia" w:ascii="仿宋" w:hAnsi="仿宋" w:eastAsia="仿宋" w:cs="仿宋"/>
                <w:color w:val="auto"/>
                <w:kern w:val="2"/>
                <w:sz w:val="21"/>
                <w:szCs w:val="21"/>
                <w:lang w:val="en-US" w:eastAsia="zh-CN" w:bidi="ar-SA"/>
              </w:rPr>
              <w:t>，得2分，每增加1名得1分，本项最多得7分；</w:t>
            </w:r>
          </w:p>
          <w:p w14:paraId="27EDF466">
            <w:pPr>
              <w:numPr>
                <w:ilvl w:val="-1"/>
                <w:numId w:val="0"/>
              </w:numPr>
              <w:spacing w:line="360" w:lineRule="auto"/>
              <w:ind w:firstLine="420" w:firstLineChars="200"/>
              <w:jc w:val="left"/>
              <w:rPr>
                <w:rFonts w:hint="eastAsia" w:ascii="仿宋" w:hAnsi="仿宋" w:eastAsia="仿宋" w:cs="仿宋"/>
                <w:color w:val="auto"/>
                <w:sz w:val="21"/>
                <w:szCs w:val="21"/>
              </w:rPr>
            </w:pPr>
            <w:r>
              <w:rPr>
                <w:rFonts w:hint="eastAsia" w:ascii="仿宋" w:hAnsi="仿宋" w:eastAsia="仿宋" w:cs="仿宋"/>
                <w:color w:val="auto"/>
                <w:kern w:val="2"/>
                <w:sz w:val="21"/>
                <w:szCs w:val="21"/>
                <w:lang w:val="en-US" w:eastAsia="zh-CN" w:bidi="ar-SA"/>
              </w:rPr>
              <w:t>3、</w:t>
            </w:r>
            <w:r>
              <w:rPr>
                <w:rFonts w:hint="eastAsia" w:ascii="仿宋" w:hAnsi="仿宋" w:eastAsia="仿宋" w:cs="仿宋"/>
                <w:color w:val="auto"/>
                <w:sz w:val="21"/>
                <w:szCs w:val="21"/>
                <w:lang w:val="en-US" w:eastAsia="zh-CN"/>
              </w:rPr>
              <w:t>配备</w:t>
            </w:r>
            <w:r>
              <w:rPr>
                <w:rFonts w:hint="eastAsia" w:ascii="仿宋" w:hAnsi="仿宋" w:eastAsia="仿宋" w:cs="仿宋"/>
                <w:color w:val="auto"/>
                <w:kern w:val="2"/>
                <w:sz w:val="21"/>
                <w:szCs w:val="21"/>
                <w:lang w:val="en-US" w:eastAsia="zh-CN" w:bidi="ar-SA"/>
              </w:rPr>
              <w:t>2名车维修工高级工（三级职业技能等级）</w:t>
            </w:r>
            <w:r>
              <w:rPr>
                <w:rFonts w:hint="eastAsia" w:ascii="仿宋" w:hAnsi="仿宋" w:eastAsia="仿宋" w:cs="仿宋"/>
                <w:color w:val="auto"/>
                <w:sz w:val="21"/>
                <w:szCs w:val="21"/>
                <w:lang w:val="en-US" w:eastAsia="zh-CN"/>
              </w:rPr>
              <w:t>。</w:t>
            </w:r>
            <w:r>
              <w:rPr>
                <w:rFonts w:hint="eastAsia" w:ascii="仿宋" w:hAnsi="仿宋" w:eastAsia="仿宋" w:cs="仿宋"/>
                <w:color w:val="auto"/>
                <w:kern w:val="2"/>
                <w:sz w:val="21"/>
                <w:szCs w:val="21"/>
                <w:lang w:val="en-US" w:eastAsia="zh-CN" w:bidi="ar-SA"/>
              </w:rPr>
              <w:t>得1分，每增加1名得0.5分，本项最多得7分</w:t>
            </w:r>
          </w:p>
          <w:p w14:paraId="48CAF0AC">
            <w:pPr>
              <w:numPr>
                <w:ilvl w:val="-1"/>
                <w:numId w:val="0"/>
              </w:numPr>
              <w:spacing w:line="360" w:lineRule="auto"/>
              <w:ind w:firstLine="420" w:firstLineChars="200"/>
              <w:jc w:val="left"/>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注：同一人员不得同时计入多个岗位名额。</w:t>
            </w:r>
          </w:p>
        </w:tc>
        <w:tc>
          <w:tcPr>
            <w:tcW w:w="3105" w:type="dxa"/>
            <w:tcBorders>
              <w:top w:val="single" w:color="auto" w:sz="4" w:space="0"/>
              <w:left w:val="single" w:color="auto" w:sz="4" w:space="0"/>
              <w:bottom w:val="single" w:color="auto" w:sz="4" w:space="0"/>
              <w:right w:val="single" w:color="auto" w:sz="4" w:space="0"/>
            </w:tcBorders>
            <w:vAlign w:val="center"/>
          </w:tcPr>
          <w:p w14:paraId="5FABCA24">
            <w:p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1、2、3项均需提供从业人员职业资格证书复印件和在职证明</w:t>
            </w:r>
          </w:p>
        </w:tc>
      </w:tr>
      <w:tr w14:paraId="70B92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88" w:hRule="atLeast"/>
          <w:jc w:val="center"/>
        </w:trPr>
        <w:tc>
          <w:tcPr>
            <w:tcW w:w="482" w:type="dxa"/>
            <w:tcBorders>
              <w:left w:val="single" w:color="auto" w:sz="4" w:space="0"/>
              <w:bottom w:val="single" w:color="auto" w:sz="4" w:space="0"/>
              <w:right w:val="single" w:color="auto" w:sz="4" w:space="0"/>
            </w:tcBorders>
            <w:vAlign w:val="center"/>
          </w:tcPr>
          <w:p w14:paraId="51D69D33">
            <w:pPr>
              <w:ind w:firstLine="28"/>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3</w:t>
            </w:r>
          </w:p>
        </w:tc>
        <w:tc>
          <w:tcPr>
            <w:tcW w:w="775" w:type="dxa"/>
            <w:tcBorders>
              <w:left w:val="single" w:color="auto" w:sz="4" w:space="0"/>
              <w:bottom w:val="single" w:color="auto" w:sz="4" w:space="0"/>
              <w:right w:val="single" w:color="auto" w:sz="4" w:space="0"/>
            </w:tcBorders>
            <w:vAlign w:val="center"/>
          </w:tcPr>
          <w:p w14:paraId="3552EAC4">
            <w:p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服务</w:t>
            </w:r>
          </w:p>
          <w:p w14:paraId="31599D52">
            <w:p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保障</w:t>
            </w:r>
          </w:p>
        </w:tc>
        <w:tc>
          <w:tcPr>
            <w:tcW w:w="700" w:type="dxa"/>
            <w:tcBorders>
              <w:top w:val="single" w:color="auto" w:sz="4" w:space="0"/>
              <w:left w:val="single" w:color="auto" w:sz="4" w:space="0"/>
              <w:bottom w:val="single" w:color="auto" w:sz="4" w:space="0"/>
              <w:right w:val="single" w:color="auto" w:sz="4" w:space="0"/>
            </w:tcBorders>
            <w:vAlign w:val="center"/>
          </w:tcPr>
          <w:p w14:paraId="55F52CED">
            <w:p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20分</w:t>
            </w:r>
          </w:p>
        </w:tc>
        <w:tc>
          <w:tcPr>
            <w:tcW w:w="4737" w:type="dxa"/>
            <w:tcBorders>
              <w:top w:val="single" w:color="auto" w:sz="4" w:space="0"/>
              <w:left w:val="single" w:color="auto" w:sz="4" w:space="0"/>
              <w:bottom w:val="single" w:color="auto" w:sz="4" w:space="0"/>
              <w:right w:val="single" w:color="auto" w:sz="4" w:space="0"/>
            </w:tcBorders>
            <w:vAlign w:val="center"/>
          </w:tcPr>
          <w:p w14:paraId="3F2571FD">
            <w:p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1、维修作业区域：场地面积≥2500平方米得9分；</w:t>
            </w:r>
          </w:p>
          <w:p w14:paraId="6BC23771">
            <w:pPr>
              <w:pStyle w:val="7"/>
              <w:rPr>
                <w:rFonts w:hint="eastAsia" w:ascii="仿宋" w:hAnsi="仿宋" w:eastAsia="仿宋" w:cs="仿宋"/>
                <w:color w:val="auto"/>
                <w:sz w:val="21"/>
                <w:szCs w:val="21"/>
                <w:lang w:val="en-US" w:eastAsia="zh-CN"/>
              </w:rPr>
            </w:pPr>
            <w:r>
              <w:rPr>
                <w:rFonts w:hint="eastAsia" w:ascii="仿宋" w:hAnsi="仿宋" w:eastAsia="仿宋" w:cs="仿宋"/>
                <w:color w:val="auto"/>
                <w:kern w:val="2"/>
                <w:sz w:val="21"/>
                <w:szCs w:val="21"/>
                <w:lang w:val="en-US" w:eastAsia="zh-CN" w:bidi="ar-SA"/>
              </w:rPr>
              <w:t>2、场地配置：</w:t>
            </w:r>
            <w:r>
              <w:rPr>
                <w:rFonts w:hint="eastAsia" w:ascii="仿宋" w:hAnsi="仿宋" w:eastAsia="仿宋" w:cs="仿宋"/>
                <w:color w:val="auto"/>
                <w:sz w:val="21"/>
                <w:szCs w:val="21"/>
              </w:rPr>
              <w:t>升降架≥6个得1分</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lang w:val="en-US" w:eastAsia="zh-CN"/>
              </w:rPr>
              <w:t>最高得1分；</w:t>
            </w:r>
          </w:p>
          <w:p w14:paraId="01C6E60C">
            <w:pPr>
              <w:pStyle w:val="7"/>
              <w:rPr>
                <w:rFonts w:hint="eastAsia" w:ascii="仿宋" w:hAnsi="仿宋" w:eastAsia="仿宋" w:cs="仿宋"/>
                <w:color w:val="auto"/>
                <w:sz w:val="21"/>
                <w:szCs w:val="21"/>
              </w:rPr>
            </w:pPr>
            <w:r>
              <w:rPr>
                <w:rFonts w:hint="eastAsia" w:ascii="仿宋" w:hAnsi="仿宋" w:eastAsia="仿宋" w:cs="仿宋"/>
                <w:color w:val="auto"/>
                <w:sz w:val="21"/>
                <w:szCs w:val="21"/>
              </w:rPr>
              <w:t>具备1条地沟得1分，在此基础上，每多1条加1分</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最高得2分；</w:t>
            </w:r>
          </w:p>
          <w:p w14:paraId="7883D8F7">
            <w:pPr>
              <w:pStyle w:val="7"/>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具有一个烤漆房得1分，</w:t>
            </w:r>
            <w:r>
              <w:rPr>
                <w:rFonts w:hint="eastAsia" w:ascii="仿宋" w:hAnsi="仿宋" w:eastAsia="仿宋" w:cs="仿宋"/>
                <w:color w:val="auto"/>
                <w:sz w:val="21"/>
                <w:szCs w:val="21"/>
              </w:rPr>
              <w:t>在此基础上，</w:t>
            </w:r>
            <w:r>
              <w:rPr>
                <w:rFonts w:hint="eastAsia" w:ascii="仿宋" w:hAnsi="仿宋" w:eastAsia="仿宋" w:cs="仿宋"/>
                <w:color w:val="auto"/>
                <w:sz w:val="21"/>
                <w:szCs w:val="21"/>
                <w:lang w:val="en-US" w:eastAsia="zh-CN"/>
              </w:rPr>
              <w:t>每多一个加1分，</w:t>
            </w:r>
            <w:r>
              <w:rPr>
                <w:rFonts w:hint="eastAsia" w:ascii="仿宋" w:hAnsi="仿宋" w:eastAsia="仿宋" w:cs="仿宋"/>
                <w:color w:val="auto"/>
                <w:sz w:val="21"/>
                <w:szCs w:val="21"/>
              </w:rPr>
              <w:t>最高得2分</w:t>
            </w:r>
            <w:r>
              <w:rPr>
                <w:rFonts w:hint="eastAsia" w:ascii="仿宋" w:hAnsi="仿宋" w:eastAsia="仿宋" w:cs="仿宋"/>
                <w:color w:val="auto"/>
                <w:sz w:val="21"/>
                <w:szCs w:val="21"/>
                <w:lang w:val="en-US" w:eastAsia="zh-CN"/>
              </w:rPr>
              <w:t>；</w:t>
            </w:r>
          </w:p>
          <w:p w14:paraId="5F13CBD8">
            <w:pPr>
              <w:pStyle w:val="7"/>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具有1个</w:t>
            </w:r>
            <w:r>
              <w:rPr>
                <w:rFonts w:hint="eastAsia" w:ascii="仿宋" w:hAnsi="仿宋" w:eastAsia="仿宋" w:cs="仿宋"/>
                <w:color w:val="auto"/>
                <w:kern w:val="2"/>
                <w:sz w:val="21"/>
                <w:szCs w:val="21"/>
                <w:lang w:val="en-US" w:eastAsia="zh-CN" w:bidi="ar-SA"/>
              </w:rPr>
              <w:t>轮胎动平衡检测仪得1分，</w:t>
            </w:r>
            <w:r>
              <w:rPr>
                <w:rFonts w:hint="eastAsia" w:ascii="仿宋" w:hAnsi="仿宋" w:eastAsia="仿宋" w:cs="仿宋"/>
                <w:color w:val="auto"/>
                <w:sz w:val="21"/>
                <w:szCs w:val="21"/>
              </w:rPr>
              <w:t>在此基础上，每多1</w:t>
            </w:r>
            <w:r>
              <w:rPr>
                <w:rFonts w:hint="eastAsia" w:ascii="仿宋" w:hAnsi="仿宋" w:eastAsia="仿宋" w:cs="仿宋"/>
                <w:color w:val="auto"/>
                <w:sz w:val="21"/>
                <w:szCs w:val="21"/>
                <w:lang w:val="en-US" w:eastAsia="zh-CN"/>
              </w:rPr>
              <w:t>个</w:t>
            </w:r>
            <w:r>
              <w:rPr>
                <w:rFonts w:hint="eastAsia" w:ascii="仿宋" w:hAnsi="仿宋" w:eastAsia="仿宋" w:cs="仿宋"/>
                <w:color w:val="auto"/>
                <w:sz w:val="21"/>
                <w:szCs w:val="21"/>
              </w:rPr>
              <w:t>加1分</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最高得2分；</w:t>
            </w:r>
          </w:p>
          <w:p w14:paraId="0FE802EC">
            <w:pPr>
              <w:pStyle w:val="7"/>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具有1个</w:t>
            </w:r>
            <w:r>
              <w:rPr>
                <w:rFonts w:hint="eastAsia" w:ascii="仿宋" w:hAnsi="仿宋" w:eastAsia="仿宋" w:cs="仿宋"/>
                <w:color w:val="auto"/>
                <w:kern w:val="2"/>
                <w:sz w:val="21"/>
                <w:szCs w:val="21"/>
                <w:lang w:val="en-US" w:eastAsia="zh-CN" w:bidi="ar-SA"/>
              </w:rPr>
              <w:t>四轮定位得1分，</w:t>
            </w:r>
            <w:r>
              <w:rPr>
                <w:rFonts w:hint="eastAsia" w:ascii="仿宋" w:hAnsi="仿宋" w:eastAsia="仿宋" w:cs="仿宋"/>
                <w:color w:val="auto"/>
                <w:sz w:val="21"/>
                <w:szCs w:val="21"/>
              </w:rPr>
              <w:t>在此基础上，每多1</w:t>
            </w:r>
            <w:r>
              <w:rPr>
                <w:rFonts w:hint="eastAsia" w:ascii="仿宋" w:hAnsi="仿宋" w:eastAsia="仿宋" w:cs="仿宋"/>
                <w:color w:val="auto"/>
                <w:sz w:val="21"/>
                <w:szCs w:val="21"/>
                <w:lang w:val="en-US" w:eastAsia="zh-CN"/>
              </w:rPr>
              <w:t>个</w:t>
            </w:r>
            <w:r>
              <w:rPr>
                <w:rFonts w:hint="eastAsia" w:ascii="仿宋" w:hAnsi="仿宋" w:eastAsia="仿宋" w:cs="仿宋"/>
                <w:color w:val="auto"/>
                <w:sz w:val="21"/>
                <w:szCs w:val="21"/>
              </w:rPr>
              <w:t>加1分</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最高得2分；</w:t>
            </w:r>
          </w:p>
          <w:p w14:paraId="30E4BFF8">
            <w:pPr>
              <w:pStyle w:val="7"/>
              <w:rPr>
                <w:rFonts w:hint="eastAsia" w:ascii="仿宋" w:hAnsi="仿宋" w:eastAsia="仿宋" w:cs="仿宋"/>
                <w:color w:val="auto"/>
                <w:sz w:val="21"/>
                <w:szCs w:val="21"/>
              </w:rPr>
            </w:pPr>
            <w:r>
              <w:rPr>
                <w:rFonts w:hint="eastAsia" w:ascii="仿宋" w:hAnsi="仿宋" w:eastAsia="仿宋" w:cs="仿宋"/>
                <w:color w:val="auto"/>
                <w:sz w:val="21"/>
                <w:szCs w:val="21"/>
                <w:lang w:val="en-US" w:eastAsia="zh-CN"/>
              </w:rPr>
              <w:t>具有1台电脑检测仪（解码器）</w:t>
            </w:r>
            <w:r>
              <w:rPr>
                <w:rFonts w:hint="eastAsia" w:ascii="仿宋" w:hAnsi="仿宋" w:eastAsia="仿宋" w:cs="仿宋"/>
                <w:color w:val="auto"/>
                <w:kern w:val="2"/>
                <w:sz w:val="21"/>
                <w:szCs w:val="21"/>
                <w:lang w:val="en-US" w:eastAsia="zh-CN" w:bidi="ar-SA"/>
              </w:rPr>
              <w:t>得1分，</w:t>
            </w:r>
            <w:r>
              <w:rPr>
                <w:rFonts w:hint="eastAsia" w:ascii="仿宋" w:hAnsi="仿宋" w:eastAsia="仿宋" w:cs="仿宋"/>
                <w:color w:val="auto"/>
                <w:sz w:val="21"/>
                <w:szCs w:val="21"/>
              </w:rPr>
              <w:t>在此基础上，每多1</w:t>
            </w:r>
            <w:r>
              <w:rPr>
                <w:rFonts w:hint="eastAsia" w:ascii="仿宋" w:hAnsi="仿宋" w:eastAsia="仿宋" w:cs="仿宋"/>
                <w:color w:val="auto"/>
                <w:sz w:val="21"/>
                <w:szCs w:val="21"/>
                <w:lang w:val="en-US" w:eastAsia="zh-CN"/>
              </w:rPr>
              <w:t>个</w:t>
            </w:r>
            <w:r>
              <w:rPr>
                <w:rFonts w:hint="eastAsia" w:ascii="仿宋" w:hAnsi="仿宋" w:eastAsia="仿宋" w:cs="仿宋"/>
                <w:color w:val="auto"/>
                <w:sz w:val="21"/>
                <w:szCs w:val="21"/>
              </w:rPr>
              <w:t>加1分</w:t>
            </w:r>
            <w:r>
              <w:rPr>
                <w:rFonts w:hint="eastAsia" w:ascii="仿宋" w:hAnsi="仿宋" w:eastAsia="仿宋" w:cs="仿宋"/>
                <w:color w:val="auto"/>
                <w:sz w:val="21"/>
                <w:szCs w:val="21"/>
                <w:lang w:eastAsia="zh-CN"/>
              </w:rPr>
              <w:t>，</w:t>
            </w:r>
            <w:r>
              <w:rPr>
                <w:rFonts w:hint="eastAsia" w:ascii="仿宋" w:hAnsi="仿宋" w:eastAsia="仿宋" w:cs="仿宋"/>
                <w:color w:val="auto"/>
                <w:sz w:val="21"/>
                <w:szCs w:val="21"/>
              </w:rPr>
              <w:t>最高得2分；</w:t>
            </w:r>
          </w:p>
          <w:p w14:paraId="219A6CE9">
            <w:pPr>
              <w:jc w:val="left"/>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本项最高得11分。</w:t>
            </w:r>
          </w:p>
          <w:p w14:paraId="124015FF">
            <w:pPr>
              <w:jc w:val="center"/>
              <w:rPr>
                <w:rFonts w:hint="eastAsia" w:ascii="仿宋" w:hAnsi="仿宋" w:eastAsia="仿宋" w:cs="仿宋"/>
                <w:color w:val="auto"/>
                <w:kern w:val="2"/>
                <w:sz w:val="21"/>
                <w:szCs w:val="21"/>
                <w:lang w:val="en-US" w:eastAsia="zh-CN" w:bidi="ar-SA"/>
              </w:rPr>
            </w:pPr>
          </w:p>
        </w:tc>
        <w:tc>
          <w:tcPr>
            <w:tcW w:w="3105" w:type="dxa"/>
            <w:tcBorders>
              <w:top w:val="single" w:color="auto" w:sz="4" w:space="0"/>
              <w:left w:val="single" w:color="auto" w:sz="4" w:space="0"/>
              <w:bottom w:val="single" w:color="auto" w:sz="4" w:space="0"/>
              <w:right w:val="single" w:color="auto" w:sz="4" w:space="0"/>
            </w:tcBorders>
            <w:vAlign w:val="center"/>
          </w:tcPr>
          <w:p w14:paraId="7A2338D4">
            <w:pPr>
              <w:numPr>
                <w:ilvl w:val="0"/>
                <w:numId w:val="0"/>
              </w:num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1、需提供经营场地产权证明或租赁合同复印件及作业区域布局图片；</w:t>
            </w:r>
          </w:p>
          <w:p w14:paraId="35B42728">
            <w:pPr>
              <w:numPr>
                <w:ilvl w:val="0"/>
                <w:numId w:val="0"/>
              </w:num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2、需提供设备现场图片；</w:t>
            </w:r>
          </w:p>
        </w:tc>
      </w:tr>
      <w:tr w14:paraId="0C0FC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7" w:hRule="atLeast"/>
          <w:jc w:val="center"/>
        </w:trPr>
        <w:tc>
          <w:tcPr>
            <w:tcW w:w="482" w:type="dxa"/>
            <w:tcBorders>
              <w:left w:val="single" w:color="auto" w:sz="4" w:space="0"/>
              <w:bottom w:val="single" w:color="auto" w:sz="4" w:space="0"/>
              <w:right w:val="single" w:color="auto" w:sz="4" w:space="0"/>
            </w:tcBorders>
            <w:vAlign w:val="center"/>
          </w:tcPr>
          <w:p w14:paraId="0995E29E">
            <w:pPr>
              <w:ind w:firstLine="28"/>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4</w:t>
            </w:r>
          </w:p>
        </w:tc>
        <w:tc>
          <w:tcPr>
            <w:tcW w:w="775" w:type="dxa"/>
            <w:tcBorders>
              <w:left w:val="single" w:color="auto" w:sz="4" w:space="0"/>
              <w:bottom w:val="single" w:color="auto" w:sz="4" w:space="0"/>
              <w:right w:val="single" w:color="auto" w:sz="4" w:space="0"/>
            </w:tcBorders>
            <w:vAlign w:val="center"/>
          </w:tcPr>
          <w:p w14:paraId="56238DC1">
            <w:p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维修服务计划</w:t>
            </w:r>
          </w:p>
        </w:tc>
        <w:tc>
          <w:tcPr>
            <w:tcW w:w="700" w:type="dxa"/>
            <w:tcBorders>
              <w:top w:val="single" w:color="auto" w:sz="4" w:space="0"/>
              <w:left w:val="single" w:color="auto" w:sz="4" w:space="0"/>
              <w:bottom w:val="single" w:color="auto" w:sz="4" w:space="0"/>
              <w:right w:val="single" w:color="auto" w:sz="4" w:space="0"/>
            </w:tcBorders>
            <w:vAlign w:val="center"/>
          </w:tcPr>
          <w:p w14:paraId="2D021475">
            <w:p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2分</w:t>
            </w:r>
          </w:p>
        </w:tc>
        <w:tc>
          <w:tcPr>
            <w:tcW w:w="4737" w:type="dxa"/>
            <w:tcBorders>
              <w:top w:val="single" w:color="auto" w:sz="4" w:space="0"/>
              <w:left w:val="single" w:color="auto" w:sz="4" w:space="0"/>
              <w:bottom w:val="single" w:color="auto" w:sz="4" w:space="0"/>
              <w:right w:val="single" w:color="auto" w:sz="4" w:space="0"/>
            </w:tcBorders>
            <w:vAlign w:val="center"/>
          </w:tcPr>
          <w:p w14:paraId="4035CE7E">
            <w:p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rPr>
              <w:t>提供车辆维修服务计划（包含接受维修委托时、维修时、维修完成后的服务措施）</w:t>
            </w:r>
            <w:r>
              <w:rPr>
                <w:rFonts w:hint="eastAsia" w:ascii="仿宋" w:hAnsi="仿宋" w:eastAsia="仿宋" w:cs="仿宋"/>
                <w:color w:val="auto"/>
                <w:kern w:val="2"/>
                <w:sz w:val="21"/>
                <w:szCs w:val="21"/>
                <w:lang w:val="en-US" w:eastAsia="zh-CN" w:bidi="ar-SA"/>
              </w:rPr>
              <w:t>得2分</w:t>
            </w:r>
          </w:p>
        </w:tc>
        <w:tc>
          <w:tcPr>
            <w:tcW w:w="3105" w:type="dxa"/>
            <w:tcBorders>
              <w:top w:val="single" w:color="auto" w:sz="4" w:space="0"/>
              <w:left w:val="single" w:color="auto" w:sz="4" w:space="0"/>
              <w:bottom w:val="single" w:color="auto" w:sz="4" w:space="0"/>
              <w:right w:val="single" w:color="auto" w:sz="4" w:space="0"/>
            </w:tcBorders>
            <w:vAlign w:val="center"/>
          </w:tcPr>
          <w:p w14:paraId="429C9513">
            <w:p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提供具体的服务计划措施</w:t>
            </w:r>
          </w:p>
        </w:tc>
      </w:tr>
      <w:tr w14:paraId="2E4B3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3" w:hRule="atLeast"/>
          <w:jc w:val="center"/>
        </w:trPr>
        <w:tc>
          <w:tcPr>
            <w:tcW w:w="482" w:type="dxa"/>
            <w:tcBorders>
              <w:top w:val="single" w:color="auto" w:sz="4" w:space="0"/>
              <w:left w:val="single" w:color="auto" w:sz="4" w:space="0"/>
              <w:bottom w:val="single" w:color="auto" w:sz="4" w:space="0"/>
              <w:right w:val="single" w:color="auto" w:sz="4" w:space="0"/>
            </w:tcBorders>
            <w:vAlign w:val="center"/>
          </w:tcPr>
          <w:p w14:paraId="34068008">
            <w:pPr>
              <w:ind w:firstLine="28"/>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5</w:t>
            </w:r>
          </w:p>
        </w:tc>
        <w:tc>
          <w:tcPr>
            <w:tcW w:w="775" w:type="dxa"/>
            <w:tcBorders>
              <w:top w:val="single" w:color="auto" w:sz="4" w:space="0"/>
              <w:left w:val="single" w:color="auto" w:sz="4" w:space="0"/>
              <w:bottom w:val="single" w:color="auto" w:sz="4" w:space="0"/>
              <w:right w:val="single" w:color="auto" w:sz="4" w:space="0"/>
            </w:tcBorders>
            <w:vAlign w:val="center"/>
          </w:tcPr>
          <w:p w14:paraId="3576319C">
            <w:p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应急</w:t>
            </w:r>
          </w:p>
          <w:p w14:paraId="7511F8AF">
            <w:p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保障</w:t>
            </w:r>
          </w:p>
        </w:tc>
        <w:tc>
          <w:tcPr>
            <w:tcW w:w="700" w:type="dxa"/>
            <w:tcBorders>
              <w:top w:val="single" w:color="auto" w:sz="4" w:space="0"/>
              <w:left w:val="single" w:color="auto" w:sz="4" w:space="0"/>
              <w:bottom w:val="single" w:color="auto" w:sz="4" w:space="0"/>
              <w:right w:val="single" w:color="auto" w:sz="4" w:space="0"/>
            </w:tcBorders>
            <w:vAlign w:val="center"/>
          </w:tcPr>
          <w:p w14:paraId="20434C77">
            <w:pPr>
              <w:jc w:val="center"/>
              <w:rPr>
                <w:rFonts w:hint="eastAsia" w:ascii="仿宋" w:hAnsi="仿宋" w:eastAsia="仿宋" w:cs="仿宋"/>
                <w:b w:val="0"/>
                <w:color w:val="auto"/>
                <w:kern w:val="2"/>
                <w:sz w:val="21"/>
                <w:szCs w:val="21"/>
                <w:lang w:val="en-US" w:eastAsia="zh-CN" w:bidi="ar-SA"/>
              </w:rPr>
            </w:pPr>
            <w:r>
              <w:rPr>
                <w:rFonts w:hint="eastAsia" w:ascii="仿宋" w:hAnsi="仿宋" w:eastAsia="仿宋" w:cs="仿宋"/>
                <w:b w:val="0"/>
                <w:color w:val="auto"/>
                <w:kern w:val="2"/>
                <w:sz w:val="21"/>
                <w:szCs w:val="21"/>
                <w:lang w:val="en-US" w:eastAsia="zh-CN" w:bidi="ar-SA"/>
              </w:rPr>
              <w:t>10分</w:t>
            </w:r>
          </w:p>
        </w:tc>
        <w:tc>
          <w:tcPr>
            <w:tcW w:w="4737" w:type="dxa"/>
            <w:tcBorders>
              <w:top w:val="single" w:color="auto" w:sz="4" w:space="0"/>
              <w:left w:val="single" w:color="auto" w:sz="4" w:space="0"/>
              <w:bottom w:val="single" w:color="auto" w:sz="4" w:space="0"/>
              <w:right w:val="single" w:color="auto" w:sz="4" w:space="0"/>
            </w:tcBorders>
            <w:vAlign w:val="center"/>
          </w:tcPr>
          <w:p w14:paraId="15C14F97">
            <w:pPr>
              <w:numPr>
                <w:ilvl w:val="0"/>
                <w:numId w:val="0"/>
              </w:numPr>
              <w:jc w:val="center"/>
              <w:rPr>
                <w:rFonts w:hint="eastAsia" w:ascii="仿宋" w:hAnsi="仿宋" w:eastAsia="仿宋" w:cs="仿宋"/>
                <w:b w:val="0"/>
                <w:color w:val="auto"/>
                <w:kern w:val="2"/>
                <w:sz w:val="21"/>
                <w:szCs w:val="21"/>
                <w:lang w:val="en-US" w:eastAsia="zh-CN" w:bidi="ar-SA"/>
              </w:rPr>
            </w:pPr>
            <w:r>
              <w:rPr>
                <w:rFonts w:hint="eastAsia" w:ascii="仿宋" w:hAnsi="仿宋" w:eastAsia="仿宋" w:cs="仿宋"/>
                <w:b w:val="0"/>
                <w:color w:val="auto"/>
                <w:kern w:val="2"/>
                <w:sz w:val="21"/>
                <w:szCs w:val="21"/>
                <w:lang w:val="en-US" w:eastAsia="zh-CN" w:bidi="ar-SA"/>
              </w:rPr>
              <w:t>1、有专用应急保障作业车辆（拖车、具有随车维修工具及设备的服务保障车、客户替换车)有一辆得１分，本项最多得８分</w:t>
            </w:r>
          </w:p>
          <w:p w14:paraId="6A2ACC69">
            <w:pPr>
              <w:pStyle w:val="4"/>
              <w:numPr>
                <w:ilvl w:val="0"/>
                <w:numId w:val="0"/>
              </w:numPr>
              <w:jc w:val="center"/>
              <w:rPr>
                <w:rFonts w:hint="eastAsia" w:ascii="仿宋" w:hAnsi="仿宋" w:eastAsia="仿宋" w:cs="仿宋"/>
                <w:color w:val="auto"/>
                <w:sz w:val="21"/>
                <w:szCs w:val="21"/>
                <w:lang w:val="en-US" w:eastAsia="zh-CN"/>
              </w:rPr>
            </w:pPr>
            <w:r>
              <w:rPr>
                <w:rFonts w:hint="eastAsia" w:ascii="仿宋" w:hAnsi="仿宋" w:eastAsia="仿宋" w:cs="仿宋"/>
                <w:b w:val="0"/>
                <w:color w:val="auto"/>
                <w:kern w:val="2"/>
                <w:sz w:val="21"/>
                <w:szCs w:val="21"/>
                <w:lang w:val="en-US" w:eastAsia="zh-CN" w:bidi="ar-SA"/>
              </w:rPr>
              <w:t>2、供应商承诺为采购人执行卫生应急救援（包含演练）任务时随行提供车辆维修保障服务（服务期内预计2次），随行配备应急维修保障车辆和团队，接到采购人通知后24小时内需随行出发。得2分</w:t>
            </w:r>
          </w:p>
        </w:tc>
        <w:tc>
          <w:tcPr>
            <w:tcW w:w="3105" w:type="dxa"/>
            <w:tcBorders>
              <w:top w:val="single" w:color="auto" w:sz="4" w:space="0"/>
              <w:left w:val="single" w:color="auto" w:sz="4" w:space="0"/>
              <w:bottom w:val="single" w:color="auto" w:sz="4" w:space="0"/>
              <w:right w:val="single" w:color="auto" w:sz="4" w:space="0"/>
            </w:tcBorders>
            <w:vAlign w:val="center"/>
          </w:tcPr>
          <w:p w14:paraId="5BA9565F">
            <w:p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1、需提供行驶证复印件、车辆设施设备照片；</w:t>
            </w:r>
          </w:p>
          <w:p w14:paraId="242B7A60">
            <w:pPr>
              <w:pStyle w:val="4"/>
              <w:numPr>
                <w:ilvl w:val="0"/>
                <w:numId w:val="0"/>
              </w:numPr>
              <w:jc w:val="both"/>
              <w:rPr>
                <w:rFonts w:hint="eastAsia" w:ascii="仿宋" w:hAnsi="仿宋" w:eastAsia="仿宋" w:cs="仿宋"/>
                <w:color w:val="auto"/>
                <w:sz w:val="21"/>
                <w:szCs w:val="21"/>
                <w:lang w:val="en-US" w:eastAsia="zh-CN"/>
              </w:rPr>
            </w:pPr>
            <w:r>
              <w:rPr>
                <w:rFonts w:hint="eastAsia" w:ascii="仿宋" w:hAnsi="仿宋" w:eastAsia="仿宋" w:cs="仿宋"/>
                <w:b w:val="0"/>
                <w:color w:val="auto"/>
                <w:kern w:val="2"/>
                <w:sz w:val="21"/>
                <w:szCs w:val="21"/>
                <w:lang w:val="en-US" w:eastAsia="zh-CN" w:bidi="ar-SA"/>
              </w:rPr>
              <w:t>2、需提供承诺书</w:t>
            </w:r>
          </w:p>
        </w:tc>
      </w:tr>
      <w:tr w14:paraId="64B4C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6" w:hRule="atLeast"/>
          <w:jc w:val="center"/>
        </w:trPr>
        <w:tc>
          <w:tcPr>
            <w:tcW w:w="482" w:type="dxa"/>
            <w:tcBorders>
              <w:top w:val="single" w:color="auto" w:sz="4" w:space="0"/>
              <w:left w:val="single" w:color="auto" w:sz="4" w:space="0"/>
              <w:bottom w:val="single" w:color="auto" w:sz="4" w:space="0"/>
              <w:right w:val="single" w:color="auto" w:sz="4" w:space="0"/>
            </w:tcBorders>
            <w:vAlign w:val="center"/>
          </w:tcPr>
          <w:p w14:paraId="524309B0">
            <w:pPr>
              <w:ind w:firstLine="28"/>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6</w:t>
            </w:r>
          </w:p>
        </w:tc>
        <w:tc>
          <w:tcPr>
            <w:tcW w:w="775" w:type="dxa"/>
            <w:tcBorders>
              <w:top w:val="single" w:color="auto" w:sz="4" w:space="0"/>
              <w:left w:val="single" w:color="auto" w:sz="4" w:space="0"/>
              <w:bottom w:val="single" w:color="auto" w:sz="4" w:space="0"/>
              <w:right w:val="single" w:color="auto" w:sz="4" w:space="0"/>
            </w:tcBorders>
            <w:vAlign w:val="center"/>
          </w:tcPr>
          <w:p w14:paraId="2477107B">
            <w:p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维修质量管理</w:t>
            </w:r>
          </w:p>
        </w:tc>
        <w:tc>
          <w:tcPr>
            <w:tcW w:w="700" w:type="dxa"/>
            <w:tcBorders>
              <w:top w:val="single" w:color="auto" w:sz="4" w:space="0"/>
              <w:left w:val="single" w:color="auto" w:sz="4" w:space="0"/>
              <w:bottom w:val="single" w:color="auto" w:sz="4" w:space="0"/>
              <w:right w:val="single" w:color="auto" w:sz="4" w:space="0"/>
            </w:tcBorders>
            <w:vAlign w:val="center"/>
          </w:tcPr>
          <w:p w14:paraId="451E10F2">
            <w:p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4分</w:t>
            </w:r>
          </w:p>
        </w:tc>
        <w:tc>
          <w:tcPr>
            <w:tcW w:w="4737" w:type="dxa"/>
            <w:tcBorders>
              <w:top w:val="single" w:color="auto" w:sz="4" w:space="0"/>
              <w:left w:val="single" w:color="auto" w:sz="4" w:space="0"/>
              <w:bottom w:val="single" w:color="auto" w:sz="4" w:space="0"/>
              <w:right w:val="single" w:color="auto" w:sz="4" w:space="0"/>
            </w:tcBorders>
            <w:vAlign w:val="center"/>
          </w:tcPr>
          <w:p w14:paraId="7B7C0371">
            <w:p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有车辆维修质量管理制度、维修质量的保障措施、维修车辆档案的建立制度、维修检测设备的保养制度，每具备1项得1分，本项最多得4分</w:t>
            </w:r>
          </w:p>
        </w:tc>
        <w:tc>
          <w:tcPr>
            <w:tcW w:w="3105" w:type="dxa"/>
            <w:tcBorders>
              <w:top w:val="single" w:color="auto" w:sz="4" w:space="0"/>
              <w:left w:val="single" w:color="auto" w:sz="4" w:space="0"/>
              <w:bottom w:val="single" w:color="auto" w:sz="4" w:space="0"/>
              <w:right w:val="single" w:color="auto" w:sz="4" w:space="0"/>
            </w:tcBorders>
            <w:shd w:val="clear" w:color="auto" w:fill="auto"/>
            <w:vAlign w:val="center"/>
          </w:tcPr>
          <w:p w14:paraId="0706BFAC">
            <w:pPr>
              <w:jc w:val="both"/>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提供承诺函</w:t>
            </w:r>
          </w:p>
        </w:tc>
      </w:tr>
      <w:tr w14:paraId="4E020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1" w:hRule="atLeast"/>
          <w:jc w:val="center"/>
        </w:trPr>
        <w:tc>
          <w:tcPr>
            <w:tcW w:w="482" w:type="dxa"/>
            <w:tcBorders>
              <w:top w:val="single" w:color="auto" w:sz="4" w:space="0"/>
              <w:left w:val="single" w:color="auto" w:sz="4" w:space="0"/>
              <w:bottom w:val="single" w:color="auto" w:sz="4" w:space="0"/>
              <w:right w:val="single" w:color="auto" w:sz="4" w:space="0"/>
            </w:tcBorders>
            <w:vAlign w:val="center"/>
          </w:tcPr>
          <w:p w14:paraId="6675F704">
            <w:pPr>
              <w:ind w:firstLine="28"/>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7</w:t>
            </w:r>
          </w:p>
        </w:tc>
        <w:tc>
          <w:tcPr>
            <w:tcW w:w="775" w:type="dxa"/>
            <w:tcBorders>
              <w:top w:val="single" w:color="auto" w:sz="4" w:space="0"/>
              <w:left w:val="single" w:color="auto" w:sz="4" w:space="0"/>
              <w:bottom w:val="single" w:color="auto" w:sz="4" w:space="0"/>
              <w:right w:val="single" w:color="auto" w:sz="4" w:space="0"/>
            </w:tcBorders>
            <w:vAlign w:val="center"/>
          </w:tcPr>
          <w:p w14:paraId="3D014FA2">
            <w:p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汽车排放污染治理</w:t>
            </w:r>
          </w:p>
        </w:tc>
        <w:tc>
          <w:tcPr>
            <w:tcW w:w="700" w:type="dxa"/>
            <w:tcBorders>
              <w:top w:val="single" w:color="auto" w:sz="4" w:space="0"/>
              <w:left w:val="single" w:color="auto" w:sz="4" w:space="0"/>
              <w:bottom w:val="single" w:color="auto" w:sz="4" w:space="0"/>
              <w:right w:val="single" w:color="auto" w:sz="4" w:space="0"/>
            </w:tcBorders>
            <w:vAlign w:val="center"/>
          </w:tcPr>
          <w:p w14:paraId="4841E70A">
            <w:p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12分</w:t>
            </w:r>
          </w:p>
        </w:tc>
        <w:tc>
          <w:tcPr>
            <w:tcW w:w="4737" w:type="dxa"/>
            <w:tcBorders>
              <w:top w:val="single" w:color="auto" w:sz="4" w:space="0"/>
              <w:left w:val="single" w:color="auto" w:sz="4" w:space="0"/>
              <w:bottom w:val="single" w:color="auto" w:sz="4" w:space="0"/>
              <w:right w:val="single" w:color="auto" w:sz="4" w:space="0"/>
            </w:tcBorders>
            <w:vAlign w:val="center"/>
          </w:tcPr>
          <w:p w14:paraId="0057C506">
            <w:p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具备汽车尾气维修治理资格，能对汽油车及柴油车进行汽车尾气治理得12分</w:t>
            </w:r>
          </w:p>
        </w:tc>
        <w:tc>
          <w:tcPr>
            <w:tcW w:w="3105" w:type="dxa"/>
            <w:tcBorders>
              <w:top w:val="single" w:color="auto" w:sz="4" w:space="0"/>
              <w:left w:val="single" w:color="auto" w:sz="4" w:space="0"/>
              <w:bottom w:val="single" w:color="auto" w:sz="4" w:space="0"/>
              <w:right w:val="single" w:color="auto" w:sz="4" w:space="0"/>
            </w:tcBorders>
            <w:vAlign w:val="center"/>
          </w:tcPr>
          <w:p w14:paraId="23E66173">
            <w:p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需提供“尾气维修公众号”尾气治理维修企业查询截图、汽车排放污染维修治理站授权牌。</w:t>
            </w:r>
          </w:p>
        </w:tc>
      </w:tr>
      <w:tr w14:paraId="5DE2B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42" w:hRule="atLeast"/>
          <w:jc w:val="center"/>
        </w:trPr>
        <w:tc>
          <w:tcPr>
            <w:tcW w:w="482" w:type="dxa"/>
            <w:tcBorders>
              <w:top w:val="single" w:color="auto" w:sz="4" w:space="0"/>
              <w:left w:val="single" w:color="auto" w:sz="4" w:space="0"/>
              <w:bottom w:val="single" w:color="auto" w:sz="4" w:space="0"/>
              <w:right w:val="single" w:color="auto" w:sz="4" w:space="0"/>
            </w:tcBorders>
            <w:vAlign w:val="center"/>
          </w:tcPr>
          <w:p w14:paraId="0C27BF05">
            <w:pPr>
              <w:ind w:firstLine="28"/>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8</w:t>
            </w:r>
          </w:p>
        </w:tc>
        <w:tc>
          <w:tcPr>
            <w:tcW w:w="775" w:type="dxa"/>
            <w:tcBorders>
              <w:top w:val="single" w:color="auto" w:sz="4" w:space="0"/>
              <w:left w:val="single" w:color="auto" w:sz="4" w:space="0"/>
              <w:bottom w:val="single" w:color="auto" w:sz="4" w:space="0"/>
              <w:right w:val="single" w:color="auto" w:sz="4" w:space="0"/>
            </w:tcBorders>
            <w:vAlign w:val="center"/>
          </w:tcPr>
          <w:p w14:paraId="6532F8CC">
            <w:p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资质</w:t>
            </w:r>
          </w:p>
        </w:tc>
        <w:tc>
          <w:tcPr>
            <w:tcW w:w="700" w:type="dxa"/>
            <w:tcBorders>
              <w:top w:val="single" w:color="auto" w:sz="4" w:space="0"/>
              <w:left w:val="single" w:color="auto" w:sz="4" w:space="0"/>
              <w:bottom w:val="single" w:color="auto" w:sz="4" w:space="0"/>
              <w:right w:val="single" w:color="auto" w:sz="4" w:space="0"/>
            </w:tcBorders>
            <w:vAlign w:val="center"/>
          </w:tcPr>
          <w:p w14:paraId="5C7FA8AB">
            <w:p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12分</w:t>
            </w:r>
          </w:p>
        </w:tc>
        <w:tc>
          <w:tcPr>
            <w:tcW w:w="4737" w:type="dxa"/>
            <w:tcBorders>
              <w:top w:val="single" w:color="auto" w:sz="4" w:space="0"/>
              <w:left w:val="single" w:color="auto" w:sz="4" w:space="0"/>
              <w:bottom w:val="single" w:color="auto" w:sz="4" w:space="0"/>
              <w:right w:val="single" w:color="auto" w:sz="4" w:space="0"/>
            </w:tcBorders>
            <w:vAlign w:val="center"/>
          </w:tcPr>
          <w:p w14:paraId="17850A38">
            <w:p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具备一类汽车维修企业资质得12分</w:t>
            </w:r>
          </w:p>
        </w:tc>
        <w:tc>
          <w:tcPr>
            <w:tcW w:w="3105" w:type="dxa"/>
            <w:tcBorders>
              <w:top w:val="single" w:color="auto" w:sz="4" w:space="0"/>
              <w:left w:val="single" w:color="auto" w:sz="4" w:space="0"/>
              <w:bottom w:val="single" w:color="auto" w:sz="4" w:space="0"/>
              <w:right w:val="single" w:color="auto" w:sz="4" w:space="0"/>
            </w:tcBorders>
            <w:vAlign w:val="center"/>
          </w:tcPr>
          <w:p w14:paraId="693A57EF">
            <w:p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提供交通运输主管部门出具的有效的机动车维修经营备案表复印件或机动车维修经营备案证明材料复印件或道路运输经营许可证复印件。</w:t>
            </w:r>
          </w:p>
        </w:tc>
      </w:tr>
      <w:tr w14:paraId="78CCF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1" w:hRule="atLeast"/>
          <w:jc w:val="center"/>
        </w:trPr>
        <w:tc>
          <w:tcPr>
            <w:tcW w:w="482" w:type="dxa"/>
            <w:tcBorders>
              <w:top w:val="single" w:color="auto" w:sz="4" w:space="0"/>
              <w:left w:val="single" w:color="auto" w:sz="4" w:space="0"/>
              <w:bottom w:val="single" w:color="auto" w:sz="4" w:space="0"/>
              <w:right w:val="single" w:color="auto" w:sz="4" w:space="0"/>
            </w:tcBorders>
            <w:vAlign w:val="center"/>
          </w:tcPr>
          <w:p w14:paraId="044B7799">
            <w:pPr>
              <w:ind w:firstLine="28"/>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9</w:t>
            </w:r>
          </w:p>
        </w:tc>
        <w:tc>
          <w:tcPr>
            <w:tcW w:w="775" w:type="dxa"/>
            <w:tcBorders>
              <w:top w:val="single" w:color="auto" w:sz="4" w:space="0"/>
              <w:left w:val="single" w:color="auto" w:sz="4" w:space="0"/>
              <w:bottom w:val="single" w:color="auto" w:sz="4" w:space="0"/>
              <w:right w:val="single" w:color="auto" w:sz="4" w:space="0"/>
            </w:tcBorders>
            <w:vAlign w:val="center"/>
          </w:tcPr>
          <w:p w14:paraId="2E071262">
            <w:p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安全、文明生产措施</w:t>
            </w:r>
          </w:p>
        </w:tc>
        <w:tc>
          <w:tcPr>
            <w:tcW w:w="700" w:type="dxa"/>
            <w:tcBorders>
              <w:top w:val="single" w:color="auto" w:sz="4" w:space="0"/>
              <w:left w:val="single" w:color="auto" w:sz="4" w:space="0"/>
              <w:bottom w:val="single" w:color="auto" w:sz="4" w:space="0"/>
              <w:right w:val="single" w:color="auto" w:sz="4" w:space="0"/>
            </w:tcBorders>
            <w:vAlign w:val="center"/>
          </w:tcPr>
          <w:p w14:paraId="4628ACB7">
            <w:p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2分</w:t>
            </w:r>
          </w:p>
        </w:tc>
        <w:tc>
          <w:tcPr>
            <w:tcW w:w="4737" w:type="dxa"/>
            <w:tcBorders>
              <w:top w:val="single" w:color="auto" w:sz="4" w:space="0"/>
              <w:left w:val="single" w:color="auto" w:sz="4" w:space="0"/>
              <w:bottom w:val="single" w:color="auto" w:sz="4" w:space="0"/>
              <w:right w:val="single" w:color="auto" w:sz="4" w:space="0"/>
            </w:tcBorders>
            <w:vAlign w:val="center"/>
          </w:tcPr>
          <w:p w14:paraId="51B1A842">
            <w:p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具有作业区域安全、文明生产措施得2分</w:t>
            </w:r>
          </w:p>
        </w:tc>
        <w:tc>
          <w:tcPr>
            <w:tcW w:w="3105" w:type="dxa"/>
            <w:tcBorders>
              <w:top w:val="single" w:color="auto" w:sz="4" w:space="0"/>
              <w:left w:val="single" w:color="auto" w:sz="4" w:space="0"/>
              <w:bottom w:val="single" w:color="auto" w:sz="4" w:space="0"/>
              <w:right w:val="single" w:color="auto" w:sz="4" w:space="0"/>
            </w:tcBorders>
            <w:vAlign w:val="center"/>
          </w:tcPr>
          <w:p w14:paraId="64C9EBE0">
            <w:p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提供具体措施</w:t>
            </w:r>
          </w:p>
        </w:tc>
      </w:tr>
      <w:tr w14:paraId="47E8A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1" w:hRule="atLeast"/>
          <w:jc w:val="center"/>
        </w:trPr>
        <w:tc>
          <w:tcPr>
            <w:tcW w:w="482" w:type="dxa"/>
            <w:tcBorders>
              <w:top w:val="single" w:color="auto" w:sz="4" w:space="0"/>
              <w:left w:val="single" w:color="auto" w:sz="4" w:space="0"/>
              <w:bottom w:val="single" w:color="auto" w:sz="4" w:space="0"/>
              <w:right w:val="single" w:color="auto" w:sz="4" w:space="0"/>
            </w:tcBorders>
            <w:vAlign w:val="center"/>
          </w:tcPr>
          <w:p w14:paraId="70F33CDA">
            <w:pPr>
              <w:ind w:firstLine="28"/>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10</w:t>
            </w:r>
          </w:p>
        </w:tc>
        <w:tc>
          <w:tcPr>
            <w:tcW w:w="775" w:type="dxa"/>
            <w:tcBorders>
              <w:top w:val="single" w:color="auto" w:sz="4" w:space="0"/>
              <w:left w:val="single" w:color="auto" w:sz="4" w:space="0"/>
              <w:bottom w:val="single" w:color="auto" w:sz="4" w:space="0"/>
              <w:right w:val="single" w:color="auto" w:sz="4" w:space="0"/>
            </w:tcBorders>
            <w:vAlign w:val="center"/>
          </w:tcPr>
          <w:p w14:paraId="4F619B99">
            <w:p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sz w:val="21"/>
                <w:szCs w:val="21"/>
                <w:lang w:val="en-US" w:eastAsia="zh-CN"/>
              </w:rPr>
              <w:t>内部管理</w:t>
            </w:r>
          </w:p>
        </w:tc>
        <w:tc>
          <w:tcPr>
            <w:tcW w:w="700" w:type="dxa"/>
            <w:tcBorders>
              <w:top w:val="single" w:color="auto" w:sz="4" w:space="0"/>
              <w:left w:val="single" w:color="auto" w:sz="4" w:space="0"/>
              <w:bottom w:val="single" w:color="auto" w:sz="4" w:space="0"/>
              <w:right w:val="single" w:color="auto" w:sz="4" w:space="0"/>
            </w:tcBorders>
            <w:vAlign w:val="center"/>
          </w:tcPr>
          <w:p w14:paraId="47BB337C">
            <w:p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1分</w:t>
            </w:r>
          </w:p>
        </w:tc>
        <w:tc>
          <w:tcPr>
            <w:tcW w:w="4737" w:type="dxa"/>
            <w:tcBorders>
              <w:top w:val="single" w:color="auto" w:sz="4" w:space="0"/>
              <w:left w:val="single" w:color="auto" w:sz="4" w:space="0"/>
              <w:bottom w:val="single" w:color="auto" w:sz="4" w:space="0"/>
              <w:right w:val="single" w:color="auto" w:sz="4" w:space="0"/>
            </w:tcBorders>
            <w:vAlign w:val="center"/>
          </w:tcPr>
          <w:p w14:paraId="3DF6BBA1">
            <w:p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具有车辆维修管理系统的1分</w:t>
            </w:r>
          </w:p>
        </w:tc>
        <w:tc>
          <w:tcPr>
            <w:tcW w:w="3105" w:type="dxa"/>
            <w:tcBorders>
              <w:top w:val="single" w:color="auto" w:sz="4" w:space="0"/>
              <w:left w:val="single" w:color="auto" w:sz="4" w:space="0"/>
              <w:bottom w:val="single" w:color="auto" w:sz="4" w:space="0"/>
              <w:right w:val="single" w:color="auto" w:sz="4" w:space="0"/>
            </w:tcBorders>
            <w:vAlign w:val="center"/>
          </w:tcPr>
          <w:p w14:paraId="3036F2DA">
            <w:pPr>
              <w:jc w:val="center"/>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提供系统截图说明</w:t>
            </w:r>
          </w:p>
        </w:tc>
      </w:tr>
    </w:tbl>
    <w:p w14:paraId="320A839F">
      <w:pPr>
        <w:rPr>
          <w:rFonts w:ascii="Times New Roman" w:hAnsi="Times New Roman" w:cs="Times New Roman"/>
        </w:rPr>
      </w:pPr>
      <w:r>
        <w:rPr>
          <w:rFonts w:ascii="Times New Roman" w:hAnsi="Times New Roman" w:cs="Times New Roman"/>
        </w:rPr>
        <w:br w:type="page"/>
      </w:r>
    </w:p>
    <w:p w14:paraId="58682A99">
      <w:pPr>
        <w:pStyle w:val="3"/>
        <w:rPr>
          <w:rFonts w:ascii="Times New Roman" w:hAnsi="Times New Roman" w:cs="Times New Roman"/>
        </w:rPr>
      </w:pPr>
      <w:bookmarkStart w:id="21" w:name="_Toc3094"/>
      <w:bookmarkStart w:id="22" w:name="_Toc28171"/>
      <w:bookmarkStart w:id="23" w:name="_Toc22827"/>
      <w:r>
        <w:rPr>
          <w:rFonts w:ascii="Times New Roman" w:hAnsi="Times New Roman" w:cs="Times New Roman"/>
        </w:rPr>
        <w:t>响应文件格式</w:t>
      </w:r>
      <w:bookmarkEnd w:id="21"/>
      <w:bookmarkEnd w:id="22"/>
      <w:bookmarkEnd w:id="23"/>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4" w:name="_Toc5913"/>
      <w:bookmarkStart w:id="25" w:name="_Toc29819"/>
      <w:bookmarkStart w:id="26" w:name="_Toc4960"/>
      <w:r>
        <w:rPr>
          <w:rFonts w:ascii="Times New Roman" w:hAnsi="Times New Roman" w:eastAsia="仿宋" w:cs="Times New Roman"/>
          <w:sz w:val="28"/>
          <w:szCs w:val="24"/>
        </w:rPr>
        <w:t>（响应文件封面）</w:t>
      </w:r>
      <w:bookmarkEnd w:id="24"/>
      <w:bookmarkEnd w:id="25"/>
      <w:bookmarkEnd w:id="26"/>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7" w:name="_Toc9428"/>
      <w:bookmarkStart w:id="28" w:name="_Toc30609"/>
      <w:bookmarkStart w:id="29" w:name="_Toc19851"/>
      <w:r>
        <w:rPr>
          <w:rFonts w:ascii="Times New Roman" w:hAnsi="Times New Roman" w:eastAsia="仿宋" w:cs="Times New Roman"/>
          <w:sz w:val="24"/>
          <w:szCs w:val="24"/>
        </w:rPr>
        <w:t>项目名称：</w:t>
      </w:r>
      <w:bookmarkEnd w:id="27"/>
      <w:bookmarkEnd w:id="28"/>
      <w:bookmarkEnd w:id="29"/>
    </w:p>
    <w:p w14:paraId="6056BEE9">
      <w:pPr>
        <w:jc w:val="left"/>
        <w:rPr>
          <w:rFonts w:ascii="Times New Roman" w:hAnsi="Times New Roman" w:eastAsia="仿宋" w:cs="Times New Roman"/>
          <w:sz w:val="24"/>
          <w:szCs w:val="24"/>
        </w:rPr>
      </w:pPr>
      <w:bookmarkStart w:id="30" w:name="_Toc32352"/>
      <w:bookmarkStart w:id="31" w:name="_Toc1544"/>
      <w:bookmarkStart w:id="32" w:name="_Toc9041"/>
      <w:r>
        <w:rPr>
          <w:rFonts w:ascii="Times New Roman" w:hAnsi="Times New Roman" w:eastAsia="仿宋" w:cs="Times New Roman"/>
          <w:sz w:val="24"/>
          <w:szCs w:val="24"/>
        </w:rPr>
        <w:t>项目编号：</w:t>
      </w:r>
      <w:bookmarkEnd w:id="30"/>
      <w:bookmarkEnd w:id="31"/>
      <w:bookmarkEnd w:id="32"/>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3" w:name="_Toc21472"/>
      <w:bookmarkStart w:id="34" w:name="_Toc24097"/>
    </w:p>
    <w:bookmarkEnd w:id="33"/>
    <w:bookmarkEnd w:id="34"/>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5" w:name="_Toc1690"/>
      <w:bookmarkStart w:id="36" w:name="_Toc24859"/>
      <w:bookmarkStart w:id="37" w:name="_Toc32749"/>
      <w:bookmarkStart w:id="38" w:name="_Toc17163"/>
      <w:r>
        <w:rPr>
          <w:rFonts w:ascii="Times New Roman" w:hAnsi="Times New Roman" w:eastAsia="仿宋" w:cs="Times New Roman"/>
          <w:sz w:val="28"/>
          <w:szCs w:val="24"/>
        </w:rPr>
        <w:t>供应商名称（公章）：</w:t>
      </w:r>
      <w:bookmarkEnd w:id="35"/>
      <w:bookmarkEnd w:id="36"/>
      <w:bookmarkEnd w:id="37"/>
      <w:bookmarkEnd w:id="38"/>
    </w:p>
    <w:p w14:paraId="7286C9BE">
      <w:pPr>
        <w:jc w:val="left"/>
        <w:rPr>
          <w:rFonts w:ascii="Times New Roman" w:hAnsi="Times New Roman" w:eastAsia="仿宋" w:cs="Times New Roman"/>
          <w:sz w:val="28"/>
          <w:szCs w:val="24"/>
        </w:rPr>
      </w:pPr>
      <w:bookmarkStart w:id="39" w:name="_Toc17905"/>
      <w:bookmarkStart w:id="40" w:name="_Toc3558"/>
      <w:bookmarkStart w:id="41" w:name="_Toc24123"/>
      <w:bookmarkStart w:id="42" w:name="_Toc6803"/>
      <w:r>
        <w:rPr>
          <w:rFonts w:ascii="Times New Roman" w:hAnsi="Times New Roman" w:eastAsia="仿宋" w:cs="Times New Roman"/>
          <w:sz w:val="28"/>
          <w:szCs w:val="24"/>
        </w:rPr>
        <w:t>法定代表人或授权代理人（签字）：</w:t>
      </w:r>
      <w:bookmarkEnd w:id="39"/>
      <w:bookmarkEnd w:id="40"/>
      <w:bookmarkEnd w:id="41"/>
      <w:bookmarkEnd w:id="42"/>
    </w:p>
    <w:p w14:paraId="37F68485">
      <w:pPr>
        <w:jc w:val="left"/>
        <w:rPr>
          <w:rFonts w:ascii="Times New Roman" w:hAnsi="Times New Roman" w:eastAsia="仿宋" w:cs="Times New Roman"/>
          <w:sz w:val="28"/>
          <w:szCs w:val="24"/>
        </w:rPr>
      </w:pPr>
      <w:bookmarkStart w:id="43" w:name="_Toc27135"/>
      <w:bookmarkStart w:id="44" w:name="_Toc27526"/>
      <w:bookmarkStart w:id="45" w:name="_Toc2989"/>
      <w:bookmarkStart w:id="46" w:name="_Toc5996"/>
      <w:r>
        <w:rPr>
          <w:rFonts w:ascii="Times New Roman" w:hAnsi="Times New Roman" w:eastAsia="仿宋" w:cs="Times New Roman"/>
          <w:sz w:val="28"/>
          <w:szCs w:val="24"/>
        </w:rPr>
        <w:t>联系方式（移动电话）：</w:t>
      </w:r>
      <w:bookmarkEnd w:id="43"/>
      <w:bookmarkEnd w:id="44"/>
      <w:bookmarkEnd w:id="45"/>
      <w:bookmarkEnd w:id="46"/>
    </w:p>
    <w:p w14:paraId="0746BDF5">
      <w:pPr>
        <w:jc w:val="left"/>
        <w:rPr>
          <w:rFonts w:ascii="Times New Roman" w:hAnsi="Times New Roman" w:eastAsia="仿宋" w:cs="Times New Roman"/>
          <w:sz w:val="28"/>
          <w:szCs w:val="24"/>
        </w:rPr>
      </w:pPr>
      <w:bookmarkStart w:id="47" w:name="_Toc2031"/>
      <w:bookmarkStart w:id="48" w:name="_Toc7233"/>
      <w:bookmarkStart w:id="49" w:name="_Toc5056"/>
      <w:bookmarkStart w:id="50" w:name="_Toc19987"/>
      <w:r>
        <w:rPr>
          <w:rFonts w:ascii="Times New Roman" w:hAnsi="Times New Roman" w:eastAsia="仿宋" w:cs="Times New Roman"/>
          <w:sz w:val="28"/>
          <w:szCs w:val="24"/>
        </w:rPr>
        <w:t>日期：     年    月     日</w:t>
      </w:r>
      <w:bookmarkEnd w:id="47"/>
      <w:bookmarkEnd w:id="48"/>
      <w:bookmarkEnd w:id="49"/>
      <w:bookmarkEnd w:id="50"/>
    </w:p>
    <w:p w14:paraId="3FF21919">
      <w:pPr>
        <w:jc w:val="center"/>
        <w:rPr>
          <w:rFonts w:ascii="Times New Roman" w:hAnsi="Times New Roman" w:eastAsia="仿宋" w:cs="Times New Roman"/>
          <w:sz w:val="32"/>
          <w:szCs w:val="40"/>
        </w:rPr>
      </w:pPr>
      <w:bookmarkStart w:id="51" w:name="_Toc21519"/>
      <w:bookmarkStart w:id="52" w:name="_Toc16029"/>
      <w:bookmarkStart w:id="53" w:name="_Toc14829"/>
      <w:bookmarkStart w:id="54" w:name="_Toc6482"/>
      <w:bookmarkStart w:id="55" w:name="_Toc3023"/>
      <w:bookmarkStart w:id="56" w:name="_Toc11352"/>
    </w:p>
    <w:p w14:paraId="45B9BDA8">
      <w:pPr>
        <w:rPr>
          <w:rStyle w:val="31"/>
          <w:rFonts w:ascii="Times New Roman" w:hAnsi="Times New Roman" w:eastAsia="仿宋" w:cs="Times New Roman"/>
          <w:b/>
          <w:bCs/>
          <w:sz w:val="32"/>
          <w:szCs w:val="28"/>
        </w:rPr>
      </w:pPr>
      <w:r>
        <w:rPr>
          <w:rStyle w:val="31"/>
          <w:rFonts w:ascii="Times New Roman" w:hAnsi="Times New Roman" w:eastAsia="仿宋" w:cs="Times New Roman"/>
          <w:b/>
          <w:bCs/>
          <w:sz w:val="32"/>
          <w:szCs w:val="28"/>
        </w:rPr>
        <w:br w:type="page"/>
      </w:r>
    </w:p>
    <w:p w14:paraId="01ADAD40">
      <w:pPr>
        <w:pStyle w:val="4"/>
        <w:ind w:firstLine="0"/>
      </w:pPr>
      <w:r>
        <w:t>承诺函</w:t>
      </w:r>
      <w:bookmarkEnd w:id="51"/>
      <w:bookmarkEnd w:id="52"/>
      <w:bookmarkEnd w:id="53"/>
      <w:bookmarkEnd w:id="54"/>
      <w:bookmarkEnd w:id="55"/>
      <w:bookmarkEnd w:id="56"/>
    </w:p>
    <w:p w14:paraId="7EDC3435">
      <w:pPr>
        <w:pStyle w:val="2"/>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2"/>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7" w:name="_Toc4305"/>
      <w:bookmarkStart w:id="58" w:name="_Toc31838"/>
      <w:bookmarkStart w:id="59" w:name="_Toc22676"/>
      <w:bookmarkStart w:id="60" w:name="_Toc17857"/>
      <w:bookmarkStart w:id="61" w:name="_Toc30971"/>
      <w:r>
        <w:rPr>
          <w:rFonts w:ascii="Times New Roman" w:hAnsi="Times New Roman" w:cs="Times New Roman"/>
        </w:rPr>
        <w:br w:type="page"/>
      </w:r>
    </w:p>
    <w:p w14:paraId="23ED41BF">
      <w:pPr>
        <w:pStyle w:val="4"/>
        <w:ind w:firstLine="0"/>
      </w:pPr>
      <w:r>
        <w:t>具有独立承担民事责任的能力</w:t>
      </w:r>
      <w:bookmarkEnd w:id="57"/>
      <w:bookmarkEnd w:id="58"/>
      <w:bookmarkEnd w:id="59"/>
      <w:bookmarkEnd w:id="60"/>
      <w:bookmarkEnd w:id="61"/>
    </w:p>
    <w:p w14:paraId="5FFFF51B">
      <w:pPr>
        <w:pStyle w:val="2"/>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4"/>
        <w:ind w:firstLine="0"/>
        <w:rPr>
          <w:rStyle w:val="31"/>
          <w:szCs w:val="28"/>
        </w:rPr>
      </w:pPr>
      <w:r>
        <w:rPr>
          <w:bCs/>
        </w:rPr>
        <w:br w:type="page"/>
      </w:r>
      <w:bookmarkStart w:id="62" w:name="_Toc27186"/>
      <w:bookmarkStart w:id="63" w:name="_Toc15613"/>
      <w:bookmarkStart w:id="64"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2"/>
      <w:bookmarkEnd w:id="63"/>
      <w:bookmarkStart w:id="65" w:name="_Toc13904"/>
      <w:bookmarkStart w:id="66" w:name="_Toc25357"/>
      <w:bookmarkStart w:id="67" w:name="_Toc13706"/>
    </w:p>
    <w:p w14:paraId="6BE6D0D2">
      <w:pPr>
        <w:pStyle w:val="4"/>
        <w:ind w:firstLine="0"/>
        <w:rPr>
          <w:szCs w:val="32"/>
        </w:rPr>
      </w:pPr>
      <w:bookmarkStart w:id="68" w:name="_Toc23146"/>
      <w:bookmarkStart w:id="69" w:name="_Toc15508"/>
      <w:r>
        <w:t>本项目其他资格条件提供的证明材料</w:t>
      </w:r>
      <w:bookmarkEnd w:id="64"/>
      <w:bookmarkEnd w:id="65"/>
      <w:bookmarkEnd w:id="66"/>
      <w:bookmarkEnd w:id="67"/>
      <w:bookmarkEnd w:id="68"/>
      <w:bookmarkEnd w:id="69"/>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30"/>
        <w:ind w:left="420" w:leftChars="200"/>
        <w:jc w:val="both"/>
        <w:rPr>
          <w:rFonts w:ascii="Times New Roman" w:hAnsi="Times New Roman" w:eastAsia="仿宋" w:cs="Times New Roman"/>
          <w:color w:val="auto"/>
        </w:rPr>
      </w:pPr>
    </w:p>
    <w:p w14:paraId="15610D65">
      <w:pPr>
        <w:pStyle w:val="30"/>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4"/>
        <w:ind w:firstLine="0"/>
        <w:rPr>
          <w:szCs w:val="32"/>
        </w:rPr>
      </w:pPr>
      <w:r>
        <w:rPr>
          <w:szCs w:val="32"/>
        </w:rPr>
        <w:br w:type="page"/>
      </w:r>
      <w:bookmarkStart w:id="70" w:name="_Toc27661"/>
      <w:bookmarkStart w:id="71" w:name="_Toc20589"/>
      <w:bookmarkStart w:id="72" w:name="_Toc25638"/>
      <w:bookmarkStart w:id="73" w:name="_Toc12015"/>
      <w:bookmarkStart w:id="74" w:name="_Toc15526"/>
      <w:bookmarkStart w:id="75" w:name="_Toc11351"/>
      <w:r>
        <w:rPr>
          <w:rStyle w:val="39"/>
          <w:b/>
        </w:rPr>
        <w:t>法定代表人身份证明书</w:t>
      </w:r>
      <w:bookmarkEnd w:id="70"/>
      <w:bookmarkEnd w:id="71"/>
      <w:bookmarkEnd w:id="72"/>
      <w:bookmarkEnd w:id="73"/>
      <w:bookmarkEnd w:id="74"/>
      <w:bookmarkEnd w:id="75"/>
    </w:p>
    <w:p w14:paraId="3A3BA539">
      <w:pPr>
        <w:pStyle w:val="30"/>
        <w:jc w:val="center"/>
        <w:rPr>
          <w:rFonts w:ascii="Times New Roman" w:hAnsi="Times New Roman" w:eastAsia="仿宋" w:cs="Times New Roman"/>
          <w:color w:val="auto"/>
        </w:rPr>
      </w:pPr>
    </w:p>
    <w:p w14:paraId="1D3E4E35">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30"/>
        <w:jc w:val="center"/>
        <w:rPr>
          <w:rFonts w:ascii="Times New Roman" w:hAnsi="Times New Roman" w:eastAsia="仿宋" w:cs="Times New Roman"/>
          <w:color w:val="auto"/>
        </w:rPr>
      </w:pPr>
    </w:p>
    <w:p w14:paraId="296D8A83">
      <w:pPr>
        <w:pStyle w:val="30"/>
        <w:jc w:val="center"/>
        <w:rPr>
          <w:rFonts w:ascii="Times New Roman" w:hAnsi="Times New Roman" w:eastAsia="仿宋" w:cs="Times New Roman"/>
          <w:color w:val="auto"/>
        </w:rPr>
      </w:pPr>
    </w:p>
    <w:p w14:paraId="6A679389">
      <w:pPr>
        <w:pStyle w:val="30"/>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30"/>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30"/>
        <w:jc w:val="both"/>
        <w:rPr>
          <w:rFonts w:ascii="Times New Roman" w:hAnsi="Times New Roman" w:eastAsia="仿宋" w:cs="Times New Roman"/>
          <w:color w:val="auto"/>
        </w:rPr>
      </w:pPr>
    </w:p>
    <w:p w14:paraId="1381E3FD">
      <w:pPr>
        <w:pStyle w:val="30"/>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30"/>
        <w:jc w:val="center"/>
        <w:rPr>
          <w:rFonts w:ascii="Times New Roman" w:hAnsi="Times New Roman" w:eastAsia="仿宋" w:cs="Times New Roman"/>
          <w:color w:val="auto"/>
        </w:rPr>
      </w:pPr>
    </w:p>
    <w:p w14:paraId="2EEFDF95">
      <w:pPr>
        <w:pStyle w:val="30"/>
        <w:jc w:val="center"/>
        <w:rPr>
          <w:rFonts w:ascii="Times New Roman" w:hAnsi="Times New Roman" w:eastAsia="仿宋" w:cs="Times New Roman"/>
          <w:color w:val="auto"/>
        </w:rPr>
      </w:pPr>
    </w:p>
    <w:p w14:paraId="4361194A">
      <w:pPr>
        <w:pStyle w:val="30"/>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30"/>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30"/>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30"/>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30"/>
        <w:jc w:val="both"/>
        <w:rPr>
          <w:rFonts w:ascii="Times New Roman" w:hAnsi="Times New Roman" w:eastAsia="仿宋" w:cs="Times New Roman"/>
          <w:color w:val="auto"/>
          <w:sz w:val="32"/>
          <w:szCs w:val="32"/>
        </w:rPr>
      </w:pPr>
    </w:p>
    <w:p w14:paraId="6EE83E0D">
      <w:pPr>
        <w:pStyle w:val="30"/>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1"/>
          <w:rFonts w:ascii="Times New Roman" w:hAnsi="Times New Roman" w:eastAsia="仿宋" w:cs="Times New Roman"/>
          <w:b/>
          <w:bCs/>
          <w:color w:val="auto"/>
          <w:kern w:val="2"/>
          <w:sz w:val="32"/>
          <w:szCs w:val="28"/>
        </w:rPr>
        <w:t>法定代表人授权委托书</w:t>
      </w:r>
    </w:p>
    <w:p w14:paraId="5EA16FDB">
      <w:pPr>
        <w:pStyle w:val="30"/>
        <w:jc w:val="center"/>
        <w:rPr>
          <w:rFonts w:ascii="Times New Roman" w:hAnsi="Times New Roman" w:eastAsia="仿宋" w:cs="Times New Roman"/>
          <w:b/>
          <w:bCs/>
          <w:color w:val="auto"/>
        </w:rPr>
      </w:pPr>
    </w:p>
    <w:p w14:paraId="724D1D6A">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30"/>
        <w:jc w:val="center"/>
        <w:rPr>
          <w:rFonts w:ascii="Times New Roman" w:hAnsi="Times New Roman" w:eastAsia="仿宋" w:cs="Times New Roman"/>
          <w:color w:val="auto"/>
        </w:rPr>
      </w:pPr>
    </w:p>
    <w:p w14:paraId="0E12D7B3">
      <w:pPr>
        <w:pStyle w:val="2"/>
        <w:snapToGrid w:val="0"/>
        <w:spacing w:after="0" w:line="500" w:lineRule="exact"/>
        <w:ind w:firstLine="480" w:firstLineChars="200"/>
        <w:rPr>
          <w:rFonts w:ascii="Times New Roman" w:hAnsi="Times New Roman" w:eastAsia="仿宋" w:cs="Times New Roman"/>
          <w:sz w:val="24"/>
        </w:rPr>
      </w:pPr>
    </w:p>
    <w:p w14:paraId="03E9978B">
      <w:pPr>
        <w:pStyle w:val="2"/>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2"/>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2"/>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4"/>
        <w:ind w:firstLine="0"/>
        <w:rPr>
          <w:szCs w:val="32"/>
        </w:rPr>
      </w:pPr>
      <w:r>
        <w:rPr>
          <w:szCs w:val="32"/>
        </w:rPr>
        <w:br w:type="page"/>
      </w:r>
      <w:bookmarkStart w:id="76" w:name="_Toc16435"/>
      <w:bookmarkStart w:id="77" w:name="_Toc26969"/>
      <w:bookmarkStart w:id="78" w:name="_Toc23967"/>
      <w:bookmarkStart w:id="79" w:name="_Toc1074"/>
      <w:bookmarkStart w:id="80" w:name="_Toc2041"/>
      <w:bookmarkStart w:id="81" w:name="_Toc12967"/>
      <w:r>
        <w:rPr>
          <w:rStyle w:val="39"/>
          <w:b/>
        </w:rPr>
        <w:t>采购需求偏离表</w:t>
      </w:r>
      <w:bookmarkEnd w:id="76"/>
      <w:bookmarkEnd w:id="77"/>
      <w:bookmarkEnd w:id="78"/>
      <w:bookmarkEnd w:id="79"/>
      <w:bookmarkEnd w:id="80"/>
      <w:bookmarkEnd w:id="81"/>
    </w:p>
    <w:p w14:paraId="3FB92ECD">
      <w:pPr>
        <w:pStyle w:val="2"/>
        <w:spacing w:line="300" w:lineRule="atLeast"/>
        <w:rPr>
          <w:rFonts w:ascii="Times New Roman" w:hAnsi="Times New Roman" w:eastAsia="仿宋" w:cs="Times New Roman"/>
          <w:kern w:val="0"/>
          <w:sz w:val="24"/>
          <w:lang w:val="zh-TW" w:eastAsia="zh-TW"/>
        </w:rPr>
      </w:pPr>
    </w:p>
    <w:tbl>
      <w:tblPr>
        <w:tblStyle w:val="17"/>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5"/>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30"/>
        <w:jc w:val="center"/>
        <w:rPr>
          <w:rFonts w:ascii="Times New Roman" w:hAnsi="Times New Roman" w:eastAsia="仿宋" w:cs="Times New Roman"/>
          <w:color w:val="auto"/>
          <w:sz w:val="32"/>
          <w:szCs w:val="32"/>
        </w:rPr>
      </w:pPr>
    </w:p>
    <w:p w14:paraId="106364EF">
      <w:pPr>
        <w:pStyle w:val="4"/>
        <w:ind w:firstLine="0"/>
        <w:rPr>
          <w:bCs/>
          <w:szCs w:val="32"/>
        </w:rPr>
      </w:pPr>
      <w:r>
        <w:rPr>
          <w:szCs w:val="32"/>
        </w:rPr>
        <w:br w:type="page"/>
      </w:r>
      <w:bookmarkStart w:id="82" w:name="_Toc28634"/>
      <w:bookmarkStart w:id="83" w:name="_Toc26839"/>
      <w:bookmarkStart w:id="84" w:name="_Toc24806"/>
      <w:bookmarkStart w:id="85" w:name="_Toc1369"/>
      <w:bookmarkStart w:id="86" w:name="_Toc31686"/>
      <w:bookmarkStart w:id="87" w:name="_Toc21082"/>
      <w:r>
        <w:rPr>
          <w:rStyle w:val="39"/>
          <w:b/>
        </w:rPr>
        <w:t>评分需要提供的证明材料</w:t>
      </w:r>
      <w:bookmarkEnd w:id="82"/>
      <w:bookmarkEnd w:id="83"/>
      <w:bookmarkEnd w:id="84"/>
      <w:bookmarkEnd w:id="85"/>
      <w:bookmarkEnd w:id="86"/>
      <w:bookmarkEnd w:id="87"/>
    </w:p>
    <w:p w14:paraId="5023EAE2">
      <w:pPr>
        <w:pStyle w:val="30"/>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30"/>
        <w:jc w:val="center"/>
        <w:rPr>
          <w:rFonts w:ascii="Times New Roman" w:hAnsi="Times New Roman" w:eastAsia="仿宋" w:cs="Times New Roman"/>
          <w:b/>
          <w:bCs/>
          <w:color w:val="auto"/>
        </w:rPr>
      </w:pPr>
    </w:p>
    <w:p w14:paraId="6F53CF36">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7D414F6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D8F8412">
      <w:pPr>
        <w:rPr>
          <w:rFonts w:ascii="Times New Roman" w:hAnsi="Times New Roman" w:eastAsia="仿宋" w:cs="Times New Roman"/>
          <w:sz w:val="24"/>
          <w:szCs w:val="24"/>
        </w:rPr>
      </w:pPr>
    </w:p>
    <w:p w14:paraId="15CA912A">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172FBDF2">
      <w:pPr>
        <w:rPr>
          <w:rFonts w:ascii="Times New Roman" w:hAnsi="Times New Roman" w:eastAsia="仿宋" w:cs="Times New Roman"/>
          <w:sz w:val="24"/>
          <w:szCs w:val="24"/>
        </w:rPr>
      </w:pPr>
      <w:r>
        <w:rPr>
          <w:rFonts w:ascii="Times New Roman" w:hAnsi="Times New Roman" w:eastAsia="仿宋" w:cs="Times New Roman"/>
          <w:sz w:val="24"/>
          <w:szCs w:val="24"/>
        </w:rPr>
        <w:t>(......)</w:t>
      </w:r>
    </w:p>
    <w:p w14:paraId="1D969D8C">
      <w:pPr>
        <w:rPr>
          <w:rFonts w:ascii="Times New Roman" w:hAnsi="Times New Roman" w:eastAsia="仿宋" w:cs="Times New Roman"/>
          <w:sz w:val="24"/>
          <w:szCs w:val="24"/>
        </w:rPr>
      </w:pPr>
    </w:p>
    <w:p w14:paraId="3626B2EA">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05AA978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7C8495D8">
      <w:pPr>
        <w:spacing w:line="700" w:lineRule="exact"/>
        <w:jc w:val="center"/>
        <w:rPr>
          <w:rStyle w:val="31"/>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8" w:name="_Toc3871"/>
      <w:bookmarkStart w:id="89" w:name="_Toc32605"/>
      <w:bookmarkStart w:id="90" w:name="_Toc24494"/>
    </w:p>
    <w:p w14:paraId="05758452">
      <w:pPr>
        <w:pStyle w:val="4"/>
        <w:ind w:firstLine="0"/>
      </w:pPr>
      <w:bookmarkStart w:id="91" w:name="_Toc15065"/>
      <w:r>
        <w:t>报价单</w:t>
      </w:r>
      <w:bookmarkEnd w:id="91"/>
    </w:p>
    <w:p w14:paraId="3FB70709">
      <w:pPr>
        <w:jc w:val="left"/>
        <w:rPr>
          <w:rFonts w:hint="eastAsia" w:ascii="Times New Roman" w:hAnsi="Times New Roman" w:eastAsia="仿宋" w:cs="Times New Roman"/>
          <w:b/>
          <w:bCs/>
          <w:sz w:val="24"/>
          <w:szCs w:val="24"/>
          <w:u w:val="single"/>
          <w:lang w:eastAsia="zh-CN"/>
        </w:rPr>
      </w:pPr>
      <w:bookmarkStart w:id="92" w:name="_Toc14685"/>
      <w:bookmarkStart w:id="93" w:name="_Toc30002"/>
      <w:bookmarkStart w:id="94" w:name="_Toc29032"/>
      <w:r>
        <w:rPr>
          <w:rFonts w:hint="eastAsia" w:ascii="Times New Roman" w:hAnsi="Times New Roman" w:eastAsia="仿宋" w:cs="Times New Roman"/>
          <w:b/>
          <w:bCs/>
          <w:sz w:val="24"/>
          <w:szCs w:val="24"/>
          <w:lang w:val="en-US" w:eastAsia="zh-CN"/>
        </w:rPr>
        <w:t>本项目不涉及。</w:t>
      </w:r>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4"/>
        <w:ind w:firstLine="0"/>
      </w:pPr>
      <w:r>
        <w:t>供应商认为需要提供的其他材料</w:t>
      </w:r>
      <w:bookmarkEnd w:id="88"/>
      <w:bookmarkEnd w:id="89"/>
      <w:bookmarkEnd w:id="90"/>
      <w:bookmarkEnd w:id="92"/>
      <w:bookmarkEnd w:id="93"/>
      <w:bookmarkEnd w:id="94"/>
    </w:p>
    <w:p w14:paraId="0B7EBBB4">
      <w:pPr>
        <w:pStyle w:val="2"/>
        <w:jc w:val="center"/>
        <w:rPr>
          <w:rFonts w:ascii="Times New Roman" w:hAnsi="Times New Roman" w:eastAsia="仿宋" w:cs="Times New Roman"/>
        </w:rPr>
      </w:pPr>
    </w:p>
    <w:p w14:paraId="17F3ACE1">
      <w:pPr>
        <w:pStyle w:val="2"/>
        <w:jc w:val="center"/>
        <w:rPr>
          <w:rFonts w:ascii="Times New Roman" w:hAnsi="Times New Roman" w:eastAsia="仿宋" w:cs="Times New Roman"/>
        </w:rPr>
      </w:pPr>
    </w:p>
    <w:p w14:paraId="7A3BE7F6">
      <w:pPr>
        <w:pStyle w:val="2"/>
        <w:jc w:val="center"/>
        <w:rPr>
          <w:rFonts w:ascii="Times New Roman" w:hAnsi="Times New Roman" w:eastAsia="仿宋" w:cs="Times New Roman"/>
        </w:rPr>
      </w:pPr>
    </w:p>
    <w:p w14:paraId="673EB95B">
      <w:pPr>
        <w:pStyle w:val="2"/>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5" w:name="_Toc5447"/>
      <w:bookmarkStart w:id="96" w:name="_Toc20691"/>
      <w:r>
        <w:rPr>
          <w:rFonts w:ascii="Times New Roman" w:hAnsi="Times New Roman" w:eastAsia="黑体" w:cs="Times New Roman"/>
          <w:b/>
          <w:sz w:val="36"/>
          <w:szCs w:val="32"/>
        </w:rPr>
        <w:br w:type="page"/>
      </w:r>
    </w:p>
    <w:p w14:paraId="4D4BD9B4">
      <w:pPr>
        <w:pStyle w:val="3"/>
        <w:rPr>
          <w:rFonts w:ascii="Times New Roman" w:hAnsi="Times New Roman" w:cs="Times New Roman"/>
        </w:rPr>
      </w:pPr>
      <w:bookmarkStart w:id="97" w:name="_Toc10625"/>
      <w:r>
        <w:rPr>
          <w:rFonts w:ascii="Times New Roman" w:hAnsi="Times New Roman" w:cs="Times New Roman"/>
        </w:rPr>
        <w:t>合同条款（仅成交后使用）</w:t>
      </w:r>
      <w:bookmarkEnd w:id="95"/>
      <w:bookmarkEnd w:id="96"/>
      <w:bookmarkEnd w:id="97"/>
    </w:p>
    <w:p w14:paraId="71EB9D4A">
      <w:pPr>
        <w:pStyle w:val="2"/>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w:t>
      </w:r>
      <w:r>
        <w:rPr>
          <w:rFonts w:hint="eastAsia" w:ascii="Times New Roman" w:hAnsi="Times New Roman" w:eastAsia="仿宋" w:cs="Times New Roman"/>
          <w:b/>
          <w:lang w:eastAsia="zh-CN"/>
        </w:rPr>
        <w:t>谈判文件</w:t>
      </w:r>
      <w:r>
        <w:rPr>
          <w:rFonts w:ascii="Times New Roman" w:hAnsi="Times New Roman" w:eastAsia="仿宋" w:cs="Times New Roman"/>
          <w:b/>
        </w:rPr>
        <w:t>要约及响应文件承诺的实质性内容</w:t>
      </w:r>
      <w:r>
        <w:rPr>
          <w:rFonts w:ascii="Times New Roman" w:hAnsi="Times New Roman" w:eastAsia="仿宋" w:cs="Times New Roman"/>
          <w:b/>
          <w:bCs/>
        </w:rPr>
        <w:t>）</w:t>
      </w:r>
    </w:p>
    <w:p w14:paraId="57B74785">
      <w:pPr>
        <w:pStyle w:val="25"/>
        <w:rPr>
          <w:rFonts w:hint="default" w:ascii="Times New Roman" w:hAnsi="Times New Roman" w:eastAsia="宋体"/>
          <w:lang w:val="en-US" w:eastAsia="zh-CN"/>
        </w:rPr>
      </w:pPr>
      <w:bookmarkStart w:id="98" w:name="_GoBack"/>
      <w:bookmarkEnd w:id="98"/>
    </w:p>
    <w:sectPr>
      <w:headerReference r:id="rId7" w:type="default"/>
      <w:footerReference r:id="rId8"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486CED0-1CC0-4BDF-9433-97D535EC3F72}"/>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2D2403A7-9293-4830-9767-732706C12B0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87D7A7A7-7E1D-4143-8CC4-8FBBDC83E7B1}"/>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0F4638AE-F29E-4175-9A04-62101079C097}"/>
  </w:font>
  <w:font w:name="Segoe UI Symbol">
    <w:panose1 w:val="020B0502040204020203"/>
    <w:charset w:val="00"/>
    <w:family w:val="swiss"/>
    <w:pitch w:val="default"/>
    <w:sig w:usb0="800001E3" w:usb1="1200FFEF" w:usb2="00040000" w:usb3="04000000" w:csb0="00000001" w:csb1="40000000"/>
    <w:embedRegular r:id="rId5" w:fontKey="{239894BE-4831-4974-9AA1-EB8611813354}"/>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D27BD">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2F88ED">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92F88ED">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02E777">
                          <w:pPr>
                            <w:pStyle w:val="11"/>
                            <w:rPr>
                              <w:b/>
                              <w:bCs/>
                            </w:rPr>
                          </w:pPr>
                          <w:r>
                            <w:rPr>
                              <w:b/>
                              <w:bCs/>
                            </w:rPr>
                            <w:t xml:space="preserve">第 </w:t>
                          </w:r>
                          <w:r>
                            <w:rPr>
                              <w:b/>
                              <w:bCs/>
                            </w:rPr>
                            <w:fldChar w:fldCharType="begin"/>
                          </w:r>
                          <w:r>
                            <w:rPr>
                              <w:b/>
                              <w:bCs/>
                            </w:rPr>
                            <w:instrText xml:space="preserve"> PAGE  \* MERGEFORMAT </w:instrText>
                          </w:r>
                          <w:r>
                            <w:rPr>
                              <w:b/>
                              <w:bCs/>
                            </w:rPr>
                            <w:fldChar w:fldCharType="separate"/>
                          </w:r>
                          <w:r>
                            <w:rPr>
                              <w:b/>
                              <w:bCs/>
                            </w:rPr>
                            <w:t>1</w:t>
                          </w:r>
                          <w:r>
                            <w:rPr>
                              <w:b/>
                              <w:bCs/>
                            </w:rPr>
                            <w:fldChar w:fldCharType="end"/>
                          </w:r>
                          <w:r>
                            <w:rPr>
                              <w:b/>
                              <w:bCs/>
                            </w:rPr>
                            <w:t xml:space="preserve"> 页 共 </w:t>
                          </w:r>
                          <w:r>
                            <w:rPr>
                              <w:b/>
                              <w:bCs/>
                            </w:rPr>
                            <w:fldChar w:fldCharType="begin"/>
                          </w:r>
                          <w:r>
                            <w:rPr>
                              <w:b/>
                              <w:bCs/>
                            </w:rPr>
                            <w:instrText xml:space="preserve"> NUMPAGES  \* MERGEFORMAT </w:instrText>
                          </w:r>
                          <w:r>
                            <w:rPr>
                              <w:b/>
                              <w:bCs/>
                            </w:rPr>
                            <w:fldChar w:fldCharType="separate"/>
                          </w:r>
                          <w:r>
                            <w:rPr>
                              <w:b/>
                              <w:bCs/>
                            </w:rPr>
                            <w:t>41</w:t>
                          </w:r>
                          <w:r>
                            <w:rPr>
                              <w:b/>
                              <w:bCs/>
                            </w:rPr>
                            <w:fldChar w:fldCharType="end"/>
                          </w:r>
                          <w:r>
                            <w:rPr>
                              <w:b/>
                              <w:bCs/>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902E777">
                    <w:pPr>
                      <w:pStyle w:val="11"/>
                      <w:rPr>
                        <w:b/>
                        <w:bCs/>
                      </w:rPr>
                    </w:pPr>
                    <w:r>
                      <w:rPr>
                        <w:b/>
                        <w:bCs/>
                      </w:rPr>
                      <w:t xml:space="preserve">第 </w:t>
                    </w:r>
                    <w:r>
                      <w:rPr>
                        <w:b/>
                        <w:bCs/>
                      </w:rPr>
                      <w:fldChar w:fldCharType="begin"/>
                    </w:r>
                    <w:r>
                      <w:rPr>
                        <w:b/>
                        <w:bCs/>
                      </w:rPr>
                      <w:instrText xml:space="preserve"> PAGE  \* MERGEFORMAT </w:instrText>
                    </w:r>
                    <w:r>
                      <w:rPr>
                        <w:b/>
                        <w:bCs/>
                      </w:rPr>
                      <w:fldChar w:fldCharType="separate"/>
                    </w:r>
                    <w:r>
                      <w:rPr>
                        <w:b/>
                        <w:bCs/>
                      </w:rPr>
                      <w:t>1</w:t>
                    </w:r>
                    <w:r>
                      <w:rPr>
                        <w:b/>
                        <w:bCs/>
                      </w:rPr>
                      <w:fldChar w:fldCharType="end"/>
                    </w:r>
                    <w:r>
                      <w:rPr>
                        <w:b/>
                        <w:bCs/>
                      </w:rPr>
                      <w:t xml:space="preserve"> 页 共 </w:t>
                    </w:r>
                    <w:r>
                      <w:rPr>
                        <w:b/>
                        <w:bCs/>
                      </w:rPr>
                      <w:fldChar w:fldCharType="begin"/>
                    </w:r>
                    <w:r>
                      <w:rPr>
                        <w:b/>
                        <w:bCs/>
                      </w:rPr>
                      <w:instrText xml:space="preserve"> NUMPAGES  \* MERGEFORMAT </w:instrText>
                    </w:r>
                    <w:r>
                      <w:rPr>
                        <w:b/>
                        <w:bCs/>
                      </w:rPr>
                      <w:fldChar w:fldCharType="separate"/>
                    </w:r>
                    <w:r>
                      <w:rPr>
                        <w:b/>
                        <w:bCs/>
                      </w:rPr>
                      <w:t>41</w:t>
                    </w:r>
                    <w:r>
                      <w:rPr>
                        <w:b/>
                        <w:bCs/>
                      </w:rPr>
                      <w:fldChar w:fldCharType="end"/>
                    </w:r>
                    <w:r>
                      <w:rPr>
                        <w:b/>
                        <w:bCs/>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7965AD">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41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E7965AD">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41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137B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22E947">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2C59B872">
    <w:pPr>
      <w:pStyle w:val="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96E9293F"/>
    <w:multiLevelType w:val="singleLevel"/>
    <w:tmpl w:val="96E9293F"/>
    <w:lvl w:ilvl="0" w:tentative="0">
      <w:start w:val="1"/>
      <w:numFmt w:val="chineseCounting"/>
      <w:suff w:val="nothing"/>
      <w:lvlText w:val="%1、"/>
      <w:lvlJc w:val="left"/>
      <w:rPr>
        <w:rFonts w:hint="eastAsia"/>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4"/>
      <w:suff w:val="nothing"/>
      <w:lvlText w:val="%1、"/>
      <w:lvlJc w:val="left"/>
      <w:pPr>
        <w:ind w:left="0" w:firstLine="420"/>
      </w:pPr>
      <w:rPr>
        <w:rFonts w:hint="eastAsia"/>
      </w:rPr>
    </w:lvl>
  </w:abstractNum>
  <w:abstractNum w:abstractNumId="5">
    <w:nsid w:val="F652935E"/>
    <w:multiLevelType w:val="singleLevel"/>
    <w:tmpl w:val="F652935E"/>
    <w:lvl w:ilvl="0" w:tentative="0">
      <w:start w:val="1"/>
      <w:numFmt w:val="decimal"/>
      <w:lvlText w:val="(%1)"/>
      <w:lvlJc w:val="left"/>
      <w:pPr>
        <w:ind w:left="425" w:hanging="425"/>
      </w:pPr>
      <w:rPr>
        <w:rFonts w:hint="default"/>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6EEAB894"/>
    <w:multiLevelType w:val="singleLevel"/>
    <w:tmpl w:val="6EEAB894"/>
    <w:lvl w:ilvl="0" w:tentative="0">
      <w:start w:val="1"/>
      <w:numFmt w:val="decimal"/>
      <w:lvlText w:val="%1)"/>
      <w:lvlJc w:val="left"/>
      <w:pPr>
        <w:tabs>
          <w:tab w:val="left" w:pos="420"/>
        </w:tabs>
        <w:ind w:left="845" w:hanging="425"/>
      </w:pPr>
      <w:rPr>
        <w:rFonts w:hint="default"/>
      </w:rPr>
    </w:lvl>
  </w:abstractNum>
  <w:abstractNum w:abstractNumId="13">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4"/>
  </w:num>
  <w:num w:numId="3">
    <w:abstractNumId w:val="10"/>
  </w:num>
  <w:num w:numId="4">
    <w:abstractNumId w:val="13"/>
  </w:num>
  <w:num w:numId="5">
    <w:abstractNumId w:val="7"/>
  </w:num>
  <w:num w:numId="6">
    <w:abstractNumId w:val="11"/>
  </w:num>
  <w:num w:numId="7">
    <w:abstractNumId w:val="9"/>
  </w:num>
  <w:num w:numId="8">
    <w:abstractNumId w:val="3"/>
  </w:num>
  <w:num w:numId="9">
    <w:abstractNumId w:val="2"/>
  </w:num>
  <w:num w:numId="10">
    <w:abstractNumId w:val="0"/>
  </w:num>
  <w:num w:numId="11">
    <w:abstractNumId w:val="6"/>
  </w:num>
  <w:num w:numId="12">
    <w:abstractNumId w:val="1"/>
  </w:num>
  <w:num w:numId="13">
    <w:abstractNumId w:val="5"/>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JhNjE1YmFiZDA5OWEzM2Q1NzcyMmFkMDI0MDNmMzYifQ=="/>
  </w:docVars>
  <w:rsids>
    <w:rsidRoot w:val="7D040AB6"/>
    <w:rsid w:val="0000488D"/>
    <w:rsid w:val="000278AB"/>
    <w:rsid w:val="0003214C"/>
    <w:rsid w:val="00077AA7"/>
    <w:rsid w:val="000C337E"/>
    <w:rsid w:val="0022301C"/>
    <w:rsid w:val="002B5793"/>
    <w:rsid w:val="002B6CC6"/>
    <w:rsid w:val="003460DC"/>
    <w:rsid w:val="003831C0"/>
    <w:rsid w:val="003C1BC0"/>
    <w:rsid w:val="003E4BF1"/>
    <w:rsid w:val="00427BF2"/>
    <w:rsid w:val="00461368"/>
    <w:rsid w:val="004F4DC4"/>
    <w:rsid w:val="005951BE"/>
    <w:rsid w:val="005A705A"/>
    <w:rsid w:val="005D169E"/>
    <w:rsid w:val="0061130C"/>
    <w:rsid w:val="0064444C"/>
    <w:rsid w:val="00677BCD"/>
    <w:rsid w:val="006B63B0"/>
    <w:rsid w:val="006F4109"/>
    <w:rsid w:val="007365C1"/>
    <w:rsid w:val="00746494"/>
    <w:rsid w:val="007760AF"/>
    <w:rsid w:val="00780419"/>
    <w:rsid w:val="007A2792"/>
    <w:rsid w:val="007C5836"/>
    <w:rsid w:val="007D6E11"/>
    <w:rsid w:val="00823167"/>
    <w:rsid w:val="008439DA"/>
    <w:rsid w:val="008F14FA"/>
    <w:rsid w:val="008F26A3"/>
    <w:rsid w:val="0094161B"/>
    <w:rsid w:val="00954652"/>
    <w:rsid w:val="0096012B"/>
    <w:rsid w:val="009C452F"/>
    <w:rsid w:val="009D1014"/>
    <w:rsid w:val="00A12C4A"/>
    <w:rsid w:val="00A4099C"/>
    <w:rsid w:val="00A72CD1"/>
    <w:rsid w:val="00B16CD7"/>
    <w:rsid w:val="00B2440D"/>
    <w:rsid w:val="00B63B3D"/>
    <w:rsid w:val="00BC1C51"/>
    <w:rsid w:val="00BE12C0"/>
    <w:rsid w:val="00C16D65"/>
    <w:rsid w:val="00C7491C"/>
    <w:rsid w:val="00C80DB0"/>
    <w:rsid w:val="00C866E7"/>
    <w:rsid w:val="00CC6ACA"/>
    <w:rsid w:val="00D40B0D"/>
    <w:rsid w:val="00D53AD1"/>
    <w:rsid w:val="00D540D3"/>
    <w:rsid w:val="00D61E8F"/>
    <w:rsid w:val="00D644BF"/>
    <w:rsid w:val="00D74E06"/>
    <w:rsid w:val="00DF3B6A"/>
    <w:rsid w:val="00E2603E"/>
    <w:rsid w:val="00E71156"/>
    <w:rsid w:val="00E769CD"/>
    <w:rsid w:val="00EA700B"/>
    <w:rsid w:val="00F3202A"/>
    <w:rsid w:val="00F523A1"/>
    <w:rsid w:val="00F676AD"/>
    <w:rsid w:val="00F90C3B"/>
    <w:rsid w:val="00FF60E3"/>
    <w:rsid w:val="01260E98"/>
    <w:rsid w:val="01C54B55"/>
    <w:rsid w:val="0204742C"/>
    <w:rsid w:val="02B62E04"/>
    <w:rsid w:val="03874046"/>
    <w:rsid w:val="04BC223F"/>
    <w:rsid w:val="05393890"/>
    <w:rsid w:val="058C78B0"/>
    <w:rsid w:val="05E13064"/>
    <w:rsid w:val="0616772D"/>
    <w:rsid w:val="062260D2"/>
    <w:rsid w:val="06557831"/>
    <w:rsid w:val="078A573C"/>
    <w:rsid w:val="08E65ADD"/>
    <w:rsid w:val="08F024B8"/>
    <w:rsid w:val="08FC256D"/>
    <w:rsid w:val="093A3733"/>
    <w:rsid w:val="09CD0A4B"/>
    <w:rsid w:val="0AED4255"/>
    <w:rsid w:val="0B4508AE"/>
    <w:rsid w:val="0B5C3E34"/>
    <w:rsid w:val="0B8F466E"/>
    <w:rsid w:val="0CF161C9"/>
    <w:rsid w:val="0D7E24BB"/>
    <w:rsid w:val="0E0B7FF0"/>
    <w:rsid w:val="0EA62779"/>
    <w:rsid w:val="0ECA4851"/>
    <w:rsid w:val="0ED71034"/>
    <w:rsid w:val="0EFD76DC"/>
    <w:rsid w:val="10E2302E"/>
    <w:rsid w:val="117A5014"/>
    <w:rsid w:val="11C75D80"/>
    <w:rsid w:val="12791770"/>
    <w:rsid w:val="127F05A0"/>
    <w:rsid w:val="12F71682"/>
    <w:rsid w:val="133D09EF"/>
    <w:rsid w:val="136D78F8"/>
    <w:rsid w:val="137B32C6"/>
    <w:rsid w:val="13E04EA0"/>
    <w:rsid w:val="15CC4977"/>
    <w:rsid w:val="15CE0478"/>
    <w:rsid w:val="15E92769"/>
    <w:rsid w:val="16133D64"/>
    <w:rsid w:val="162A4F7D"/>
    <w:rsid w:val="163E2881"/>
    <w:rsid w:val="16556050"/>
    <w:rsid w:val="16560429"/>
    <w:rsid w:val="16A82A66"/>
    <w:rsid w:val="16AD2CE5"/>
    <w:rsid w:val="17944956"/>
    <w:rsid w:val="18280A8E"/>
    <w:rsid w:val="18D314AE"/>
    <w:rsid w:val="18F2402A"/>
    <w:rsid w:val="1994787E"/>
    <w:rsid w:val="19C84D8B"/>
    <w:rsid w:val="1B3A75C2"/>
    <w:rsid w:val="1B3F3BBD"/>
    <w:rsid w:val="1B4D19EC"/>
    <w:rsid w:val="1CE345C4"/>
    <w:rsid w:val="1D5E3A3C"/>
    <w:rsid w:val="1D890B16"/>
    <w:rsid w:val="1DD000AF"/>
    <w:rsid w:val="1E09745A"/>
    <w:rsid w:val="1E106C6A"/>
    <w:rsid w:val="1E4D735D"/>
    <w:rsid w:val="1E571F77"/>
    <w:rsid w:val="1E8219AC"/>
    <w:rsid w:val="1EFE7AF5"/>
    <w:rsid w:val="1FA12306"/>
    <w:rsid w:val="20923F42"/>
    <w:rsid w:val="222C5B8B"/>
    <w:rsid w:val="22B8599C"/>
    <w:rsid w:val="22F64717"/>
    <w:rsid w:val="22FA1F87"/>
    <w:rsid w:val="2342170A"/>
    <w:rsid w:val="23D4489F"/>
    <w:rsid w:val="23E946FC"/>
    <w:rsid w:val="247E76DD"/>
    <w:rsid w:val="252F5998"/>
    <w:rsid w:val="256C2A6E"/>
    <w:rsid w:val="262001B9"/>
    <w:rsid w:val="277F117F"/>
    <w:rsid w:val="27B87AF9"/>
    <w:rsid w:val="27E80EA9"/>
    <w:rsid w:val="280414A1"/>
    <w:rsid w:val="28570368"/>
    <w:rsid w:val="28BC685F"/>
    <w:rsid w:val="28F9286B"/>
    <w:rsid w:val="29293A4D"/>
    <w:rsid w:val="29543F45"/>
    <w:rsid w:val="295B724D"/>
    <w:rsid w:val="298E38FB"/>
    <w:rsid w:val="29C5318E"/>
    <w:rsid w:val="2A4346E5"/>
    <w:rsid w:val="2A5C1303"/>
    <w:rsid w:val="2AE8528D"/>
    <w:rsid w:val="2B2A31B0"/>
    <w:rsid w:val="2B502F98"/>
    <w:rsid w:val="2BDF21EC"/>
    <w:rsid w:val="2C68227D"/>
    <w:rsid w:val="2C7F752B"/>
    <w:rsid w:val="2C9A0A9E"/>
    <w:rsid w:val="2CE35880"/>
    <w:rsid w:val="2CF11DB5"/>
    <w:rsid w:val="2CF358C6"/>
    <w:rsid w:val="2DA70D65"/>
    <w:rsid w:val="2E36630F"/>
    <w:rsid w:val="2E580034"/>
    <w:rsid w:val="2E8157DC"/>
    <w:rsid w:val="2F967065"/>
    <w:rsid w:val="300271E5"/>
    <w:rsid w:val="307750E9"/>
    <w:rsid w:val="319121DA"/>
    <w:rsid w:val="31B163D9"/>
    <w:rsid w:val="31FE7144"/>
    <w:rsid w:val="325A75D9"/>
    <w:rsid w:val="32BF2D77"/>
    <w:rsid w:val="3310712F"/>
    <w:rsid w:val="331C1F78"/>
    <w:rsid w:val="33E32A95"/>
    <w:rsid w:val="3427766B"/>
    <w:rsid w:val="343706EB"/>
    <w:rsid w:val="34967B08"/>
    <w:rsid w:val="351A08D0"/>
    <w:rsid w:val="360C62D3"/>
    <w:rsid w:val="36334CE5"/>
    <w:rsid w:val="36571EF1"/>
    <w:rsid w:val="36A209E6"/>
    <w:rsid w:val="36AF3103"/>
    <w:rsid w:val="378E47B3"/>
    <w:rsid w:val="38211DDE"/>
    <w:rsid w:val="38BC5A67"/>
    <w:rsid w:val="38E11BE1"/>
    <w:rsid w:val="398D772B"/>
    <w:rsid w:val="39C12F31"/>
    <w:rsid w:val="39F257E0"/>
    <w:rsid w:val="3A1A4D37"/>
    <w:rsid w:val="3A1C419C"/>
    <w:rsid w:val="3A551407"/>
    <w:rsid w:val="3B033C36"/>
    <w:rsid w:val="3B6E0E96"/>
    <w:rsid w:val="3B880AE9"/>
    <w:rsid w:val="3CFC0724"/>
    <w:rsid w:val="3D193084"/>
    <w:rsid w:val="3DA47EC0"/>
    <w:rsid w:val="3E492C52"/>
    <w:rsid w:val="3E5D4E8E"/>
    <w:rsid w:val="3EDA6843"/>
    <w:rsid w:val="3F323896"/>
    <w:rsid w:val="3FE25336"/>
    <w:rsid w:val="401F09B1"/>
    <w:rsid w:val="40271248"/>
    <w:rsid w:val="407C22A8"/>
    <w:rsid w:val="40A315E2"/>
    <w:rsid w:val="40BD0726"/>
    <w:rsid w:val="41011831"/>
    <w:rsid w:val="416E27E2"/>
    <w:rsid w:val="417A4193"/>
    <w:rsid w:val="42075FF8"/>
    <w:rsid w:val="42842020"/>
    <w:rsid w:val="42FA5706"/>
    <w:rsid w:val="43B03CB9"/>
    <w:rsid w:val="43F263DD"/>
    <w:rsid w:val="44625877"/>
    <w:rsid w:val="44BC0A07"/>
    <w:rsid w:val="44FE57C6"/>
    <w:rsid w:val="455564DF"/>
    <w:rsid w:val="4587774F"/>
    <w:rsid w:val="45A92F99"/>
    <w:rsid w:val="45E85CE9"/>
    <w:rsid w:val="468567BB"/>
    <w:rsid w:val="46940DAD"/>
    <w:rsid w:val="46FA3F26"/>
    <w:rsid w:val="470D1EAB"/>
    <w:rsid w:val="4782487D"/>
    <w:rsid w:val="47C5415B"/>
    <w:rsid w:val="47DB3D58"/>
    <w:rsid w:val="47F60B91"/>
    <w:rsid w:val="482D1DD7"/>
    <w:rsid w:val="489839F7"/>
    <w:rsid w:val="495B1697"/>
    <w:rsid w:val="4A9739CF"/>
    <w:rsid w:val="4B31068E"/>
    <w:rsid w:val="4BA55220"/>
    <w:rsid w:val="4BAD0151"/>
    <w:rsid w:val="4BB072A9"/>
    <w:rsid w:val="4C8F75A2"/>
    <w:rsid w:val="4CAC181F"/>
    <w:rsid w:val="4DAD4403"/>
    <w:rsid w:val="4E5403C0"/>
    <w:rsid w:val="4E8C008E"/>
    <w:rsid w:val="4E9B7735"/>
    <w:rsid w:val="4F1931A5"/>
    <w:rsid w:val="4FD5026D"/>
    <w:rsid w:val="4FEF758C"/>
    <w:rsid w:val="501222E0"/>
    <w:rsid w:val="50771A9C"/>
    <w:rsid w:val="509E79D2"/>
    <w:rsid w:val="512B1415"/>
    <w:rsid w:val="512E02BD"/>
    <w:rsid w:val="5144471C"/>
    <w:rsid w:val="51A753BA"/>
    <w:rsid w:val="51C47F6D"/>
    <w:rsid w:val="52760C06"/>
    <w:rsid w:val="52BA233C"/>
    <w:rsid w:val="536F016D"/>
    <w:rsid w:val="53AF7E46"/>
    <w:rsid w:val="5402441A"/>
    <w:rsid w:val="5455382C"/>
    <w:rsid w:val="549C486F"/>
    <w:rsid w:val="54E3618B"/>
    <w:rsid w:val="55104779"/>
    <w:rsid w:val="564F72EE"/>
    <w:rsid w:val="567535C9"/>
    <w:rsid w:val="570B1838"/>
    <w:rsid w:val="576378C6"/>
    <w:rsid w:val="57B65C47"/>
    <w:rsid w:val="57E46622"/>
    <w:rsid w:val="588B2C30"/>
    <w:rsid w:val="59261ED8"/>
    <w:rsid w:val="593257A1"/>
    <w:rsid w:val="598F6750"/>
    <w:rsid w:val="59F362D1"/>
    <w:rsid w:val="5A751DEA"/>
    <w:rsid w:val="5AB03EA4"/>
    <w:rsid w:val="5AF26F96"/>
    <w:rsid w:val="5B4812AC"/>
    <w:rsid w:val="5C02145B"/>
    <w:rsid w:val="5C0827EA"/>
    <w:rsid w:val="5C441A74"/>
    <w:rsid w:val="5D0A3490"/>
    <w:rsid w:val="5D1F428F"/>
    <w:rsid w:val="5D4C7FC4"/>
    <w:rsid w:val="5D5E4DB7"/>
    <w:rsid w:val="5D7E0D39"/>
    <w:rsid w:val="5DCA41FA"/>
    <w:rsid w:val="5DD45079"/>
    <w:rsid w:val="5E9D3F29"/>
    <w:rsid w:val="5EE4309A"/>
    <w:rsid w:val="5F180F96"/>
    <w:rsid w:val="5F5466A2"/>
    <w:rsid w:val="5F693447"/>
    <w:rsid w:val="600D03CE"/>
    <w:rsid w:val="600D6620"/>
    <w:rsid w:val="60384CD1"/>
    <w:rsid w:val="60655808"/>
    <w:rsid w:val="60C56EFB"/>
    <w:rsid w:val="61060CEB"/>
    <w:rsid w:val="62796434"/>
    <w:rsid w:val="628F77C1"/>
    <w:rsid w:val="62F13FD7"/>
    <w:rsid w:val="6361115D"/>
    <w:rsid w:val="63911317"/>
    <w:rsid w:val="63A9427A"/>
    <w:rsid w:val="63D462B1"/>
    <w:rsid w:val="63DB5BA2"/>
    <w:rsid w:val="641A3596"/>
    <w:rsid w:val="64B536A8"/>
    <w:rsid w:val="64B61035"/>
    <w:rsid w:val="64D96647"/>
    <w:rsid w:val="65000502"/>
    <w:rsid w:val="655B51E5"/>
    <w:rsid w:val="65644F35"/>
    <w:rsid w:val="65E40ADA"/>
    <w:rsid w:val="661C580F"/>
    <w:rsid w:val="66330B86"/>
    <w:rsid w:val="668F0CFA"/>
    <w:rsid w:val="66A6332B"/>
    <w:rsid w:val="66E22203"/>
    <w:rsid w:val="676C6322"/>
    <w:rsid w:val="67B53825"/>
    <w:rsid w:val="67D57A24"/>
    <w:rsid w:val="67EC1211"/>
    <w:rsid w:val="6848469A"/>
    <w:rsid w:val="688D47A2"/>
    <w:rsid w:val="68945B31"/>
    <w:rsid w:val="68B812C9"/>
    <w:rsid w:val="68C852FD"/>
    <w:rsid w:val="69823BDB"/>
    <w:rsid w:val="69AA3132"/>
    <w:rsid w:val="69D50CF4"/>
    <w:rsid w:val="6A152CA1"/>
    <w:rsid w:val="6A4E1D0F"/>
    <w:rsid w:val="6A837C0B"/>
    <w:rsid w:val="6B296FCD"/>
    <w:rsid w:val="6B6C069F"/>
    <w:rsid w:val="6B737C7F"/>
    <w:rsid w:val="6C487AFD"/>
    <w:rsid w:val="6C922387"/>
    <w:rsid w:val="6CB24363"/>
    <w:rsid w:val="6D056FFD"/>
    <w:rsid w:val="6D4A0EB4"/>
    <w:rsid w:val="6D6C15A7"/>
    <w:rsid w:val="6D731F85"/>
    <w:rsid w:val="6D9D7236"/>
    <w:rsid w:val="6DD92AC5"/>
    <w:rsid w:val="6E332CAF"/>
    <w:rsid w:val="6E3A0F28"/>
    <w:rsid w:val="6E8757F0"/>
    <w:rsid w:val="6EA93466"/>
    <w:rsid w:val="6EE60768"/>
    <w:rsid w:val="6F1A4C1A"/>
    <w:rsid w:val="6F947AC5"/>
    <w:rsid w:val="6FCF0795"/>
    <w:rsid w:val="6FE07E43"/>
    <w:rsid w:val="701A635C"/>
    <w:rsid w:val="701B6B38"/>
    <w:rsid w:val="70A873EF"/>
    <w:rsid w:val="71381023"/>
    <w:rsid w:val="7164006A"/>
    <w:rsid w:val="71641B3E"/>
    <w:rsid w:val="718F50E7"/>
    <w:rsid w:val="731F06ED"/>
    <w:rsid w:val="7352461E"/>
    <w:rsid w:val="73714961"/>
    <w:rsid w:val="738467A2"/>
    <w:rsid w:val="73BE3A62"/>
    <w:rsid w:val="74393A30"/>
    <w:rsid w:val="754D1D92"/>
    <w:rsid w:val="758350A9"/>
    <w:rsid w:val="76937428"/>
    <w:rsid w:val="76A41B15"/>
    <w:rsid w:val="77BC364F"/>
    <w:rsid w:val="782102AC"/>
    <w:rsid w:val="783B09CD"/>
    <w:rsid w:val="784C3D32"/>
    <w:rsid w:val="78F30652"/>
    <w:rsid w:val="792E0307"/>
    <w:rsid w:val="797401DA"/>
    <w:rsid w:val="798B088A"/>
    <w:rsid w:val="7B560FD7"/>
    <w:rsid w:val="7B5F74F8"/>
    <w:rsid w:val="7B690630"/>
    <w:rsid w:val="7B9559F0"/>
    <w:rsid w:val="7C5123F4"/>
    <w:rsid w:val="7CB225D2"/>
    <w:rsid w:val="7D040AB6"/>
    <w:rsid w:val="7D221505"/>
    <w:rsid w:val="7D4119E6"/>
    <w:rsid w:val="7D584F27"/>
    <w:rsid w:val="7D72173C"/>
    <w:rsid w:val="7DAF162B"/>
    <w:rsid w:val="7DB55ED6"/>
    <w:rsid w:val="7DC42B41"/>
    <w:rsid w:val="7DE247F1"/>
    <w:rsid w:val="7F2552DD"/>
    <w:rsid w:val="7F65392B"/>
    <w:rsid w:val="7F753647"/>
    <w:rsid w:val="7FC93EBA"/>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4">
    <w:name w:val="heading 2"/>
    <w:basedOn w:val="1"/>
    <w:next w:val="1"/>
    <w:link w:val="39"/>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5">
    <w:name w:val="heading 3"/>
    <w:basedOn w:val="1"/>
    <w:next w:val="1"/>
    <w:unhideWhenUsed/>
    <w:qFormat/>
    <w:uiPriority w:val="0"/>
    <w:pPr>
      <w:keepNext/>
      <w:keepLines/>
      <w:spacing w:before="260" w:after="260" w:line="413" w:lineRule="auto"/>
      <w:outlineLvl w:val="2"/>
    </w:pPr>
    <w:rPr>
      <w:b/>
      <w:sz w:val="32"/>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36"/>
    <w:qFormat/>
    <w:uiPriority w:val="0"/>
    <w:pPr>
      <w:jc w:val="left"/>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1"/>
    <w:qFormat/>
    <w:uiPriority w:val="0"/>
    <w:pPr>
      <w:spacing w:after="120" w:line="480" w:lineRule="auto"/>
      <w:ind w:left="420" w:leftChars="200"/>
    </w:pPr>
    <w:rPr>
      <w:szCs w:val="20"/>
    </w:rPr>
  </w:style>
  <w:style w:type="paragraph" w:styleId="10">
    <w:name w:val="Balloon Text"/>
    <w:basedOn w:val="1"/>
    <w:link w:val="38"/>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annotation subject"/>
    <w:basedOn w:val="7"/>
    <w:next w:val="7"/>
    <w:link w:val="37"/>
    <w:qFormat/>
    <w:uiPriority w:val="0"/>
    <w:rPr>
      <w:b/>
      <w:bCs/>
    </w:rPr>
  </w:style>
  <w:style w:type="paragraph" w:styleId="15">
    <w:name w:val="Body Text First Indent"/>
    <w:basedOn w:val="2"/>
    <w:link w:val="32"/>
    <w:qFormat/>
    <w:uiPriority w:val="0"/>
    <w:pPr>
      <w:snapToGrid w:val="0"/>
      <w:spacing w:before="40" w:after="40" w:line="288" w:lineRule="auto"/>
      <w:ind w:firstLine="482"/>
    </w:pPr>
    <w:rPr>
      <w:rFonts w:ascii="FangSong_GB2312" w:hAnsi="FangSong_GB2312" w:eastAsia="FangSong_GB2312"/>
      <w:szCs w:val="20"/>
    </w:rPr>
  </w:style>
  <w:style w:type="paragraph" w:styleId="16">
    <w:name w:val="Body Text First Indent 2"/>
    <w:basedOn w:val="8"/>
    <w:next w:val="1"/>
    <w:link w:val="35"/>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8">
    <w:name w:val="Table Grid"/>
    <w:basedOn w:val="1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0"/>
    <w:rPr>
      <w:b/>
    </w:rPr>
  </w:style>
  <w:style w:type="character" w:styleId="21">
    <w:name w:val="page number"/>
    <w:basedOn w:val="19"/>
    <w:semiHidden/>
    <w:qFormat/>
    <w:uiPriority w:val="0"/>
  </w:style>
  <w:style w:type="character" w:styleId="22">
    <w:name w:val="annotation reference"/>
    <w:basedOn w:val="19"/>
    <w:qFormat/>
    <w:uiPriority w:val="0"/>
    <w:rPr>
      <w:sz w:val="21"/>
      <w:szCs w:val="21"/>
    </w:rPr>
  </w:style>
  <w:style w:type="paragraph" w:customStyle="1" w:styleId="23">
    <w:name w:val="标题 5（有编号）（绿盟科技）"/>
    <w:basedOn w:val="24"/>
    <w:next w:val="25"/>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4">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6">
    <w:name w:val="13、表格内居中正文"/>
    <w:basedOn w:val="1"/>
    <w:qFormat/>
    <w:uiPriority w:val="0"/>
    <w:pPr>
      <w:wordWrap w:val="0"/>
      <w:topLinePunct/>
      <w:spacing w:line="360" w:lineRule="exact"/>
      <w:jc w:val="center"/>
    </w:pPr>
    <w:rPr>
      <w:rFonts w:ascii="宋体" w:hAnsi="宋体" w:eastAsia="宋体"/>
    </w:rPr>
  </w:style>
  <w:style w:type="paragraph" w:customStyle="1" w:styleId="2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List Paragraph"/>
    <w:basedOn w:val="1"/>
    <w:qFormat/>
    <w:uiPriority w:val="0"/>
    <w:pPr>
      <w:spacing w:line="500" w:lineRule="exact"/>
      <w:ind w:firstLine="420" w:firstLineChars="200"/>
    </w:pPr>
    <w:rPr>
      <w:szCs w:val="24"/>
    </w:rPr>
  </w:style>
  <w:style w:type="paragraph" w:customStyle="1" w:styleId="29">
    <w:name w:val="正文首行缩进两字符"/>
    <w:basedOn w:val="1"/>
    <w:qFormat/>
    <w:uiPriority w:val="0"/>
    <w:pPr>
      <w:spacing w:line="360" w:lineRule="auto"/>
      <w:ind w:firstLine="200" w:firstLineChars="200"/>
    </w:pPr>
  </w:style>
  <w:style w:type="paragraph" w:customStyle="1" w:styleId="3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Body Text Indent 2 Char"/>
    <w:link w:val="9"/>
    <w:qFormat/>
    <w:uiPriority w:val="0"/>
    <w:rPr>
      <w:szCs w:val="20"/>
    </w:rPr>
  </w:style>
  <w:style w:type="character" w:customStyle="1" w:styleId="32">
    <w:name w:val="Body Text First Indent Char"/>
    <w:link w:val="15"/>
    <w:qFormat/>
    <w:uiPriority w:val="0"/>
    <w:rPr>
      <w:rFonts w:ascii="FangSong_GB2312" w:hAnsi="FangSong_GB2312" w:eastAsia="FangSong_GB2312"/>
      <w:szCs w:val="20"/>
    </w:rPr>
  </w:style>
  <w:style w:type="paragraph" w:customStyle="1" w:styleId="33">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5">
    <w:name w:val="Body Text First Indent 2 Char"/>
    <w:link w:val="16"/>
    <w:qFormat/>
    <w:uiPriority w:val="99"/>
    <w:rPr>
      <w:rFonts w:ascii="宋体" w:hAnsi="Times New Roman"/>
      <w:kern w:val="0"/>
      <w:sz w:val="21"/>
      <w:szCs w:val="24"/>
    </w:rPr>
  </w:style>
  <w:style w:type="character" w:customStyle="1" w:styleId="36">
    <w:name w:val="Comment Text Char"/>
    <w:basedOn w:val="19"/>
    <w:link w:val="7"/>
    <w:qFormat/>
    <w:uiPriority w:val="0"/>
    <w:rPr>
      <w:kern w:val="2"/>
      <w:sz w:val="21"/>
      <w:szCs w:val="22"/>
    </w:rPr>
  </w:style>
  <w:style w:type="character" w:customStyle="1" w:styleId="37">
    <w:name w:val="Comment Subject Char"/>
    <w:basedOn w:val="36"/>
    <w:link w:val="14"/>
    <w:qFormat/>
    <w:uiPriority w:val="0"/>
    <w:rPr>
      <w:b/>
      <w:bCs/>
      <w:kern w:val="2"/>
      <w:sz w:val="21"/>
      <w:szCs w:val="22"/>
    </w:rPr>
  </w:style>
  <w:style w:type="character" w:customStyle="1" w:styleId="38">
    <w:name w:val="Balloon Text Char"/>
    <w:basedOn w:val="19"/>
    <w:link w:val="10"/>
    <w:qFormat/>
    <w:uiPriority w:val="0"/>
    <w:rPr>
      <w:kern w:val="2"/>
      <w:sz w:val="18"/>
      <w:szCs w:val="18"/>
    </w:rPr>
  </w:style>
  <w:style w:type="character" w:customStyle="1" w:styleId="39">
    <w:name w:val="Heading 2 Char"/>
    <w:link w:val="4"/>
    <w:qFormat/>
    <w:uiPriority w:val="0"/>
    <w:rPr>
      <w:rFonts w:ascii="Times New Roman" w:hAnsi="Times New Roman" w:eastAsia="仿宋" w:cs="Times New Roman"/>
      <w:b/>
      <w:sz w:val="32"/>
    </w:rPr>
  </w:style>
  <w:style w:type="paragraph" w:customStyle="1" w:styleId="40">
    <w:name w:val="sht标题1"/>
    <w:basedOn w:val="1"/>
    <w:next w:val="3"/>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30</Pages>
  <Words>1099</Words>
  <Characters>1188</Characters>
  <Lines>67</Lines>
  <Paragraphs>19</Paragraphs>
  <TotalTime>194</TotalTime>
  <ScaleCrop>false</ScaleCrop>
  <LinksUpToDate>false</LinksUpToDate>
  <CharactersWithSpaces>1262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费明</cp:lastModifiedBy>
  <cp:lastPrinted>2026-10-09T03:41:00Z</cp:lastPrinted>
  <dcterms:modified xsi:type="dcterms:W3CDTF">2026-10-12T07:58:33Z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20DF987E58E744A7BC8767F2AA394911_13</vt:lpwstr>
  </property>
  <property fmtid="{D5CDD505-2E9C-101B-9397-08002B2CF9AE}" pid="4" name="KSOTemplateDocerSaveRecord">
    <vt:lpwstr>eyJoZGlkIjoiOTkyMTAwNWNkOWQxN2M2ZGU0YTllNDJiNjQ2ZjgyNjkiLCJ1c2VySWQiOiIzNjM4OTIzNDkifQ==</vt:lpwstr>
  </property>
</Properties>
</file>