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lang w:val="en-US" w:eastAsia="zh-CN"/>
        </w:rPr>
        <w:t>2025年</w:t>
      </w:r>
      <w:r>
        <w:rPr>
          <w:rFonts w:hint="eastAsia" w:ascii="Times New Roman" w:hAnsi="Times New Roman" w:eastAsia="黑体" w:cs="Times New Roman"/>
          <w:b/>
          <w:spacing w:val="24"/>
          <w:sz w:val="56"/>
          <w:szCs w:val="56"/>
          <w:u w:val="none"/>
          <w:lang w:eastAsia="zh-CN"/>
        </w:rPr>
        <w:t>流式细胞仪</w:t>
      </w:r>
      <w:r>
        <w:rPr>
          <w:rFonts w:ascii="Times New Roman" w:hAnsi="Times New Roman" w:eastAsia="黑体" w:cs="Times New Roman"/>
          <w:b/>
          <w:spacing w:val="24"/>
          <w:sz w:val="56"/>
          <w:szCs w:val="56"/>
        </w:rPr>
        <w:t>采购项目</w:t>
      </w:r>
      <w:r>
        <w:rPr>
          <w:rFonts w:hint="eastAsia" w:ascii="Times New Roman" w:hAnsi="Times New Roman" w:eastAsia="黑体" w:cs="Times New Roman"/>
          <w:b/>
          <w:spacing w:val="24"/>
          <w:sz w:val="56"/>
          <w:szCs w:val="56"/>
          <w:lang w:eastAsia="zh-CN"/>
        </w:rPr>
        <w:t>（</w:t>
      </w:r>
      <w:r>
        <w:rPr>
          <w:rFonts w:hint="eastAsia" w:ascii="Times New Roman" w:hAnsi="Times New Roman" w:eastAsia="黑体" w:cs="Times New Roman"/>
          <w:b/>
          <w:spacing w:val="24"/>
          <w:sz w:val="56"/>
          <w:szCs w:val="56"/>
          <w:lang w:val="en-US" w:eastAsia="zh-CN"/>
        </w:rPr>
        <w:t>2</w:t>
      </w:r>
      <w:r>
        <w:rPr>
          <w:rFonts w:hint="eastAsia" w:ascii="Times New Roman" w:hAnsi="Times New Roman" w:eastAsia="黑体" w:cs="Times New Roman"/>
          <w:b/>
          <w:spacing w:val="24"/>
          <w:sz w:val="56"/>
          <w:szCs w:val="56"/>
          <w:lang w:eastAsia="zh-CN"/>
        </w:rPr>
        <w:t>）</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461B6F5">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3732434D">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bookmarkStart w:id="128" w:name="_GoBack"/>
      <w:bookmarkEnd w:id="128"/>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48043356">
      <w:pPr>
        <w:pStyle w:val="13"/>
        <w:tabs>
          <w:tab w:val="right" w:leader="dot" w:pos="9637"/>
        </w:tabs>
        <w:rPr>
          <w:rFonts w:hint="eastAsia" w:ascii="仿宋" w:hAnsi="仿宋" w:eastAsia="仿宋" w:cs="仿宋"/>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_Toc32610 </w:instrText>
      </w:r>
      <w:r>
        <w:rPr>
          <w:rFonts w:hint="eastAsia" w:ascii="仿宋" w:hAnsi="仿宋" w:eastAsia="仿宋" w:cs="仿宋"/>
          <w:sz w:val="28"/>
          <w:szCs w:val="28"/>
        </w:rPr>
        <w:fldChar w:fldCharType="separate"/>
      </w:r>
      <w:r>
        <w:rPr>
          <w:rFonts w:hint="eastAsia" w:ascii="仿宋" w:hAnsi="仿宋" w:eastAsia="仿宋" w:cs="仿宋"/>
          <w:sz w:val="28"/>
          <w:szCs w:val="28"/>
        </w:rPr>
        <w:t>第一章 谈判邀请</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_Toc32610 \h </w:instrText>
      </w:r>
      <w:r>
        <w:rPr>
          <w:rFonts w:hint="eastAsia" w:ascii="仿宋" w:hAnsi="仿宋" w:eastAsia="仿宋" w:cs="仿宋"/>
          <w:sz w:val="28"/>
          <w:szCs w:val="28"/>
        </w:rPr>
        <w:fldChar w:fldCharType="separate"/>
      </w:r>
      <w:r>
        <w:rPr>
          <w:rFonts w:hint="eastAsia" w:ascii="仿宋" w:hAnsi="仿宋" w:eastAsia="仿宋" w:cs="仿宋"/>
          <w:sz w:val="28"/>
          <w:szCs w:val="28"/>
        </w:rPr>
        <w:t>1</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64DFB4F8">
      <w:pPr>
        <w:pStyle w:val="13"/>
        <w:tabs>
          <w:tab w:val="right" w:leader="dot" w:pos="9637"/>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_Toc21034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第二章 </w:t>
      </w:r>
      <w:r>
        <w:rPr>
          <w:rFonts w:hint="eastAsia" w:ascii="仿宋" w:hAnsi="仿宋" w:eastAsia="仿宋" w:cs="仿宋"/>
          <w:sz w:val="28"/>
          <w:szCs w:val="28"/>
          <w:lang w:val="en-US"/>
        </w:rPr>
        <w:t>谈判</w:t>
      </w:r>
      <w:r>
        <w:rPr>
          <w:rFonts w:hint="eastAsia" w:ascii="仿宋" w:hAnsi="仿宋" w:eastAsia="仿宋" w:cs="仿宋"/>
          <w:sz w:val="28"/>
          <w:szCs w:val="28"/>
        </w:rPr>
        <w:t>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_Toc21034 \h </w:instrText>
      </w:r>
      <w:r>
        <w:rPr>
          <w:rFonts w:hint="eastAsia" w:ascii="仿宋" w:hAnsi="仿宋" w:eastAsia="仿宋" w:cs="仿宋"/>
          <w:sz w:val="28"/>
          <w:szCs w:val="28"/>
        </w:rPr>
        <w:fldChar w:fldCharType="separate"/>
      </w:r>
      <w:r>
        <w:rPr>
          <w:rFonts w:hint="eastAsia" w:ascii="仿宋" w:hAnsi="仿宋" w:eastAsia="仿宋" w:cs="仿宋"/>
          <w:sz w:val="28"/>
          <w:szCs w:val="28"/>
        </w:rPr>
        <w:t>4</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5B72D550">
      <w:pPr>
        <w:pStyle w:val="13"/>
        <w:tabs>
          <w:tab w:val="right" w:leader="dot" w:pos="9637"/>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_Toc11128 </w:instrText>
      </w:r>
      <w:r>
        <w:rPr>
          <w:rFonts w:hint="eastAsia" w:ascii="仿宋" w:hAnsi="仿宋" w:eastAsia="仿宋" w:cs="仿宋"/>
          <w:sz w:val="28"/>
          <w:szCs w:val="28"/>
        </w:rPr>
        <w:fldChar w:fldCharType="separate"/>
      </w:r>
      <w:r>
        <w:rPr>
          <w:rFonts w:hint="eastAsia" w:ascii="仿宋" w:hAnsi="仿宋" w:eastAsia="仿宋" w:cs="仿宋"/>
          <w:sz w:val="28"/>
          <w:szCs w:val="28"/>
        </w:rPr>
        <w:t>第三章 供应商资格审查及符合性审查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_Toc11128 \h </w:instrText>
      </w:r>
      <w:r>
        <w:rPr>
          <w:rFonts w:hint="eastAsia" w:ascii="仿宋" w:hAnsi="仿宋" w:eastAsia="仿宋" w:cs="仿宋"/>
          <w:sz w:val="28"/>
          <w:szCs w:val="28"/>
        </w:rPr>
        <w:fldChar w:fldCharType="separate"/>
      </w:r>
      <w:r>
        <w:rPr>
          <w:rFonts w:hint="eastAsia" w:ascii="仿宋" w:hAnsi="仿宋" w:eastAsia="仿宋" w:cs="仿宋"/>
          <w:sz w:val="28"/>
          <w:szCs w:val="28"/>
        </w:rPr>
        <w:t>7</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69F1AB02">
      <w:pPr>
        <w:pStyle w:val="13"/>
        <w:tabs>
          <w:tab w:val="right" w:leader="dot" w:pos="9637"/>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_Toc17739 </w:instrText>
      </w:r>
      <w:r>
        <w:rPr>
          <w:rFonts w:hint="eastAsia" w:ascii="仿宋" w:hAnsi="仿宋" w:eastAsia="仿宋" w:cs="仿宋"/>
          <w:sz w:val="28"/>
          <w:szCs w:val="28"/>
        </w:rPr>
        <w:fldChar w:fldCharType="separate"/>
      </w:r>
      <w:r>
        <w:rPr>
          <w:rFonts w:hint="eastAsia" w:ascii="仿宋" w:hAnsi="仿宋" w:eastAsia="仿宋" w:cs="仿宋"/>
          <w:sz w:val="28"/>
          <w:szCs w:val="28"/>
        </w:rPr>
        <w:t>第四章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_Toc17739 \h </w:instrText>
      </w:r>
      <w:r>
        <w:rPr>
          <w:rFonts w:hint="eastAsia" w:ascii="仿宋" w:hAnsi="仿宋" w:eastAsia="仿宋" w:cs="仿宋"/>
          <w:sz w:val="28"/>
          <w:szCs w:val="28"/>
        </w:rPr>
        <w:fldChar w:fldCharType="separate"/>
      </w:r>
      <w:r>
        <w:rPr>
          <w:rFonts w:hint="eastAsia" w:ascii="仿宋" w:hAnsi="仿宋" w:eastAsia="仿宋" w:cs="仿宋"/>
          <w:sz w:val="28"/>
          <w:szCs w:val="28"/>
        </w:rPr>
        <w:t>10</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75A98A34">
      <w:pPr>
        <w:pStyle w:val="13"/>
        <w:tabs>
          <w:tab w:val="right" w:leader="dot" w:pos="9637"/>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_Toc30352 </w:instrText>
      </w:r>
      <w:r>
        <w:rPr>
          <w:rFonts w:hint="eastAsia" w:ascii="仿宋" w:hAnsi="仿宋" w:eastAsia="仿宋" w:cs="仿宋"/>
          <w:sz w:val="28"/>
          <w:szCs w:val="28"/>
        </w:rPr>
        <w:fldChar w:fldCharType="separate"/>
      </w:r>
      <w:r>
        <w:rPr>
          <w:rFonts w:hint="eastAsia" w:ascii="仿宋" w:hAnsi="仿宋" w:eastAsia="仿宋" w:cs="仿宋"/>
          <w:sz w:val="28"/>
          <w:szCs w:val="28"/>
        </w:rPr>
        <w:t>第五章 评分标准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_Toc30352 \h </w:instrText>
      </w:r>
      <w:r>
        <w:rPr>
          <w:rFonts w:hint="eastAsia" w:ascii="仿宋" w:hAnsi="仿宋" w:eastAsia="仿宋" w:cs="仿宋"/>
          <w:sz w:val="28"/>
          <w:szCs w:val="28"/>
        </w:rPr>
        <w:fldChar w:fldCharType="separate"/>
      </w:r>
      <w:r>
        <w:rPr>
          <w:rFonts w:hint="eastAsia" w:ascii="仿宋" w:hAnsi="仿宋" w:eastAsia="仿宋" w:cs="仿宋"/>
          <w:sz w:val="28"/>
          <w:szCs w:val="28"/>
        </w:rPr>
        <w:t>14</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713DCFC1">
      <w:pPr>
        <w:pStyle w:val="13"/>
        <w:tabs>
          <w:tab w:val="right" w:leader="dot" w:pos="9637"/>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_Toc22198 </w:instrText>
      </w:r>
      <w:r>
        <w:rPr>
          <w:rFonts w:hint="eastAsia" w:ascii="仿宋" w:hAnsi="仿宋" w:eastAsia="仿宋" w:cs="仿宋"/>
          <w:sz w:val="28"/>
          <w:szCs w:val="28"/>
        </w:rPr>
        <w:fldChar w:fldCharType="separate"/>
      </w:r>
      <w:r>
        <w:rPr>
          <w:rFonts w:hint="eastAsia" w:ascii="仿宋" w:hAnsi="仿宋" w:eastAsia="仿宋" w:cs="仿宋"/>
          <w:sz w:val="28"/>
          <w:szCs w:val="28"/>
        </w:rPr>
        <w:t>第六章 响应文件格式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_Toc22198 \h </w:instrText>
      </w:r>
      <w:r>
        <w:rPr>
          <w:rFonts w:hint="eastAsia" w:ascii="仿宋" w:hAnsi="仿宋" w:eastAsia="仿宋" w:cs="仿宋"/>
          <w:sz w:val="28"/>
          <w:szCs w:val="28"/>
        </w:rPr>
        <w:fldChar w:fldCharType="separate"/>
      </w:r>
      <w:r>
        <w:rPr>
          <w:rFonts w:hint="eastAsia" w:ascii="仿宋" w:hAnsi="仿宋" w:eastAsia="仿宋" w:cs="仿宋"/>
          <w:sz w:val="28"/>
          <w:szCs w:val="28"/>
        </w:rPr>
        <w:t>16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7DD1AC95">
      <w:pPr>
        <w:pStyle w:val="13"/>
        <w:tabs>
          <w:tab w:val="right" w:leader="dot" w:pos="9637"/>
        </w:tabs>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_Toc22788 </w:instrText>
      </w:r>
      <w:r>
        <w:rPr>
          <w:rFonts w:hint="eastAsia" w:ascii="仿宋" w:hAnsi="仿宋" w:eastAsia="仿宋" w:cs="仿宋"/>
          <w:sz w:val="28"/>
          <w:szCs w:val="28"/>
        </w:rPr>
        <w:fldChar w:fldCharType="separate"/>
      </w:r>
      <w:r>
        <w:rPr>
          <w:rFonts w:hint="eastAsia" w:ascii="仿宋" w:hAnsi="仿宋" w:eastAsia="仿宋" w:cs="仿宋"/>
          <w:sz w:val="28"/>
          <w:szCs w:val="28"/>
        </w:rPr>
        <w:t>第七章 合同条款（仅成交后使用）</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_Toc22788 \h </w:instrText>
      </w:r>
      <w:r>
        <w:rPr>
          <w:rFonts w:hint="eastAsia" w:ascii="仿宋" w:hAnsi="仿宋" w:eastAsia="仿宋" w:cs="仿宋"/>
          <w:sz w:val="28"/>
          <w:szCs w:val="28"/>
        </w:rPr>
        <w:fldChar w:fldCharType="separate"/>
      </w:r>
      <w:r>
        <w:rPr>
          <w:rFonts w:hint="eastAsia" w:ascii="仿宋" w:hAnsi="仿宋" w:eastAsia="仿宋" w:cs="仿宋"/>
          <w:sz w:val="28"/>
          <w:szCs w:val="28"/>
        </w:rPr>
        <w:t>30</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1973806C">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Cs w:val="28"/>
        </w:rPr>
        <w:fldChar w:fldCharType="end"/>
      </w:r>
    </w:p>
    <w:p w14:paraId="7F12773D">
      <w:pPr>
        <w:pStyle w:val="2"/>
        <w:rPr>
          <w:rFonts w:ascii="Times New Roman" w:hAnsi="Times New Roman" w:cs="Times New Roman"/>
        </w:rPr>
      </w:pPr>
      <w:bookmarkStart w:id="0" w:name="_Toc1907"/>
      <w:bookmarkStart w:id="1" w:name="_Toc62832406"/>
      <w:bookmarkStart w:id="2" w:name="_Toc3240"/>
      <w:bookmarkStart w:id="3" w:name="_Toc471310326"/>
      <w:bookmarkStart w:id="4" w:name="_Toc32610"/>
      <w:bookmarkStart w:id="5" w:name="_Toc20358"/>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01"/>
        <w:gridCol w:w="1989"/>
        <w:gridCol w:w="766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50791428">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6" w:hRule="atLeast"/>
          <w:jc w:val="center"/>
        </w:trPr>
        <w:tc>
          <w:tcPr>
            <w:tcW w:w="524" w:type="dxa"/>
            <w:tcBorders>
              <w:bottom w:val="single" w:color="auto" w:sz="4" w:space="0"/>
            </w:tcBorders>
            <w:vAlign w:val="center"/>
          </w:tcPr>
          <w:p w14:paraId="24E9AE16">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23C921FB">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四川省人民医院</w:t>
            </w:r>
            <w:r>
              <w:rPr>
                <w:rFonts w:hint="eastAsia" w:ascii="Times New Roman" w:hAnsi="Times New Roman" w:eastAsia="仿宋" w:cs="Times New Roman"/>
                <w:sz w:val="22"/>
                <w:lang w:val="en-US" w:eastAsia="zh-CN"/>
              </w:rPr>
              <w:t>2025年</w:t>
            </w:r>
            <w:r>
              <w:rPr>
                <w:rFonts w:hint="eastAsia" w:ascii="Times New Roman" w:hAnsi="Times New Roman" w:eastAsia="仿宋" w:cs="Times New Roman"/>
                <w:sz w:val="22"/>
                <w:lang w:eastAsia="zh-CN"/>
              </w:rPr>
              <w:t>流式细胞仪</w:t>
            </w:r>
            <w:r>
              <w:rPr>
                <w:rFonts w:hint="eastAsia" w:ascii="Times New Roman" w:hAnsi="Times New Roman" w:eastAsia="仿宋" w:cs="Times New Roman"/>
                <w:sz w:val="22"/>
              </w:rPr>
              <w:t>采购</w:t>
            </w:r>
            <w:r>
              <w:rPr>
                <w:rFonts w:ascii="Times New Roman" w:hAnsi="Times New Roman" w:eastAsia="仿宋" w:cs="Times New Roman"/>
                <w:sz w:val="22"/>
              </w:rPr>
              <w:t>项目</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E15CA3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lang w:val="en-US" w:eastAsia="zh-CN"/>
              </w:rPr>
              <w:t>CGZX-YXZ20251480</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33FA142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747BE0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16F6A22A">
            <w:pPr>
              <w:spacing w:line="360" w:lineRule="auto"/>
              <w:ind w:left="210" w:leftChars="100"/>
              <w:rPr>
                <w:rFonts w:hint="eastAsia" w:ascii="Times New Roman" w:hAnsi="Times New Roman" w:eastAsia="仿宋" w:cs="Times New Roman"/>
                <w:sz w:val="22"/>
                <w:lang w:val="en-US" w:eastAsia="zh-CN"/>
              </w:rPr>
            </w:pPr>
            <w:r>
              <w:rPr>
                <w:rFonts w:ascii="Times New Roman" w:hAnsi="Times New Roman" w:eastAsia="仿宋" w:cs="Times New Roman"/>
                <w:sz w:val="22"/>
              </w:rPr>
              <w:t>人民币</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100</w:t>
            </w:r>
            <w:r>
              <w:rPr>
                <w:rFonts w:hint="eastAsia" w:ascii="Times New Roman" w:hAnsi="Times New Roman" w:eastAsia="仿宋" w:cs="Times New Roman"/>
                <w:sz w:val="22"/>
                <w:u w:val="single"/>
              </w:rPr>
              <w:t>000.00</w:t>
            </w:r>
            <w:r>
              <w:rPr>
                <w:rFonts w:ascii="Times New Roman" w:hAnsi="Times New Roman" w:eastAsia="仿宋" w:cs="Times New Roman"/>
                <w:sz w:val="22"/>
              </w:rPr>
              <w:t>元</w:t>
            </w:r>
            <w:r>
              <w:rPr>
                <w:rFonts w:hint="eastAsia" w:ascii="Times New Roman" w:hAnsi="Times New Roman" w:eastAsia="仿宋" w:cs="Times New Roman"/>
                <w:sz w:val="22"/>
                <w:lang w:eastAsia="zh-CN"/>
              </w:rPr>
              <w:t>；</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1BF2307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0C1E086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3E2E00C2">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4B6ED6B6">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62FF482">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5830264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12B09244">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1AE804CF">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08E28B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24BF4EC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A3E651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26B9D930">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69DDB21E">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790710E5">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1F2025E4">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2F5A69A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合同金额的10%</w:t>
            </w:r>
            <w:r>
              <w:rPr>
                <w:rFonts w:ascii="Times New Roman" w:hAnsi="Times New Roman" w:eastAsia="仿宋" w:cs="Times New Roman"/>
                <w:sz w:val="22"/>
                <w:u w:val="single"/>
              </w:rPr>
              <w:t xml:space="preserve">   </w:t>
            </w:r>
          </w:p>
          <w:p w14:paraId="3A95077C">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w:t>
            </w:r>
            <w:r>
              <w:rPr>
                <w:rFonts w:hint="eastAsia" w:ascii="Times New Roman" w:hAnsi="Times New Roman" w:eastAsia="仿宋" w:cs="Times New Roman"/>
                <w:sz w:val="22"/>
                <w:szCs w:val="22"/>
                <w:lang w:val="zh-CN"/>
              </w:rPr>
              <w:t>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14:paraId="024D00A2">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p>
          <w:p w14:paraId="6E42CB6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color w:val="auto"/>
                <w:sz w:val="22"/>
                <w:szCs w:val="22"/>
                <w:lang w:val="zh-CN"/>
              </w:rPr>
            </w:pPr>
            <w:r>
              <w:rPr>
                <w:rFonts w:ascii="Times New Roman" w:hAnsi="Times New Roman" w:eastAsia="仿宋" w:cs="Times New Roman"/>
                <w:color w:val="auto"/>
                <w:sz w:val="22"/>
                <w:szCs w:val="22"/>
                <w:lang w:val="zh-CN"/>
              </w:rPr>
              <w:t>履</w:t>
            </w:r>
            <w:r>
              <w:rPr>
                <w:rFonts w:ascii="Times New Roman" w:hAnsi="Times New Roman" w:eastAsia="仿宋" w:cs="Times New Roman"/>
                <w:color w:val="auto"/>
                <w:sz w:val="22"/>
                <w:szCs w:val="22"/>
                <w:highlight w:val="none"/>
                <w:lang w:val="zh-CN"/>
              </w:rPr>
              <w:t>约保证金不予退还情形</w:t>
            </w:r>
            <w:r>
              <w:rPr>
                <w:rFonts w:ascii="Times New Roman" w:hAnsi="Times New Roman" w:eastAsia="仿宋" w:cs="Times New Roman"/>
                <w:color w:val="auto"/>
                <w:sz w:val="22"/>
                <w:szCs w:val="22"/>
                <w:lang w:val="zh-CN"/>
              </w:rPr>
              <w:t>：</w:t>
            </w:r>
          </w:p>
          <w:p w14:paraId="13817A45">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w:t>
            </w:r>
            <w:r>
              <w:rPr>
                <w:rFonts w:hint="eastAsia" w:ascii="Times New Roman" w:hAnsi="Times New Roman" w:eastAsia="仿宋" w:cs="Times New Roman"/>
                <w:sz w:val="22"/>
                <w:szCs w:val="22"/>
                <w:lang w:val="zh-CN"/>
              </w:rPr>
              <w:t>供应商拒绝履行与采购人订立的合同</w:t>
            </w:r>
            <w:r>
              <w:rPr>
                <w:rFonts w:ascii="Times New Roman" w:hAnsi="Times New Roman" w:eastAsia="仿宋" w:cs="Times New Roman"/>
                <w:sz w:val="22"/>
                <w:szCs w:val="22"/>
                <w:lang w:val="zh-CN"/>
              </w:rPr>
              <w:t>；</w:t>
            </w:r>
          </w:p>
          <w:p w14:paraId="693C72B8">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r>
              <w:rPr>
                <w:rFonts w:ascii="Times New Roman" w:hAnsi="Times New Roman" w:eastAsia="仿宋" w:cs="Times New Roman"/>
                <w:sz w:val="22"/>
                <w:szCs w:val="22"/>
                <w:lang w:val="zh-CN"/>
              </w:rPr>
              <w:t>；</w:t>
            </w:r>
          </w:p>
          <w:p w14:paraId="4F09EBE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7755E56">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05EB120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261E2F8A">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kern w:val="0"/>
                <w:sz w:val="22"/>
                <w:lang w:val="zh-CN"/>
              </w:rPr>
              <w:t>通过资格、符合性审查且满足谈判文件全部实质性要求的供应商达到3家以上(含3家)，若合格供应商只有2家，但采购文件没有不合理条款，且采购程序符合规定的，可以继续开展采购</w:t>
            </w:r>
            <w:r>
              <w:rPr>
                <w:rFonts w:hint="eastAsia" w:ascii="Times New Roman" w:hAnsi="Times New Roman" w:eastAsia="仿宋" w:cs="Times New Roman"/>
                <w:kern w:val="0"/>
                <w:sz w:val="22"/>
                <w:lang w:val="en-US" w:eastAsia="zh-CN"/>
              </w:rPr>
              <w:t>活动</w:t>
            </w:r>
            <w:r>
              <w:rPr>
                <w:rFonts w:hint="eastAsia" w:ascii="Times New Roman" w:hAnsi="Times New Roman" w:eastAsia="仿宋" w:cs="Times New Roman"/>
                <w:kern w:val="0"/>
                <w:sz w:val="22"/>
                <w:lang w:val="zh-CN"/>
              </w:rPr>
              <w:t>。谈判小组按照评审因素进行评分，得分最高的供应商为成交供应商。若得分相同则报价最低的为成交供应商，若报价相同且所有技术、服务及商务要求响应情况均一致，则采取随机抽取的方式确定成交供应商</w:t>
            </w:r>
            <w:r>
              <w:rPr>
                <w:rFonts w:ascii="Times New Roman" w:hAnsi="Times New Roman" w:eastAsia="仿宋" w:cs="Times New Roman"/>
                <w:kern w:val="0"/>
                <w:sz w:val="22"/>
                <w:lang w:val="zh-CN"/>
              </w:rPr>
              <w:t>。</w:t>
            </w:r>
          </w:p>
          <w:p w14:paraId="6F129B0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37D2F400">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w:t>
            </w:r>
            <w:r>
              <w:rPr>
                <w:rFonts w:hint="eastAsia" w:ascii="Times New Roman" w:hAnsi="Times New Roman" w:eastAsia="仿宋" w:cs="Times New Roman"/>
                <w:sz w:val="22"/>
              </w:rPr>
              <w:t>、服务</w:t>
            </w:r>
            <w:r>
              <w:rPr>
                <w:rFonts w:ascii="Times New Roman" w:hAnsi="Times New Roman" w:eastAsia="仿宋" w:cs="Times New Roman"/>
                <w:sz w:val="22"/>
              </w:rPr>
              <w:t>和商务</w:t>
            </w:r>
            <w:r>
              <w:rPr>
                <w:rFonts w:hint="eastAsia" w:ascii="Times New Roman" w:hAnsi="Times New Roman" w:eastAsia="仿宋" w:cs="Times New Roman"/>
                <w:sz w:val="22"/>
              </w:rPr>
              <w:t>条件</w:t>
            </w:r>
            <w:r>
              <w:rPr>
                <w:rFonts w:ascii="Times New Roman" w:hAnsi="Times New Roman" w:eastAsia="仿宋" w:cs="Times New Roman"/>
                <w:sz w:val="22"/>
              </w:rPr>
              <w:t>均符合</w:t>
            </w:r>
            <w:r>
              <w:rPr>
                <w:rFonts w:hint="eastAsia" w:ascii="Times New Roman" w:hAnsi="Times New Roman" w:eastAsia="仿宋" w:cs="Times New Roman"/>
                <w:sz w:val="22"/>
              </w:rPr>
              <w:t>谈判文件</w:t>
            </w:r>
            <w:r>
              <w:rPr>
                <w:rFonts w:ascii="Times New Roman" w:hAnsi="Times New Roman" w:eastAsia="仿宋" w:cs="Times New Roman"/>
                <w:sz w:val="22"/>
              </w:rPr>
              <w:t>要求的供应商达到3家以上（含3家），谈判小组按照有效报价进行评审，</w:t>
            </w:r>
            <w:r>
              <w:rPr>
                <w:rFonts w:ascii="Times New Roman" w:hAnsi="Times New Roman" w:eastAsia="仿宋" w:cs="Times New Roman"/>
                <w:b/>
                <w:bCs/>
                <w:sz w:val="22"/>
              </w:rPr>
              <w:t>有效报价最低</w:t>
            </w:r>
            <w:r>
              <w:rPr>
                <w:rFonts w:ascii="Times New Roman" w:hAnsi="Times New Roman" w:eastAsia="仿宋" w:cs="Times New Roman"/>
                <w:sz w:val="22"/>
              </w:rPr>
              <w:t>的供应商为成交供应商。</w:t>
            </w:r>
            <w:r>
              <w:rPr>
                <w:rFonts w:ascii="Times New Roman" w:hAnsi="Times New Roman" w:eastAsia="仿宋" w:cs="Times New Roman"/>
                <w:kern w:val="0"/>
                <w:sz w:val="22"/>
                <w:lang w:val="zh-CN"/>
              </w:rPr>
              <w:t>若报价相同</w:t>
            </w:r>
            <w:r>
              <w:rPr>
                <w:rFonts w:ascii="Times New Roman" w:hAnsi="Times New Roman" w:eastAsia="仿宋" w:cs="Times New Roman"/>
                <w:kern w:val="0"/>
                <w:sz w:val="22"/>
              </w:rPr>
              <w:t>且</w:t>
            </w:r>
            <w:r>
              <w:rPr>
                <w:rFonts w:ascii="Times New Roman" w:hAnsi="Times New Roman" w:eastAsia="仿宋" w:cs="Times New Roman"/>
                <w:kern w:val="0"/>
                <w:sz w:val="22"/>
                <w:lang w:val="zh-CN"/>
              </w:rPr>
              <w:t>所有技术、服务及商务</w:t>
            </w:r>
            <w:r>
              <w:rPr>
                <w:rFonts w:ascii="Times New Roman" w:hAnsi="Times New Roman" w:eastAsia="仿宋" w:cs="Times New Roman"/>
                <w:kern w:val="0"/>
                <w:sz w:val="22"/>
              </w:rPr>
              <w:t>要求响应情况均一致则</w:t>
            </w:r>
            <w:r>
              <w:rPr>
                <w:rFonts w:ascii="Times New Roman" w:hAnsi="Times New Roman" w:eastAsia="仿宋" w:cs="Times New Roman"/>
                <w:kern w:val="0"/>
                <w:sz w:val="22"/>
                <w:lang w:val="zh-CN"/>
              </w:rPr>
              <w:t>采取随机抽取的方式确定</w:t>
            </w:r>
            <w:r>
              <w:rPr>
                <w:rFonts w:ascii="Times New Roman" w:hAnsi="Times New Roman" w:eastAsia="仿宋" w:cs="Times New Roman"/>
                <w:kern w:val="0"/>
                <w:sz w:val="22"/>
              </w:rPr>
              <w:t>成交供应商</w:t>
            </w:r>
            <w:r>
              <w:rPr>
                <w:rFonts w:ascii="Times New Roman" w:hAnsi="Times New Roman" w:eastAsia="仿宋" w:cs="Times New Roman"/>
                <w:kern w:val="0"/>
                <w:sz w:val="22"/>
                <w:lang w:val="zh-CN"/>
              </w:rPr>
              <w:t>。</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7526FA8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66443D">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3554DCB6">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13A3F209">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0815B312">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4383793A">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51C5A7F8">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6C9A78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何老师028-87393387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ascii="Times New Roman" w:hAnsi="Times New Roman" w:eastAsia="仿宋" w:cs="Times New Roman"/>
                <w:sz w:val="22"/>
                <w:highlight w:val="none"/>
              </w:rPr>
              <w:t>归口部门：</w:t>
            </w:r>
            <w:r>
              <w:rPr>
                <w:rFonts w:hint="eastAsia" w:ascii="Times New Roman" w:hAnsi="Times New Roman" w:eastAsia="仿宋" w:cs="Times New Roman"/>
                <w:sz w:val="22"/>
                <w:highlight w:val="none"/>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宫</w:t>
            </w:r>
            <w:r>
              <w:rPr>
                <w:rFonts w:ascii="Times New Roman" w:hAnsi="Times New Roman" w:eastAsia="仿宋" w:cs="Times New Roman"/>
                <w:sz w:val="22"/>
              </w:rPr>
              <w:t>老师028-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3E2D23FB">
      <w:pPr>
        <w:pStyle w:val="2"/>
        <w:rPr>
          <w:rFonts w:ascii="Times New Roman" w:hAnsi="Times New Roman" w:cs="Times New Roman"/>
        </w:rPr>
      </w:pPr>
      <w:bookmarkStart w:id="6" w:name="_Toc21034"/>
      <w:bookmarkStart w:id="7" w:name="_Toc14460"/>
      <w:bookmarkStart w:id="8" w:name="_Toc24154"/>
      <w:bookmarkStart w:id="9" w:name="_Toc28050"/>
      <w:bookmarkStart w:id="10" w:name="_Toc19400"/>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22"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34"/>
        <w:gridCol w:w="2141"/>
        <w:gridCol w:w="7520"/>
      </w:tblGrid>
      <w:tr w14:paraId="55EE596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3A8509B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2FD5458B">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1FBA739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2710B0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6488639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FF78D48">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72B3919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4D9D7C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2F831BE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3E57C26">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3A9551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1A8D92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6BF5CBF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33DDD8B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70E01028">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4672DB4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7B2004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42617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2B5D8EA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0F34D3BE">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60FBEE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22AE03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w:t>
            </w:r>
            <w:r>
              <w:rPr>
                <w:rFonts w:hint="eastAsia" w:ascii="Times New Roman" w:hAnsi="Times New Roman" w:eastAsia="仿宋" w:cs="Times New Roman"/>
                <w:sz w:val="22"/>
              </w:rPr>
              <w:t>谈判小组根据谈判文件对供应商的响应文件进行资格审查、符合性审查及其他有效性审查。审查合格的供应商满足3家以上(含3家)，谈判小组按照评审方式进行评审，若合格供应商只有2家，但采购文件没有不合理条款，且采购程序符合规定的，可以继续开展采购</w:t>
            </w:r>
            <w:r>
              <w:rPr>
                <w:rFonts w:hint="eastAsia" w:ascii="Times New Roman" w:hAnsi="Times New Roman" w:eastAsia="仿宋" w:cs="Times New Roman"/>
                <w:sz w:val="22"/>
                <w:lang w:val="en-US" w:eastAsia="zh-CN"/>
              </w:rPr>
              <w:t>活动</w:t>
            </w:r>
            <w:r>
              <w:rPr>
                <w:rFonts w:hint="eastAsia" w:ascii="Times New Roman" w:hAnsi="Times New Roman" w:eastAsia="仿宋" w:cs="Times New Roman"/>
                <w:sz w:val="22"/>
              </w:rPr>
              <w:t>。</w:t>
            </w:r>
          </w:p>
          <w:p w14:paraId="316363E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后的在评审委员会规定时间内未回复做无效处理）。</w:t>
            </w:r>
          </w:p>
          <w:p w14:paraId="11F07440">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（3）谈判过程中，供应商进行二轮报价或多轮报价且次轮报价不得高于上轮报价，以供应商的最终报价作为有效报价参与评审。</w:t>
            </w:r>
          </w:p>
          <w:p w14:paraId="64EC8A91">
            <w:pPr>
              <w:spacing w:line="360" w:lineRule="auto"/>
              <w:ind w:left="210" w:leftChars="100"/>
              <w:rPr>
                <w:rFonts w:ascii="Times New Roman" w:hAnsi="Times New Roman" w:cs="Times New Roman"/>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tc>
      </w:tr>
      <w:tr w14:paraId="51DEA9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127C1616">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EF17AB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6CF7C64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AF903D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0FAE694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0FDC249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2FA43AFE">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2C8005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4C88E5A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1D1121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2D06357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393E758F">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5D3F56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3D3E4DCD">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13F654F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00177E54">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1DB4BDA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2C40E57">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A23EB67">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76E10F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A9709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（2）若响应文件存在虚假响应在评审阶段，谈判小组应将该响应文件作无效处理，若是成交后发现的，采购人应当取消其成交资格；</w:t>
            </w:r>
          </w:p>
          <w:p w14:paraId="1F29FDE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508B639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098831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4574379">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4CB265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02A1AE1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0AE01C76">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09DF790">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3E029E85">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5690B1BD">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261B01B">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1DEB22F8">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4523E6FD">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0AFBCB5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0E31EE9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DC5BD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7A8B4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7AC5C288">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DDEFCE6">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16EB2454">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112E5391">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2D60F642">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52D818B3">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344068D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F597DC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556BAE9">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ED63A59">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0F4ADFF0">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4C4064B5">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6304C4E2">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4BA917A">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08F869B2">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3B7407B">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11" w:name="_Toc11128"/>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
        <w:gridCol w:w="3051"/>
        <w:gridCol w:w="5317"/>
        <w:gridCol w:w="109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jc w:val="center"/>
              <w:rPr>
                <w:rFonts w:ascii="Times New Roman" w:hAnsi="Times New Roman" w:eastAsia="仿宋" w:cs="Times New Roman"/>
                <w:b/>
                <w:bCs/>
                <w:sz w:val="22"/>
              </w:rPr>
            </w:pPr>
            <w:r>
              <w:rPr>
                <w:rFonts w:hint="eastAsia" w:ascii="仿宋" w:hAnsi="仿宋" w:eastAsia="仿宋"/>
                <w:b/>
                <w:color w:val="000000" w:themeColor="text1"/>
                <w:sz w:val="22"/>
                <w:lang w:val="en-US" w:eastAsia="zh-CN"/>
                <w14:textFill>
                  <w14:solidFill>
                    <w14:schemeClr w14:val="tx1"/>
                  </w14:solidFill>
                </w14:textFill>
              </w:rPr>
              <w:t>经营许可</w:t>
            </w:r>
          </w:p>
        </w:tc>
        <w:tc>
          <w:tcPr>
            <w:tcW w:w="4398" w:type="dxa"/>
            <w:vAlign w:val="center"/>
          </w:tcPr>
          <w:p w14:paraId="5974F786">
            <w:pPr>
              <w:rPr>
                <w:rFonts w:ascii="Times New Roman" w:hAnsi="Times New Roman" w:eastAsia="仿宋" w:cs="Times New Roman"/>
                <w:sz w:val="22"/>
                <w:u w:val="none"/>
              </w:rPr>
            </w:pPr>
            <w:r>
              <w:rPr>
                <w:rFonts w:hint="eastAsia" w:ascii="Times New Roman" w:hAnsi="Times New Roman" w:eastAsia="仿宋" w:cs="Times New Roman"/>
                <w:sz w:val="22"/>
                <w:u w:val="none"/>
              </w:rPr>
              <w:t>供应商须符合《医疗器械监督管理条例》要求，如响应产品需经营企业具备医疗器械经营备案或经营许可证的，应提供医疗器械生产或经营企业许可证或备案证明材料。</w:t>
            </w:r>
          </w:p>
        </w:tc>
        <w:tc>
          <w:tcPr>
            <w:tcW w:w="902" w:type="dxa"/>
            <w:vAlign w:val="center"/>
          </w:tcPr>
          <w:p w14:paraId="7748C337">
            <w:pPr>
              <w:jc w:val="left"/>
              <w:rPr>
                <w:rFonts w:ascii="Times New Roman" w:hAnsi="Times New Roman" w:eastAsia="仿宋" w:cs="Times New Roman"/>
                <w:bCs/>
                <w:kern w:val="0"/>
                <w:sz w:val="22"/>
              </w:rPr>
            </w:pPr>
          </w:p>
        </w:tc>
      </w:tr>
      <w:tr w14:paraId="7F556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47897AC2">
            <w:pPr>
              <w:jc w:val="center"/>
              <w:rPr>
                <w:rFonts w:ascii="Times New Roman" w:hAnsi="Times New Roman" w:eastAsia="仿宋" w:cs="Times New Roman"/>
                <w:sz w:val="22"/>
              </w:rPr>
            </w:pPr>
            <w:r>
              <w:rPr>
                <w:rFonts w:hint="eastAsia" w:ascii="Times New Roman" w:hAnsi="Times New Roman" w:eastAsia="仿宋" w:cs="Times New Roman"/>
                <w:sz w:val="22"/>
                <w:lang w:val="en-US" w:eastAsia="zh-CN"/>
              </w:rPr>
              <w:t>10</w:t>
            </w:r>
          </w:p>
        </w:tc>
        <w:tc>
          <w:tcPr>
            <w:tcW w:w="2524" w:type="dxa"/>
            <w:vAlign w:val="center"/>
          </w:tcPr>
          <w:p w14:paraId="78AF5B38">
            <w:pPr>
              <w:jc w:val="center"/>
              <w:rPr>
                <w:rFonts w:ascii="Times New Roman" w:hAnsi="Times New Roman" w:eastAsia="仿宋" w:cs="Times New Roman"/>
                <w:b/>
                <w:bCs/>
                <w:sz w:val="22"/>
              </w:rPr>
            </w:pPr>
            <w:r>
              <w:rPr>
                <w:rFonts w:hint="eastAsia" w:ascii="仿宋" w:hAnsi="仿宋" w:eastAsia="仿宋"/>
                <w:b/>
                <w:color w:val="000000" w:themeColor="text1"/>
                <w:sz w:val="22"/>
                <w:lang w:val="en-US" w:eastAsia="zh-CN"/>
                <w14:textFill>
                  <w14:solidFill>
                    <w14:schemeClr w14:val="tx1"/>
                  </w14:solidFill>
                </w14:textFill>
              </w:rPr>
              <w:t>产品授权</w:t>
            </w:r>
          </w:p>
        </w:tc>
        <w:tc>
          <w:tcPr>
            <w:tcW w:w="4398" w:type="dxa"/>
            <w:vAlign w:val="center"/>
          </w:tcPr>
          <w:p w14:paraId="7DCA9E6F">
            <w:pPr>
              <w:rPr>
                <w:rFonts w:hint="eastAsia" w:ascii="Times New Roman" w:hAnsi="Times New Roman" w:eastAsia="仿宋" w:cs="Times New Roman"/>
                <w:sz w:val="22"/>
                <w:u w:val="none"/>
                <w:lang w:val="en-US" w:eastAsia="zh-CN"/>
              </w:rPr>
            </w:pPr>
            <w:r>
              <w:rPr>
                <w:rFonts w:hint="eastAsia" w:ascii="仿宋" w:hAnsi="仿宋" w:eastAsia="仿宋"/>
                <w:b w:val="0"/>
                <w:bCs/>
                <w:color w:val="000000" w:themeColor="text1"/>
                <w:sz w:val="22"/>
                <w:lang w:val="en-US" w:eastAsia="zh-CN"/>
                <w14:textFill>
                  <w14:solidFill>
                    <w14:schemeClr w14:val="tx1"/>
                  </w14:solidFill>
                </w14:textFill>
              </w:rPr>
              <w:t>响应供应商获得的经销授权书复印件（逐级，加盖响应供应商公章）（如涉及）</w:t>
            </w:r>
          </w:p>
        </w:tc>
        <w:tc>
          <w:tcPr>
            <w:tcW w:w="902" w:type="dxa"/>
            <w:vAlign w:val="center"/>
          </w:tcPr>
          <w:p w14:paraId="21B654AE">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
        <w:gridCol w:w="2484"/>
        <w:gridCol w:w="5884"/>
        <w:gridCol w:w="109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4867" w:type="dxa"/>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符合谈判文件要求;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符合谈判文件报价要求;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7739"/>
      <w:bookmarkStart w:id="13" w:name="_Toc12668"/>
      <w:bookmarkStart w:id="14" w:name="_Toc3988"/>
      <w:r>
        <w:rPr>
          <w:rFonts w:ascii="Times New Roman" w:hAnsi="Times New Roman" w:cs="Times New Roman"/>
        </w:rPr>
        <w:t>采购需求</w:t>
      </w:r>
      <w:bookmarkEnd w:id="12"/>
      <w:bookmarkEnd w:id="13"/>
      <w:bookmarkEnd w:id="14"/>
    </w:p>
    <w:p w14:paraId="1E08CD21">
      <w:pPr>
        <w:pStyle w:val="16"/>
        <w:numPr>
          <w:ilvl w:val="0"/>
          <w:numId w:val="0"/>
        </w:numPr>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kern w:val="2"/>
          <w:sz w:val="24"/>
          <w:szCs w:val="24"/>
          <w:lang w:val="en-US" w:eastAsia="zh-CN" w:bidi="ar-SA"/>
        </w:rPr>
        <w:t>一、</w:t>
      </w:r>
      <w:r>
        <w:rPr>
          <w:rFonts w:hint="eastAsia" w:ascii="仿宋" w:hAnsi="仿宋" w:eastAsia="仿宋" w:cs="仿宋"/>
          <w:b/>
          <w:bCs/>
          <w:color w:val="auto"/>
          <w:sz w:val="24"/>
          <w:szCs w:val="24"/>
          <w:highlight w:val="none"/>
        </w:rPr>
        <w:t>项目简介</w:t>
      </w:r>
    </w:p>
    <w:p w14:paraId="676BA809">
      <w:pPr>
        <w:pStyle w:val="16"/>
        <w:numPr>
          <w:ilvl w:val="0"/>
          <w:numId w:val="0"/>
        </w:num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本项目拟采用</w:t>
      </w:r>
      <w:r>
        <w:rPr>
          <w:rFonts w:hint="eastAsia" w:ascii="仿宋" w:hAnsi="仿宋" w:eastAsia="仿宋" w:cs="仿宋"/>
          <w:color w:val="auto"/>
          <w:sz w:val="24"/>
          <w:szCs w:val="24"/>
          <w:highlight w:val="none"/>
          <w:lang w:val="en-US" w:eastAsia="zh-CN"/>
        </w:rPr>
        <w:t>谈判采购</w:t>
      </w:r>
      <w:r>
        <w:rPr>
          <w:rFonts w:hint="eastAsia" w:ascii="仿宋" w:hAnsi="仿宋" w:eastAsia="仿宋" w:cs="仿宋"/>
          <w:color w:val="auto"/>
          <w:sz w:val="24"/>
          <w:szCs w:val="24"/>
          <w:highlight w:val="none"/>
        </w:rPr>
        <w:t>的方式</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kern w:val="2"/>
          <w:sz w:val="24"/>
          <w:szCs w:val="24"/>
          <w:highlight w:val="none"/>
          <w:lang w:val="en-US" w:eastAsia="zh-CN" w:bidi="ar-SA"/>
        </w:rPr>
        <w:t>流式细胞仪</w:t>
      </w:r>
      <w:r>
        <w:rPr>
          <w:rFonts w:hint="eastAsia" w:ascii="仿宋" w:hAnsi="仿宋" w:eastAsia="仿宋" w:cs="仿宋"/>
          <w:color w:val="auto"/>
          <w:sz w:val="24"/>
          <w:szCs w:val="24"/>
          <w:highlight w:val="none"/>
          <w:lang w:val="en-US" w:eastAsia="zh-CN"/>
        </w:rPr>
        <w:t>。</w:t>
      </w:r>
    </w:p>
    <w:p w14:paraId="5DB3FD47">
      <w:pPr>
        <w:pStyle w:val="16"/>
        <w:numPr>
          <w:ilvl w:val="0"/>
          <w:numId w:val="0"/>
        </w:numPr>
        <w:ind w:left="0" w:leftChars="0" w:firstLine="422" w:firstLineChars="175"/>
        <w:outlineLvl w:val="3"/>
        <w:rPr>
          <w:rFonts w:hint="eastAsia" w:ascii="仿宋" w:hAnsi="仿宋" w:eastAsia="仿宋" w:cs="仿宋"/>
          <w:b/>
          <w:bCs w:val="0"/>
          <w:color w:val="auto"/>
          <w:kern w:val="2"/>
          <w:sz w:val="28"/>
          <w:szCs w:val="28"/>
          <w:highlight w:val="none"/>
          <w:lang w:val="en-US" w:eastAsia="zh-CN" w:bidi="ar-SA"/>
        </w:rPr>
      </w:pPr>
      <w:r>
        <w:rPr>
          <w:rFonts w:hint="eastAsia" w:ascii="仿宋" w:hAnsi="仿宋" w:eastAsia="仿宋" w:cs="仿宋"/>
          <w:b/>
          <w:bCs/>
          <w:color w:val="auto"/>
          <w:sz w:val="24"/>
          <w:szCs w:val="24"/>
          <w:highlight w:val="none"/>
          <w:lang w:val="en-US" w:eastAsia="zh-CN"/>
        </w:rPr>
        <w:t>二、采</w:t>
      </w:r>
      <w:r>
        <w:rPr>
          <w:rFonts w:hint="eastAsia" w:ascii="仿宋" w:hAnsi="仿宋" w:eastAsia="仿宋" w:cs="仿宋"/>
          <w:b/>
          <w:bCs w:val="0"/>
          <w:color w:val="auto"/>
          <w:kern w:val="2"/>
          <w:sz w:val="24"/>
          <w:szCs w:val="24"/>
          <w:highlight w:val="none"/>
          <w:lang w:val="en-US" w:eastAsia="zh-CN" w:bidi="ar-SA"/>
        </w:rPr>
        <w:t>购清单</w:t>
      </w:r>
    </w:p>
    <w:tbl>
      <w:tblPr>
        <w:tblStyle w:val="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9"/>
        <w:gridCol w:w="1455"/>
        <w:gridCol w:w="957"/>
        <w:gridCol w:w="957"/>
        <w:gridCol w:w="1351"/>
        <w:gridCol w:w="1351"/>
        <w:gridCol w:w="1543"/>
        <w:gridCol w:w="2143"/>
      </w:tblGrid>
      <w:tr w14:paraId="00DF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316" w:type="pct"/>
            <w:vAlign w:val="center"/>
          </w:tcPr>
          <w:p w14:paraId="16E44788">
            <w:pPr>
              <w:tabs>
                <w:tab w:val="left" w:pos="1134"/>
              </w:tabs>
              <w:snapToGrid w:val="0"/>
              <w:spacing w:line="240" w:lineRule="auto"/>
              <w:ind w:left="0" w:leftChars="0" w:right="0" w:rightChars="0" w:firstLine="0" w:firstLineChars="0"/>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序号</w:t>
            </w:r>
          </w:p>
        </w:tc>
        <w:tc>
          <w:tcPr>
            <w:tcW w:w="698" w:type="pct"/>
            <w:vAlign w:val="center"/>
          </w:tcPr>
          <w:p w14:paraId="611D9BC1">
            <w:pPr>
              <w:tabs>
                <w:tab w:val="left" w:pos="1134"/>
              </w:tabs>
              <w:snapToGrid w:val="0"/>
              <w:spacing w:line="240" w:lineRule="auto"/>
              <w:ind w:left="0" w:leftChars="0" w:right="0" w:rightChars="0" w:firstLine="0" w:firstLineChars="0"/>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设备名称</w:t>
            </w:r>
          </w:p>
        </w:tc>
        <w:tc>
          <w:tcPr>
            <w:tcW w:w="459" w:type="pct"/>
            <w:vAlign w:val="center"/>
          </w:tcPr>
          <w:p w14:paraId="0E8F92CC">
            <w:pPr>
              <w:tabs>
                <w:tab w:val="left" w:pos="1134"/>
              </w:tabs>
              <w:snapToGrid w:val="0"/>
              <w:spacing w:line="240" w:lineRule="auto"/>
              <w:ind w:left="0" w:leftChars="0" w:right="0" w:rightChars="0" w:firstLine="0" w:firstLineChars="0"/>
              <w:jc w:val="center"/>
              <w:rPr>
                <w:rFonts w:hint="eastAsia" w:ascii="仿宋" w:hAnsi="仿宋" w:eastAsia="仿宋" w:cs="仿宋"/>
                <w:b/>
                <w:sz w:val="24"/>
                <w:szCs w:val="24"/>
                <w:highlight w:val="none"/>
                <w:lang w:val="en-US" w:eastAsia="zh-CN"/>
              </w:rPr>
            </w:pPr>
            <w:r>
              <w:rPr>
                <w:rFonts w:hint="eastAsia" w:ascii="仿宋" w:hAnsi="仿宋" w:eastAsia="仿宋" w:cs="仿宋"/>
                <w:b/>
                <w:bCs/>
                <w:color w:val="auto"/>
                <w:sz w:val="24"/>
                <w:szCs w:val="24"/>
                <w:highlight w:val="none"/>
              </w:rPr>
              <w:t>★</w:t>
            </w:r>
            <w:r>
              <w:rPr>
                <w:rFonts w:hint="eastAsia" w:ascii="仿宋" w:hAnsi="仿宋" w:eastAsia="仿宋" w:cs="仿宋"/>
                <w:b/>
                <w:sz w:val="24"/>
                <w:szCs w:val="24"/>
                <w:highlight w:val="none"/>
              </w:rPr>
              <w:t>数量</w:t>
            </w:r>
          </w:p>
        </w:tc>
        <w:tc>
          <w:tcPr>
            <w:tcW w:w="459" w:type="pct"/>
            <w:vAlign w:val="center"/>
          </w:tcPr>
          <w:p w14:paraId="6C228C71">
            <w:pPr>
              <w:tabs>
                <w:tab w:val="left" w:pos="1134"/>
              </w:tabs>
              <w:snapToGrid w:val="0"/>
              <w:spacing w:line="240" w:lineRule="auto"/>
              <w:ind w:left="0" w:leftChars="0" w:right="0" w:rightChars="0" w:firstLine="0" w:firstLineChars="0"/>
              <w:jc w:val="center"/>
              <w:rPr>
                <w:rFonts w:hint="eastAsia" w:ascii="仿宋" w:hAnsi="仿宋" w:eastAsia="仿宋" w:cs="仿宋"/>
                <w:b/>
                <w:sz w:val="24"/>
                <w:szCs w:val="24"/>
                <w:highlight w:val="none"/>
                <w:lang w:val="en-US" w:eastAsia="zh-CN"/>
              </w:rPr>
            </w:pPr>
            <w:r>
              <w:rPr>
                <w:rFonts w:hint="eastAsia" w:ascii="仿宋" w:hAnsi="仿宋" w:eastAsia="仿宋" w:cs="仿宋"/>
                <w:b/>
                <w:bCs/>
                <w:color w:val="auto"/>
                <w:sz w:val="24"/>
                <w:szCs w:val="24"/>
                <w:highlight w:val="none"/>
              </w:rPr>
              <w:t>★</w:t>
            </w:r>
            <w:r>
              <w:rPr>
                <w:rFonts w:hint="eastAsia" w:ascii="仿宋" w:hAnsi="仿宋" w:eastAsia="仿宋" w:cs="仿宋"/>
                <w:b/>
                <w:sz w:val="24"/>
                <w:szCs w:val="24"/>
                <w:highlight w:val="none"/>
                <w:lang w:val="en-US" w:eastAsia="zh-CN"/>
              </w:rPr>
              <w:t>单位</w:t>
            </w:r>
          </w:p>
        </w:tc>
        <w:tc>
          <w:tcPr>
            <w:tcW w:w="648" w:type="pct"/>
            <w:vAlign w:val="center"/>
          </w:tcPr>
          <w:p w14:paraId="7E7AC4DA">
            <w:pPr>
              <w:tabs>
                <w:tab w:val="left" w:pos="1134"/>
              </w:tabs>
              <w:snapToGrid w:val="0"/>
              <w:spacing w:line="240" w:lineRule="auto"/>
              <w:ind w:left="0" w:leftChars="0" w:right="0" w:rightChars="0"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w:t>
            </w:r>
            <w:r>
              <w:rPr>
                <w:rFonts w:hint="eastAsia" w:ascii="仿宋" w:hAnsi="仿宋" w:eastAsia="仿宋" w:cs="仿宋"/>
                <w:b/>
                <w:sz w:val="24"/>
                <w:szCs w:val="24"/>
                <w:highlight w:val="none"/>
              </w:rPr>
              <w:t>限高</w:t>
            </w:r>
            <w:r>
              <w:rPr>
                <w:rFonts w:hint="eastAsia" w:ascii="仿宋" w:hAnsi="仿宋" w:eastAsia="仿宋" w:cs="仿宋"/>
                <w:b/>
                <w:sz w:val="24"/>
                <w:szCs w:val="24"/>
                <w:highlight w:val="none"/>
                <w:lang w:val="en-US" w:eastAsia="zh-CN"/>
              </w:rPr>
              <w:t>单</w:t>
            </w:r>
            <w:r>
              <w:rPr>
                <w:rFonts w:hint="eastAsia" w:ascii="仿宋" w:hAnsi="仿宋" w:eastAsia="仿宋" w:cs="仿宋"/>
                <w:b/>
                <w:sz w:val="24"/>
                <w:szCs w:val="24"/>
                <w:highlight w:val="none"/>
              </w:rPr>
              <w:t>价（</w:t>
            </w:r>
            <w:r>
              <w:rPr>
                <w:rFonts w:hint="eastAsia" w:ascii="仿宋" w:hAnsi="仿宋" w:eastAsia="仿宋" w:cs="仿宋"/>
                <w:b/>
                <w:sz w:val="24"/>
                <w:szCs w:val="24"/>
                <w:highlight w:val="none"/>
                <w:lang w:val="en-US" w:eastAsia="zh-CN"/>
              </w:rPr>
              <w:t>万</w:t>
            </w:r>
            <w:r>
              <w:rPr>
                <w:rFonts w:hint="eastAsia" w:ascii="仿宋" w:hAnsi="仿宋" w:eastAsia="仿宋" w:cs="仿宋"/>
                <w:b/>
                <w:sz w:val="24"/>
                <w:szCs w:val="24"/>
                <w:highlight w:val="none"/>
              </w:rPr>
              <w:t>元）</w:t>
            </w:r>
          </w:p>
        </w:tc>
        <w:tc>
          <w:tcPr>
            <w:tcW w:w="648" w:type="pct"/>
            <w:vAlign w:val="center"/>
          </w:tcPr>
          <w:p w14:paraId="2A8F8169">
            <w:pPr>
              <w:tabs>
                <w:tab w:val="left" w:pos="1134"/>
              </w:tabs>
              <w:snapToGrid w:val="0"/>
              <w:spacing w:line="240" w:lineRule="auto"/>
              <w:ind w:left="0" w:leftChars="0" w:right="0" w:rightChars="0" w:firstLine="0" w:firstLineChars="0"/>
              <w:jc w:val="center"/>
              <w:rPr>
                <w:rFonts w:hint="eastAsia" w:ascii="仿宋" w:hAnsi="仿宋" w:eastAsia="仿宋" w:cs="仿宋"/>
                <w:b/>
                <w:sz w:val="24"/>
                <w:szCs w:val="24"/>
                <w:highlight w:val="none"/>
              </w:rPr>
            </w:pPr>
            <w:r>
              <w:rPr>
                <w:rFonts w:hint="eastAsia" w:ascii="仿宋" w:hAnsi="仿宋" w:eastAsia="仿宋" w:cs="仿宋"/>
                <w:b/>
                <w:bCs/>
                <w:color w:val="auto"/>
                <w:sz w:val="24"/>
                <w:szCs w:val="24"/>
                <w:highlight w:val="none"/>
              </w:rPr>
              <w:t>★</w:t>
            </w:r>
            <w:r>
              <w:rPr>
                <w:rFonts w:hint="eastAsia" w:ascii="仿宋" w:hAnsi="仿宋" w:eastAsia="仿宋" w:cs="仿宋"/>
                <w:b/>
                <w:sz w:val="24"/>
                <w:szCs w:val="24"/>
                <w:highlight w:val="none"/>
              </w:rPr>
              <w:t>限高</w:t>
            </w:r>
            <w:r>
              <w:rPr>
                <w:rFonts w:hint="eastAsia" w:ascii="仿宋" w:hAnsi="仿宋" w:eastAsia="仿宋" w:cs="仿宋"/>
                <w:b/>
                <w:sz w:val="24"/>
                <w:szCs w:val="24"/>
                <w:highlight w:val="none"/>
                <w:lang w:val="en-US" w:eastAsia="zh-CN"/>
              </w:rPr>
              <w:t>总</w:t>
            </w:r>
            <w:r>
              <w:rPr>
                <w:rFonts w:hint="eastAsia" w:ascii="仿宋" w:hAnsi="仿宋" w:eastAsia="仿宋" w:cs="仿宋"/>
                <w:b/>
                <w:sz w:val="24"/>
                <w:szCs w:val="24"/>
                <w:highlight w:val="none"/>
              </w:rPr>
              <w:t>价（</w:t>
            </w:r>
            <w:r>
              <w:rPr>
                <w:rFonts w:hint="eastAsia" w:ascii="仿宋" w:hAnsi="仿宋" w:eastAsia="仿宋" w:cs="仿宋"/>
                <w:b/>
                <w:sz w:val="24"/>
                <w:szCs w:val="24"/>
                <w:highlight w:val="none"/>
                <w:lang w:val="en-US" w:eastAsia="zh-CN"/>
              </w:rPr>
              <w:t>万</w:t>
            </w:r>
            <w:r>
              <w:rPr>
                <w:rFonts w:hint="eastAsia" w:ascii="仿宋" w:hAnsi="仿宋" w:eastAsia="仿宋" w:cs="仿宋"/>
                <w:b/>
                <w:sz w:val="24"/>
                <w:szCs w:val="24"/>
                <w:highlight w:val="none"/>
              </w:rPr>
              <w:t>元）</w:t>
            </w:r>
          </w:p>
        </w:tc>
        <w:tc>
          <w:tcPr>
            <w:tcW w:w="740" w:type="pct"/>
            <w:vAlign w:val="center"/>
          </w:tcPr>
          <w:p w14:paraId="02686DEB">
            <w:pPr>
              <w:tabs>
                <w:tab w:val="left" w:pos="1134"/>
              </w:tabs>
              <w:snapToGrid w:val="0"/>
              <w:spacing w:line="240" w:lineRule="auto"/>
              <w:ind w:left="0" w:leftChars="0" w:right="0" w:rightChars="0" w:firstLine="0" w:firstLineChars="0"/>
              <w:jc w:val="center"/>
              <w:rPr>
                <w:rFonts w:hint="eastAsia" w:ascii="仿宋" w:hAnsi="仿宋" w:eastAsia="仿宋" w:cs="仿宋"/>
                <w:b/>
                <w:sz w:val="24"/>
                <w:szCs w:val="24"/>
                <w:highlight w:val="none"/>
              </w:rPr>
            </w:pPr>
            <w:r>
              <w:rPr>
                <w:rFonts w:hint="eastAsia" w:ascii="仿宋" w:hAnsi="仿宋" w:eastAsia="仿宋" w:cs="仿宋"/>
                <w:b/>
                <w:bCs/>
                <w:color w:val="auto"/>
                <w:sz w:val="24"/>
                <w:szCs w:val="24"/>
                <w:highlight w:val="none"/>
              </w:rPr>
              <w:t>★</w:t>
            </w:r>
            <w:r>
              <w:rPr>
                <w:rFonts w:hint="eastAsia" w:ascii="仿宋" w:hAnsi="仿宋" w:eastAsia="仿宋" w:cs="仿宋"/>
                <w:b/>
                <w:sz w:val="24"/>
                <w:szCs w:val="24"/>
                <w:highlight w:val="none"/>
              </w:rPr>
              <w:t>是否允许进口</w:t>
            </w:r>
          </w:p>
        </w:tc>
        <w:tc>
          <w:tcPr>
            <w:tcW w:w="1028" w:type="pct"/>
            <w:vAlign w:val="center"/>
          </w:tcPr>
          <w:p w14:paraId="53C7204C">
            <w:pPr>
              <w:tabs>
                <w:tab w:val="left" w:pos="1134"/>
              </w:tabs>
              <w:snapToGrid w:val="0"/>
              <w:spacing w:line="240" w:lineRule="auto"/>
              <w:ind w:left="0" w:leftChars="0" w:right="0" w:rightChars="0" w:firstLine="0" w:firstLineChars="0"/>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★响应产品是否具备医疗器械产品注册证或备案凭证</w:t>
            </w:r>
          </w:p>
        </w:tc>
      </w:tr>
      <w:tr w14:paraId="69397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316" w:type="pct"/>
            <w:vAlign w:val="center"/>
          </w:tcPr>
          <w:p w14:paraId="0A18AFCE">
            <w:pPr>
              <w:widowControl/>
              <w:snapToGrid w:val="0"/>
              <w:ind w:left="0" w:leftChars="0" w:right="0" w:rightChars="0" w:firstLine="0" w:firstLineChars="0"/>
              <w:jc w:val="center"/>
              <w:textAlignment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w:t>
            </w:r>
          </w:p>
        </w:tc>
        <w:tc>
          <w:tcPr>
            <w:tcW w:w="698" w:type="pct"/>
            <w:shd w:val="clear" w:color="auto" w:fill="auto"/>
            <w:vAlign w:val="center"/>
          </w:tcPr>
          <w:p w14:paraId="36B2F4B9">
            <w:pPr>
              <w:widowControl/>
              <w:snapToGrid w:val="0"/>
              <w:ind w:left="0" w:leftChars="0" w:right="0" w:rightChars="0" w:firstLine="0" w:firstLineChars="0"/>
              <w:jc w:val="center"/>
              <w:textAlignment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流式细胞仪</w:t>
            </w:r>
          </w:p>
        </w:tc>
        <w:tc>
          <w:tcPr>
            <w:tcW w:w="459" w:type="pct"/>
            <w:shd w:val="clear" w:color="auto" w:fill="auto"/>
            <w:vAlign w:val="center"/>
          </w:tcPr>
          <w:p w14:paraId="26DA6109">
            <w:pPr>
              <w:widowControl/>
              <w:snapToGrid w:val="0"/>
              <w:ind w:left="0" w:leftChars="0" w:right="0" w:rightChars="0" w:firstLine="0" w:firstLineChars="0"/>
              <w:jc w:val="center"/>
              <w:textAlignment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w:t>
            </w:r>
          </w:p>
        </w:tc>
        <w:tc>
          <w:tcPr>
            <w:tcW w:w="459" w:type="pct"/>
            <w:shd w:val="clear" w:color="auto" w:fill="auto"/>
            <w:vAlign w:val="center"/>
          </w:tcPr>
          <w:p w14:paraId="7BE0C72E">
            <w:pPr>
              <w:widowControl/>
              <w:snapToGrid w:val="0"/>
              <w:ind w:left="0" w:leftChars="0" w:right="0" w:rightChars="0" w:firstLine="0" w:firstLineChars="0"/>
              <w:jc w:val="center"/>
              <w:textAlignment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套</w:t>
            </w:r>
          </w:p>
        </w:tc>
        <w:tc>
          <w:tcPr>
            <w:tcW w:w="648" w:type="pct"/>
            <w:shd w:val="clear" w:color="auto" w:fill="auto"/>
            <w:vAlign w:val="center"/>
          </w:tcPr>
          <w:p w14:paraId="730BF17F">
            <w:pPr>
              <w:widowControl/>
              <w:snapToGrid w:val="0"/>
              <w:ind w:left="0" w:leftChars="0" w:right="0" w:rightChars="0" w:firstLine="0" w:firstLineChars="0"/>
              <w:jc w:val="center"/>
              <w:textAlignment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5</w:t>
            </w:r>
          </w:p>
        </w:tc>
        <w:tc>
          <w:tcPr>
            <w:tcW w:w="648" w:type="pct"/>
            <w:shd w:val="clear" w:color="auto" w:fill="auto"/>
            <w:vAlign w:val="center"/>
          </w:tcPr>
          <w:p w14:paraId="13ACEA62">
            <w:pPr>
              <w:widowControl/>
              <w:snapToGrid w:val="0"/>
              <w:ind w:left="0" w:leftChars="0" w:right="0" w:rightChars="0" w:firstLine="0" w:firstLineChars="0"/>
              <w:jc w:val="center"/>
              <w:textAlignment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10</w:t>
            </w:r>
          </w:p>
        </w:tc>
        <w:tc>
          <w:tcPr>
            <w:tcW w:w="740" w:type="pct"/>
            <w:shd w:val="clear" w:color="auto" w:fill="auto"/>
            <w:vAlign w:val="center"/>
          </w:tcPr>
          <w:p w14:paraId="387C4B19">
            <w:pPr>
              <w:widowControl/>
              <w:snapToGrid w:val="0"/>
              <w:ind w:left="0" w:leftChars="0" w:right="0" w:rightChars="0" w:firstLine="0" w:firstLineChars="0"/>
              <w:jc w:val="center"/>
              <w:textAlignment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是</w:t>
            </w:r>
          </w:p>
        </w:tc>
        <w:tc>
          <w:tcPr>
            <w:tcW w:w="1028" w:type="pct"/>
            <w:shd w:val="clear" w:color="auto" w:fill="auto"/>
            <w:vAlign w:val="center"/>
          </w:tcPr>
          <w:p w14:paraId="2F4EC0C5">
            <w:pPr>
              <w:widowControl/>
              <w:snapToGrid w:val="0"/>
              <w:jc w:val="center"/>
              <w:textAlignment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是</w:t>
            </w:r>
          </w:p>
        </w:tc>
      </w:tr>
    </w:tbl>
    <w:p w14:paraId="39FCA10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2" w:firstLineChars="200"/>
        <w:textAlignment w:val="auto"/>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bCs/>
          <w:color w:val="auto"/>
          <w:sz w:val="24"/>
          <w:szCs w:val="24"/>
          <w:highlight w:val="none"/>
          <w:lang w:val="en-US" w:eastAsia="zh-CN"/>
        </w:rPr>
        <w:t>三、技术</w:t>
      </w:r>
      <w:r>
        <w:rPr>
          <w:rFonts w:hint="eastAsia" w:ascii="仿宋" w:hAnsi="仿宋" w:eastAsia="仿宋" w:cs="仿宋"/>
          <w:b/>
          <w:bCs/>
          <w:color w:val="auto"/>
          <w:sz w:val="24"/>
          <w:szCs w:val="24"/>
          <w:highlight w:val="none"/>
        </w:rPr>
        <w:t>、服务要求</w:t>
      </w:r>
      <w:r>
        <w:rPr>
          <w:rFonts w:hint="eastAsia" w:ascii="仿宋" w:hAnsi="仿宋" w:eastAsia="仿宋" w:cs="仿宋"/>
          <w:b/>
          <w:bCs/>
          <w:color w:val="auto"/>
          <w:sz w:val="24"/>
          <w:szCs w:val="24"/>
          <w:highlight w:val="none"/>
          <w:lang w:eastAsia="zh-CN"/>
        </w:rPr>
        <w:t>（</w:t>
      </w:r>
      <w:r>
        <w:rPr>
          <w:rFonts w:hint="eastAsia" w:ascii="仿宋" w:hAnsi="仿宋" w:eastAsia="仿宋"/>
          <w:b/>
          <w:bCs/>
          <w:sz w:val="24"/>
          <w:lang w:val="en-US" w:eastAsia="zh-CN"/>
        </w:rPr>
        <w:t>技术参数的响应，以提供的客观证明材料为准，如：说明书、产品彩页、检测报告等，仅以供应商自身名义做出的参数响应视作无效响应</w:t>
      </w:r>
      <w:r>
        <w:rPr>
          <w:rFonts w:hint="eastAsia" w:ascii="仿宋" w:hAnsi="仿宋" w:eastAsia="仿宋" w:cs="仿宋"/>
          <w:b/>
          <w:bCs/>
          <w:color w:val="auto"/>
          <w:sz w:val="24"/>
          <w:szCs w:val="24"/>
          <w:highlight w:val="none"/>
          <w:lang w:eastAsia="zh-CN"/>
        </w:rPr>
        <w:t>）</w:t>
      </w:r>
    </w:p>
    <w:p w14:paraId="406111D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2"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t>（一）流式细胞仪</w:t>
      </w:r>
    </w:p>
    <w:p w14:paraId="65DC6EE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1．▲同品牌原厂可选试剂≥150种，可组合成10色及以上细胞免疫分型方案和血液病免疫分型方案。（提供试剂医疗器械注册证证明）</w:t>
      </w:r>
    </w:p>
    <w:p w14:paraId="0622857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2．▲携带污染率≤0.05%</w:t>
      </w:r>
    </w:p>
    <w:p w14:paraId="7C5057F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3．激光器≥3个（蓝、红、紫），荧光通道数≥10色。</w:t>
      </w:r>
    </w:p>
    <w:p w14:paraId="747827A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4．具备质控和荧光校准功能，具备≥10色的荧光校准微球。</w:t>
      </w:r>
    </w:p>
    <w:p w14:paraId="4920194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5．具备≥30管全自动转盘进样器，具备单管自动混匀功能。</w:t>
      </w:r>
    </w:p>
    <w:p w14:paraId="35822B0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6．★配置结果分析软件4套、结果分析工作站4台(CPU性能不低于:≥12核心、≥20线程、基础频率≥2.0GHz、最大睿频频率≥4.8GHz、缓存≥25MB，独立显卡性能不低于:≥3072 CUDA核心、显存≥8GB(DDR6)、位宽≥128-bit、显存带宽≥272GB/s、基础频率≥1830MHz，加速频率≥2460Mz，内存≥32G，硬盘≥8TB)、操作工作站4台(内存≥32G，硬盘≥8TB)。</w:t>
      </w:r>
    </w:p>
    <w:p w14:paraId="2E70B05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7．★配置全自动样品前处理系统4套（样品前处理系统1和样品前处理系统2各2套）。</w:t>
      </w:r>
    </w:p>
    <w:p w14:paraId="4DB389F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8．▲全自动样品前处理系统1与流式细胞仪为相同品牌。（提供全自动样品前处理系统1医疗器械注册证证明）</w:t>
      </w:r>
    </w:p>
    <w:p w14:paraId="68A96BE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2" w:firstLineChars="200"/>
        <w:jc w:val="both"/>
        <w:textAlignment w:val="auto"/>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t>（二）样品前处理系统1：</w:t>
      </w:r>
    </w:p>
    <w:p w14:paraId="79BD8E8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9．▲具备试剂冷藏功能，具备试剂瓶软盖穿刺功能。</w:t>
      </w:r>
    </w:p>
    <w:p w14:paraId="161F3F6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10．▲支持≥2个不同加样体积的样本和检测方案同时检测。</w:t>
      </w:r>
    </w:p>
    <w:p w14:paraId="47C32C7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11．抗体位≥50个。</w:t>
      </w:r>
    </w:p>
    <w:p w14:paraId="6646126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12．具备流式管式或滚筒式离心模块。</w:t>
      </w:r>
    </w:p>
    <w:p w14:paraId="32C19D2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13．具备全自动加血样、加抗体、孵育、裂解、离心功能，可自定义检测程序。</w:t>
      </w:r>
    </w:p>
    <w:p w14:paraId="5F12314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14．具备≥5个辅助试剂位（试剂类型至少包含破膜剂、溶血剂、PBS缓冲液），具备适配器，具备试剂余量实时监测功能。</w:t>
      </w:r>
    </w:p>
    <w:p w14:paraId="2FB5479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2" w:firstLineChars="200"/>
        <w:jc w:val="both"/>
        <w:textAlignment w:val="auto"/>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t>（三）样品前处理系统2：</w:t>
      </w:r>
    </w:p>
    <w:p w14:paraId="2B00D5C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15．具备自动进样与出样单元、自动去盖单元、照相单元、样本质量及血清量检测单元、条形码阅读器功能以及数据信息管理系统，可自动识别溶血、脂血及黄疸样本，并将图像上传至LIS系统；具备扩展功能，支持兼容或适配免疫分析仪和生化分析仪。</w:t>
      </w:r>
    </w:p>
    <w:p w14:paraId="326444A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16．进样区装载量≥600个样本，支持连续进样，样本处理速度≥1000样本/小时；去盖速度≥1000样本/小时（与进样速度相匹配）；具备自动旋转去盖功能。</w:t>
      </w:r>
    </w:p>
    <w:p w14:paraId="5B9964E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17．具备实时急诊样本插入功能，进样区可适配样本架和样本容器，兼容或适配≥3种规格的样本管；可自动将原始样本管或分杯管分装至存档架，具备样本定位功能。</w:t>
      </w:r>
    </w:p>
    <w:p w14:paraId="6730EDC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kern w:val="2"/>
          <w:sz w:val="24"/>
          <w:szCs w:val="24"/>
          <w:lang w:val="en-US" w:eastAsia="zh-CN" w:bidi="ar-SA"/>
        </w:rPr>
        <w:t>四、</w:t>
      </w:r>
      <w:r>
        <w:rPr>
          <w:rFonts w:hint="eastAsia" w:ascii="仿宋" w:hAnsi="仿宋" w:eastAsia="仿宋" w:cs="仿宋"/>
          <w:b/>
          <w:bCs/>
          <w:color w:val="auto"/>
          <w:sz w:val="24"/>
          <w:szCs w:val="22"/>
          <w:highlight w:val="none"/>
        </w:rPr>
        <w:t>★</w:t>
      </w:r>
      <w:r>
        <w:rPr>
          <w:rFonts w:hint="eastAsia" w:ascii="仿宋" w:hAnsi="仿宋" w:eastAsia="仿宋" w:cs="仿宋"/>
          <w:b/>
          <w:bCs/>
          <w:color w:val="auto"/>
          <w:sz w:val="24"/>
          <w:szCs w:val="24"/>
          <w:highlight w:val="none"/>
          <w:lang w:val="en-US" w:eastAsia="zh-CN"/>
        </w:rPr>
        <w:t>商务要求</w:t>
      </w:r>
    </w:p>
    <w:p w14:paraId="45649A8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0540897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2.交货时间：合同签订后30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1B6BC6A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3.交货地点：四川省人民医院（院本部）。</w:t>
      </w:r>
    </w:p>
    <w:p w14:paraId="5147DF5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4.售后服务（售后服务涉及费用均包含在供应商的响应报价中）：</w:t>
      </w:r>
    </w:p>
    <w:p w14:paraId="76A4BB2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2231B75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4.2.质保期：验收合格后不低于10年（合同签订后采购人出具验收报告之日起）。范围：含整机所有部件（质保期内涉及维修、产品更换、人工费用等一切费用包含在本项目报价中）。</w:t>
      </w:r>
    </w:p>
    <w:p w14:paraId="49C081A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4.3.如在质保期内出现质量问题，供应商须在接到通知后2小时内响应，24小时内到场维修，并承担相关费用。</w:t>
      </w:r>
    </w:p>
    <w:p w14:paraId="568E525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4.4.如设备在质保期内因同一故障经供应商两次维修仍不能达到合同约定的技术要求及国家法律法规规定的质量标准，采购人有权要求供应商更换全新设备或退货，并追究供应商违约责任。</w:t>
      </w:r>
    </w:p>
    <w:p w14:paraId="28882EC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4.5.质保期内，设备因自身故障导致的停机率不应超过5%（一年按365天计算），否则供应商应就超出部分（供应商已提供备用机并保障采购人正常使用的时间，不计算为停机时间）按天数向采购人赔偿经济损失。</w:t>
      </w:r>
    </w:p>
    <w:p w14:paraId="575880C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4.6.质保期内，如设备因维修无法使用，供应商应根据采购人需要向采购人提供备用设备。</w:t>
      </w:r>
    </w:p>
    <w:p w14:paraId="46E87B6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4.7.供应商须指派专人负责与采购人联系售后服务事宜。</w:t>
      </w:r>
    </w:p>
    <w:p w14:paraId="5EEA77E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5.响应的质保期不得超过响应产品的官方技术文件中写明的最长使用寿命（不包括易损附件的使用寿命，否则视为虚假响应，供应商须承担相应后果。</w:t>
      </w:r>
    </w:p>
    <w:p w14:paraId="4D5DA1D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6.供应商须在响应文件中单独提供配置清单（不同产品分别提供，格式详见谈判文件格式），采购人将以此为依据进行验收。</w:t>
      </w:r>
    </w:p>
    <w:p w14:paraId="49D65D9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7.签订合同须使用本谈判</w:t>
      </w:r>
      <w:r>
        <w:rPr>
          <w:rFonts w:hint="eastAsia" w:ascii="仿宋" w:hAnsi="仿宋" w:eastAsia="仿宋" w:cs="仿宋"/>
          <w:color w:val="auto"/>
          <w:kern w:val="2"/>
          <w:sz w:val="24"/>
          <w:szCs w:val="24"/>
          <w:highlight w:val="none"/>
          <w:lang w:val="en-US" w:eastAsia="zh-CN" w:bidi="ar-SA"/>
        </w:rPr>
        <w:t>文件中提供的模板（详见第七章），具体条款以谈判文件、响应文件及双方另行约定为准。</w:t>
      </w:r>
    </w:p>
    <w:p w14:paraId="42FF7E3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8.履约验收方案</w:t>
      </w:r>
    </w:p>
    <w:tbl>
      <w:tblPr>
        <w:tblStyle w:val="19"/>
        <w:tblW w:w="49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61"/>
        <w:gridCol w:w="7190"/>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502" w:type="dxa"/>
            <w:vAlign w:val="center"/>
          </w:tcPr>
          <w:p w14:paraId="47BDB7E2">
            <w:pPr>
              <w:widowControl/>
              <w:jc w:val="center"/>
              <w:textAlignment w:val="center"/>
              <w:rPr>
                <w:rFonts w:hint="eastAsia" w:ascii="仿宋" w:hAnsi="仿宋" w:eastAsia="仿宋" w:cs="仿宋"/>
                <w:b/>
                <w:bCs/>
                <w:sz w:val="24"/>
                <w:highlight w:val="none"/>
              </w:rPr>
            </w:pPr>
            <w:r>
              <w:rPr>
                <w:rFonts w:hint="eastAsia" w:ascii="仿宋" w:hAnsi="仿宋" w:eastAsia="仿宋" w:cs="仿宋"/>
                <w:b/>
                <w:bCs/>
                <w:sz w:val="24"/>
                <w:highlight w:val="none"/>
              </w:rPr>
              <w:t>验收时间</w:t>
            </w:r>
          </w:p>
        </w:tc>
        <w:tc>
          <w:tcPr>
            <w:tcW w:w="5877" w:type="dxa"/>
            <w:vAlign w:val="center"/>
          </w:tcPr>
          <w:p w14:paraId="74BCE2AC">
            <w:pPr>
              <w:widowControl/>
              <w:contextualSpacing/>
              <w:textAlignment w:val="center"/>
              <w:rPr>
                <w:rFonts w:hint="eastAsia"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供应商完成本项目涉及的所有设备的安装、调试并具备验收条件后，于5日内通知采购人验收，采购人接供应商通知后10日内组织验收。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502" w:type="dxa"/>
            <w:vAlign w:val="center"/>
          </w:tcPr>
          <w:p w14:paraId="478F3799">
            <w:pPr>
              <w:widowControl/>
              <w:jc w:val="center"/>
              <w:textAlignment w:val="center"/>
              <w:rPr>
                <w:rFonts w:hint="eastAsia" w:ascii="仿宋" w:hAnsi="仿宋" w:eastAsia="仿宋" w:cs="仿宋"/>
                <w:b/>
                <w:bCs/>
                <w:sz w:val="24"/>
                <w:highlight w:val="none"/>
              </w:rPr>
            </w:pPr>
            <w:r>
              <w:rPr>
                <w:rFonts w:hint="eastAsia" w:ascii="仿宋" w:hAnsi="仿宋" w:eastAsia="仿宋" w:cs="仿宋"/>
                <w:b/>
                <w:bCs/>
                <w:sz w:val="24"/>
                <w:highlight w:val="none"/>
              </w:rPr>
              <w:t>验收主体</w:t>
            </w:r>
          </w:p>
        </w:tc>
        <w:tc>
          <w:tcPr>
            <w:tcW w:w="5877" w:type="dxa"/>
            <w:vAlign w:val="center"/>
          </w:tcPr>
          <w:p w14:paraId="2E15490D">
            <w:pPr>
              <w:pStyle w:val="16"/>
              <w:spacing w:after="100" w:afterAutospacing="1"/>
              <w:ind w:firstLine="0" w:firstLineChars="0"/>
              <w:contextualSpacing/>
              <w:rPr>
                <w:rFonts w:hint="eastAsia"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 xml:space="preserve">采购人     </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502" w:type="dxa"/>
            <w:vAlign w:val="center"/>
          </w:tcPr>
          <w:p w14:paraId="0088D9CC">
            <w:pPr>
              <w:widowControl/>
              <w:jc w:val="center"/>
              <w:textAlignment w:val="center"/>
              <w:rPr>
                <w:rFonts w:hint="eastAsia" w:ascii="仿宋" w:hAnsi="仿宋" w:eastAsia="仿宋" w:cs="仿宋"/>
                <w:b/>
                <w:bCs/>
                <w:sz w:val="24"/>
                <w:highlight w:val="none"/>
              </w:rPr>
            </w:pPr>
            <w:r>
              <w:rPr>
                <w:rFonts w:hint="eastAsia" w:ascii="仿宋" w:hAnsi="仿宋" w:eastAsia="仿宋" w:cs="仿宋"/>
                <w:b/>
                <w:bCs/>
                <w:sz w:val="24"/>
                <w:highlight w:val="none"/>
              </w:rPr>
              <w:t>验收方式</w:t>
            </w:r>
          </w:p>
        </w:tc>
        <w:tc>
          <w:tcPr>
            <w:tcW w:w="5877" w:type="dxa"/>
            <w:vAlign w:val="center"/>
          </w:tcPr>
          <w:p w14:paraId="785EE0C9">
            <w:pPr>
              <w:pStyle w:val="16"/>
              <w:spacing w:after="100" w:afterAutospacing="1"/>
              <w:ind w:firstLine="0" w:firstLineChars="0"/>
              <w:contextualSpacing/>
              <w:rPr>
                <w:rFonts w:hint="eastAsia" w:ascii="仿宋" w:hAnsi="仿宋" w:eastAsia="仿宋" w:cs="仿宋"/>
                <w:sz w:val="24"/>
                <w:highlight w:val="none"/>
              </w:rPr>
            </w:pPr>
            <w:r>
              <w:rPr>
                <w:rFonts w:hint="eastAsia" w:ascii="仿宋" w:hAnsi="仿宋" w:eastAsia="仿宋" w:cs="仿宋"/>
                <w:sz w:val="24"/>
                <w:highlight w:val="none"/>
              </w:rPr>
              <w:t xml:space="preserve">现场整体验收  </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502" w:type="dxa"/>
            <w:vAlign w:val="center"/>
          </w:tcPr>
          <w:p w14:paraId="0A6ABF6A">
            <w:pPr>
              <w:widowControl/>
              <w:jc w:val="center"/>
              <w:textAlignment w:val="center"/>
              <w:rPr>
                <w:rFonts w:hint="default"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验收组织方式</w:t>
            </w:r>
          </w:p>
        </w:tc>
        <w:tc>
          <w:tcPr>
            <w:tcW w:w="5877" w:type="dxa"/>
            <w:vAlign w:val="center"/>
          </w:tcPr>
          <w:p w14:paraId="59C0C429">
            <w:pPr>
              <w:pStyle w:val="16"/>
              <w:spacing w:after="100" w:afterAutospacing="1"/>
              <w:ind w:firstLine="0" w:firstLineChars="0"/>
              <w:contextualSpacing/>
              <w:rPr>
                <w:rFonts w:hint="eastAsia" w:ascii="仿宋" w:hAnsi="仿宋" w:eastAsia="仿宋" w:cs="仿宋"/>
                <w:sz w:val="24"/>
                <w:highlight w:val="none"/>
              </w:rPr>
            </w:pPr>
            <w:r>
              <w:rPr>
                <w:rFonts w:hint="eastAsia" w:ascii="仿宋" w:hAnsi="仿宋" w:eastAsia="仿宋" w:cs="仿宋"/>
                <w:sz w:val="24"/>
                <w:highlight w:val="none"/>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502" w:type="dxa"/>
            <w:vAlign w:val="center"/>
          </w:tcPr>
          <w:p w14:paraId="00D82789">
            <w:pPr>
              <w:widowControl/>
              <w:jc w:val="center"/>
              <w:textAlignment w:val="center"/>
              <w:rPr>
                <w:rFonts w:hint="eastAsia" w:ascii="仿宋" w:hAnsi="仿宋" w:eastAsia="仿宋" w:cs="仿宋"/>
                <w:b/>
                <w:bCs/>
                <w:sz w:val="24"/>
                <w:highlight w:val="none"/>
              </w:rPr>
            </w:pPr>
            <w:r>
              <w:rPr>
                <w:rFonts w:hint="eastAsia" w:ascii="仿宋" w:hAnsi="仿宋" w:eastAsia="仿宋" w:cs="仿宋"/>
                <w:b/>
                <w:bCs/>
                <w:sz w:val="24"/>
                <w:highlight w:val="none"/>
              </w:rPr>
              <w:t>验收程序</w:t>
            </w:r>
          </w:p>
        </w:tc>
        <w:tc>
          <w:tcPr>
            <w:tcW w:w="5877" w:type="dxa"/>
            <w:vAlign w:val="center"/>
          </w:tcPr>
          <w:p w14:paraId="3DAAF7E8">
            <w:pPr>
              <w:pStyle w:val="16"/>
              <w:spacing w:after="100" w:afterAutospacing="1"/>
              <w:ind w:firstLine="0" w:firstLineChars="0"/>
              <w:contextualSpacing/>
              <w:rPr>
                <w:rFonts w:hint="eastAsia" w:ascii="仿宋" w:hAnsi="仿宋" w:eastAsia="仿宋" w:cs="仿宋"/>
                <w:sz w:val="24"/>
                <w:highlight w:val="none"/>
              </w:rPr>
            </w:pPr>
            <w:r>
              <w:rPr>
                <w:rFonts w:hint="eastAsia" w:ascii="仿宋" w:hAnsi="仿宋" w:eastAsia="仿宋" w:cs="仿宋"/>
                <w:sz w:val="24"/>
                <w:highlight w:val="none"/>
              </w:rPr>
              <w:t xml:space="preserve">一次性验收 </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502" w:type="dxa"/>
            <w:vAlign w:val="center"/>
          </w:tcPr>
          <w:p w14:paraId="52608F8C">
            <w:pPr>
              <w:widowControl/>
              <w:jc w:val="center"/>
              <w:textAlignment w:val="center"/>
              <w:rPr>
                <w:rFonts w:hint="eastAsia" w:ascii="仿宋" w:hAnsi="仿宋" w:eastAsia="仿宋" w:cs="仿宋"/>
                <w:b/>
                <w:bCs/>
                <w:sz w:val="24"/>
                <w:highlight w:val="none"/>
              </w:rPr>
            </w:pPr>
            <w:r>
              <w:rPr>
                <w:rFonts w:hint="eastAsia" w:ascii="仿宋" w:hAnsi="仿宋" w:eastAsia="仿宋" w:cs="仿宋"/>
                <w:b/>
                <w:bCs/>
                <w:sz w:val="24"/>
                <w:highlight w:val="none"/>
              </w:rPr>
              <w:t>验收内容</w:t>
            </w:r>
          </w:p>
        </w:tc>
        <w:tc>
          <w:tcPr>
            <w:tcW w:w="5877" w:type="dxa"/>
            <w:vAlign w:val="center"/>
          </w:tcPr>
          <w:p w14:paraId="1A169849">
            <w:pPr>
              <w:pStyle w:val="16"/>
              <w:spacing w:after="100" w:afterAutospacing="1"/>
              <w:ind w:firstLine="0" w:firstLineChars="0"/>
              <w:contextualSpacing/>
              <w:rPr>
                <w:rFonts w:hint="eastAsia" w:ascii="仿宋" w:hAnsi="仿宋" w:eastAsia="仿宋" w:cs="仿宋"/>
                <w:sz w:val="24"/>
                <w:highlight w:val="none"/>
              </w:rPr>
            </w:pPr>
            <w:r>
              <w:rPr>
                <w:rFonts w:hint="eastAsia" w:ascii="仿宋" w:hAnsi="仿宋" w:eastAsia="仿宋" w:cs="仿宋"/>
                <w:sz w:val="24"/>
                <w:highlight w:val="none"/>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1" w:hRule="atLeast"/>
          <w:jc w:val="center"/>
        </w:trPr>
        <w:tc>
          <w:tcPr>
            <w:tcW w:w="2502" w:type="dxa"/>
            <w:vAlign w:val="center"/>
          </w:tcPr>
          <w:p w14:paraId="33E0D49E">
            <w:pPr>
              <w:widowControl/>
              <w:jc w:val="center"/>
              <w:textAlignment w:val="center"/>
              <w:rPr>
                <w:rFonts w:hint="eastAsia" w:ascii="仿宋" w:hAnsi="仿宋" w:eastAsia="仿宋" w:cs="仿宋"/>
                <w:b/>
                <w:bCs/>
                <w:sz w:val="24"/>
                <w:highlight w:val="none"/>
              </w:rPr>
            </w:pPr>
            <w:r>
              <w:rPr>
                <w:rFonts w:hint="eastAsia" w:ascii="仿宋" w:hAnsi="仿宋" w:eastAsia="仿宋" w:cs="仿宋"/>
                <w:b/>
                <w:bCs/>
                <w:sz w:val="24"/>
                <w:highlight w:val="none"/>
              </w:rPr>
              <w:t>验收标准</w:t>
            </w:r>
          </w:p>
        </w:tc>
        <w:tc>
          <w:tcPr>
            <w:tcW w:w="5877" w:type="dxa"/>
            <w:vAlign w:val="center"/>
          </w:tcPr>
          <w:p w14:paraId="5B4223EC">
            <w:pPr>
              <w:pStyle w:val="16"/>
              <w:spacing w:after="100" w:afterAutospacing="1"/>
              <w:ind w:firstLine="0" w:firstLineChars="0"/>
              <w:contextualSpacing/>
              <w:rPr>
                <w:rFonts w:hint="eastAsia" w:ascii="仿宋" w:hAnsi="仿宋" w:eastAsia="仿宋" w:cs="仿宋"/>
                <w:sz w:val="24"/>
                <w:highlight w:val="none"/>
              </w:rPr>
            </w:pPr>
            <w:bookmarkStart w:id="15" w:name="OLE_LINK4"/>
            <w:r>
              <w:rPr>
                <w:rFonts w:hint="eastAsia" w:ascii="仿宋" w:hAnsi="仿宋" w:eastAsia="仿宋" w:cs="仿宋"/>
                <w:sz w:val="24"/>
                <w:highlight w:val="none"/>
              </w:rPr>
              <w:t>1.国家相关法律法规、行业标准、技术规范。</w:t>
            </w:r>
          </w:p>
          <w:p w14:paraId="78320829">
            <w:pPr>
              <w:pStyle w:val="16"/>
              <w:spacing w:after="100" w:afterAutospacing="1"/>
              <w:ind w:firstLine="0" w:firstLineChars="0"/>
              <w:contextualSpacing/>
              <w:rPr>
                <w:rFonts w:hint="eastAsia" w:ascii="仿宋" w:hAnsi="仿宋" w:eastAsia="仿宋" w:cs="仿宋"/>
                <w:sz w:val="24"/>
                <w:highlight w:val="none"/>
              </w:rPr>
            </w:pPr>
            <w:r>
              <w:rPr>
                <w:rFonts w:hint="eastAsia" w:ascii="仿宋" w:hAnsi="仿宋" w:eastAsia="仿宋" w:cs="仿宋"/>
                <w:sz w:val="24"/>
                <w:highlight w:val="none"/>
              </w:rPr>
              <w:t>2.基于本项目采购需求编制的</w:t>
            </w:r>
            <w:r>
              <w:rPr>
                <w:rFonts w:hint="eastAsia" w:ascii="仿宋" w:hAnsi="仿宋" w:eastAsia="仿宋" w:cs="仿宋"/>
                <w:sz w:val="24"/>
                <w:highlight w:val="none"/>
                <w:lang w:val="en-US" w:eastAsia="zh-CN"/>
              </w:rPr>
              <w:t>谈判</w:t>
            </w:r>
            <w:r>
              <w:rPr>
                <w:rFonts w:hint="eastAsia" w:ascii="仿宋" w:hAnsi="仿宋" w:eastAsia="仿宋" w:cs="仿宋"/>
                <w:sz w:val="24"/>
                <w:highlight w:val="none"/>
              </w:rPr>
              <w:t>文件相关技术、服务要求、</w:t>
            </w:r>
            <w:r>
              <w:rPr>
                <w:rFonts w:hint="eastAsia" w:ascii="仿宋" w:hAnsi="仿宋" w:eastAsia="仿宋" w:cs="仿宋"/>
                <w:sz w:val="24"/>
                <w:highlight w:val="none"/>
                <w:lang w:val="en-US" w:eastAsia="zh-CN"/>
              </w:rPr>
              <w:t>成交</w:t>
            </w:r>
            <w:r>
              <w:rPr>
                <w:rFonts w:hint="eastAsia" w:ascii="仿宋" w:hAnsi="仿宋" w:eastAsia="仿宋" w:cs="仿宋"/>
                <w:sz w:val="24"/>
                <w:highlight w:val="none"/>
              </w:rPr>
              <w:t>供应商</w:t>
            </w:r>
            <w:r>
              <w:rPr>
                <w:rFonts w:hint="eastAsia" w:ascii="仿宋" w:hAnsi="仿宋" w:eastAsia="仿宋" w:cs="仿宋"/>
                <w:sz w:val="24"/>
                <w:highlight w:val="none"/>
                <w:lang w:val="en-US" w:eastAsia="zh-CN"/>
              </w:rPr>
              <w:t>响应</w:t>
            </w:r>
            <w:r>
              <w:rPr>
                <w:rFonts w:hint="eastAsia" w:ascii="仿宋" w:hAnsi="仿宋" w:eastAsia="仿宋" w:cs="仿宋"/>
                <w:sz w:val="24"/>
                <w:highlight w:val="none"/>
              </w:rPr>
              <w:t>文件相关响应内容。</w:t>
            </w:r>
            <w:bookmarkEnd w:id="15"/>
          </w:p>
          <w:p w14:paraId="6EC79852">
            <w:pPr>
              <w:pStyle w:val="16"/>
              <w:spacing w:after="100" w:afterAutospacing="1"/>
              <w:ind w:firstLine="0" w:firstLineChars="0"/>
              <w:contextualSpacing/>
              <w:rPr>
                <w:rFonts w:hint="eastAsia" w:ascii="仿宋" w:hAnsi="仿宋" w:eastAsia="仿宋" w:cs="仿宋"/>
                <w:sz w:val="24"/>
                <w:highlight w:val="none"/>
              </w:rPr>
            </w:pPr>
            <w:r>
              <w:rPr>
                <w:rFonts w:hint="eastAsia" w:ascii="仿宋" w:hAnsi="仿宋" w:eastAsia="仿宋" w:cs="仿宋"/>
                <w:sz w:val="24"/>
                <w:highlight w:val="none"/>
              </w:rPr>
              <w:t>3.产品生产厂家出具的产品说明书、技术白皮书、医疗器械注册证或备案凭证等官方技术资料（如涉及）。</w:t>
            </w:r>
          </w:p>
          <w:p w14:paraId="6A55A509">
            <w:pPr>
              <w:pStyle w:val="16"/>
              <w:spacing w:after="100" w:afterAutospacing="1"/>
              <w:ind w:firstLine="0" w:firstLineChars="0"/>
              <w:contextualSpacing/>
              <w:rPr>
                <w:rFonts w:hint="eastAsia" w:ascii="仿宋" w:hAnsi="仿宋" w:eastAsia="仿宋" w:cs="仿宋"/>
                <w:sz w:val="24"/>
                <w:highlight w:val="none"/>
              </w:rPr>
            </w:pPr>
            <w:r>
              <w:rPr>
                <w:rFonts w:hint="eastAsia" w:ascii="仿宋" w:hAnsi="仿宋" w:eastAsia="仿宋" w:cs="仿宋"/>
                <w:sz w:val="24"/>
                <w:highlight w:val="none"/>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firstLineChars="0"/>
              <w:contextualSpacing/>
              <w:rPr>
                <w:rFonts w:hint="eastAsia" w:ascii="仿宋" w:hAnsi="仿宋" w:eastAsia="仿宋" w:cs="仿宋"/>
                <w:sz w:val="24"/>
                <w:highlight w:val="none"/>
              </w:rPr>
            </w:pPr>
            <w:r>
              <w:rPr>
                <w:rFonts w:hint="eastAsia" w:ascii="仿宋" w:hAnsi="仿宋" w:eastAsia="仿宋" w:cs="仿宋"/>
                <w:sz w:val="24"/>
                <w:highlight w:val="none"/>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firstLineChars="0"/>
              <w:contextualSpacing/>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6.其他标准：无</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502" w:type="dxa"/>
            <w:vAlign w:val="center"/>
          </w:tcPr>
          <w:p w14:paraId="0858CB93">
            <w:pPr>
              <w:widowControl/>
              <w:jc w:val="center"/>
              <w:textAlignment w:val="center"/>
              <w:rPr>
                <w:rFonts w:hint="eastAsia" w:ascii="仿宋" w:hAnsi="仿宋" w:eastAsia="仿宋" w:cs="仿宋"/>
                <w:b/>
                <w:bCs/>
                <w:sz w:val="24"/>
                <w:highlight w:val="none"/>
              </w:rPr>
            </w:pPr>
            <w:r>
              <w:rPr>
                <w:rFonts w:hint="eastAsia" w:ascii="仿宋" w:hAnsi="仿宋" w:eastAsia="仿宋" w:cs="仿宋"/>
                <w:b/>
                <w:bCs/>
                <w:sz w:val="24"/>
                <w:highlight w:val="none"/>
              </w:rPr>
              <w:t>邀请本项目的其他潜在供应商参与验收</w:t>
            </w:r>
          </w:p>
        </w:tc>
        <w:tc>
          <w:tcPr>
            <w:tcW w:w="5877" w:type="dxa"/>
            <w:vAlign w:val="center"/>
          </w:tcPr>
          <w:p w14:paraId="2461601A">
            <w:pPr>
              <w:spacing w:line="560" w:lineRule="exact"/>
              <w:rPr>
                <w:rFonts w:hint="eastAsia" w:ascii="仿宋" w:hAnsi="仿宋" w:eastAsia="仿宋" w:cs="仿宋"/>
                <w:color w:val="333333"/>
                <w:sz w:val="24"/>
                <w:highlight w:val="none"/>
                <w:shd w:val="clear" w:color="auto" w:fill="FFFFFF"/>
              </w:rPr>
            </w:pPr>
            <w:r>
              <w:rPr>
                <w:rFonts w:hint="eastAsia" w:ascii="仿宋" w:hAnsi="仿宋" w:eastAsia="仿宋" w:cs="仿宋"/>
                <w:color w:val="333333"/>
                <w:sz w:val="24"/>
                <w:highlight w:val="none"/>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502" w:type="dxa"/>
            <w:vAlign w:val="center"/>
          </w:tcPr>
          <w:p w14:paraId="5A36D4AF">
            <w:pPr>
              <w:widowControl/>
              <w:jc w:val="center"/>
              <w:textAlignment w:val="center"/>
              <w:rPr>
                <w:rFonts w:hint="eastAsia" w:ascii="仿宋" w:hAnsi="仿宋" w:eastAsia="仿宋" w:cs="仿宋"/>
                <w:b/>
                <w:bCs/>
                <w:sz w:val="24"/>
                <w:highlight w:val="none"/>
              </w:rPr>
            </w:pPr>
            <w:r>
              <w:rPr>
                <w:rFonts w:hint="eastAsia" w:ascii="仿宋" w:hAnsi="仿宋" w:eastAsia="仿宋" w:cs="仿宋"/>
                <w:b/>
                <w:bCs/>
                <w:sz w:val="24"/>
                <w:highlight w:val="none"/>
              </w:rPr>
              <w:t>是否邀请服务对象</w:t>
            </w:r>
          </w:p>
        </w:tc>
        <w:tc>
          <w:tcPr>
            <w:tcW w:w="5877" w:type="dxa"/>
            <w:vAlign w:val="center"/>
          </w:tcPr>
          <w:p w14:paraId="3A928A34">
            <w:pPr>
              <w:spacing w:line="560" w:lineRule="exact"/>
              <w:rPr>
                <w:rFonts w:hint="eastAsia" w:ascii="仿宋" w:hAnsi="仿宋" w:eastAsia="仿宋" w:cs="仿宋"/>
                <w:color w:val="333333"/>
                <w:sz w:val="24"/>
                <w:highlight w:val="none"/>
                <w:shd w:val="clear" w:color="auto" w:fill="FFFFFF"/>
              </w:rPr>
            </w:pPr>
            <w:r>
              <w:rPr>
                <w:rFonts w:hint="eastAsia" w:ascii="仿宋" w:hAnsi="仿宋" w:eastAsia="仿宋" w:cs="仿宋"/>
                <w:color w:val="333333"/>
                <w:sz w:val="24"/>
                <w:highlight w:val="none"/>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502" w:type="dxa"/>
            <w:vAlign w:val="center"/>
          </w:tcPr>
          <w:p w14:paraId="74474423">
            <w:pPr>
              <w:widowControl/>
              <w:jc w:val="center"/>
              <w:textAlignment w:val="center"/>
              <w:rPr>
                <w:rFonts w:hint="eastAsia" w:ascii="仿宋" w:hAnsi="仿宋" w:eastAsia="仿宋" w:cs="仿宋"/>
                <w:b/>
                <w:bCs/>
                <w:sz w:val="24"/>
                <w:highlight w:val="none"/>
              </w:rPr>
            </w:pPr>
            <w:r>
              <w:rPr>
                <w:rFonts w:hint="eastAsia" w:ascii="仿宋" w:hAnsi="仿宋" w:eastAsia="仿宋" w:cs="仿宋"/>
                <w:b/>
                <w:bCs/>
                <w:sz w:val="24"/>
                <w:highlight w:val="none"/>
              </w:rPr>
              <w:t>邀请专家参与验收</w:t>
            </w:r>
          </w:p>
        </w:tc>
        <w:tc>
          <w:tcPr>
            <w:tcW w:w="5877" w:type="dxa"/>
            <w:vAlign w:val="center"/>
          </w:tcPr>
          <w:p w14:paraId="17BC5EF9">
            <w:pPr>
              <w:spacing w:line="560" w:lineRule="exact"/>
              <w:rPr>
                <w:rFonts w:hint="eastAsia" w:ascii="仿宋" w:hAnsi="仿宋" w:eastAsia="仿宋" w:cs="仿宋"/>
                <w:color w:val="000000"/>
                <w:kern w:val="0"/>
                <w:sz w:val="24"/>
                <w:highlight w:val="none"/>
                <w:lang w:bidi="ar"/>
              </w:rPr>
            </w:pPr>
            <w:r>
              <w:rPr>
                <w:rFonts w:hint="eastAsia" w:ascii="仿宋" w:hAnsi="仿宋" w:eastAsia="仿宋" w:cs="仿宋"/>
                <w:color w:val="333333"/>
                <w:sz w:val="24"/>
                <w:highlight w:val="none"/>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502" w:type="dxa"/>
            <w:vAlign w:val="center"/>
          </w:tcPr>
          <w:p w14:paraId="46B9309A">
            <w:pPr>
              <w:widowControl/>
              <w:jc w:val="center"/>
              <w:textAlignment w:val="center"/>
              <w:rPr>
                <w:rFonts w:hint="eastAsia" w:ascii="仿宋" w:hAnsi="仿宋" w:eastAsia="仿宋" w:cs="仿宋"/>
                <w:b/>
                <w:bCs/>
                <w:sz w:val="24"/>
                <w:highlight w:val="none"/>
              </w:rPr>
            </w:pPr>
            <w:r>
              <w:rPr>
                <w:rFonts w:hint="eastAsia" w:ascii="仿宋" w:hAnsi="仿宋" w:eastAsia="仿宋" w:cs="仿宋"/>
                <w:b/>
                <w:bCs/>
                <w:sz w:val="24"/>
                <w:highlight w:val="none"/>
              </w:rPr>
              <w:t>邀请第三方检测机构参与验收</w:t>
            </w:r>
          </w:p>
        </w:tc>
        <w:tc>
          <w:tcPr>
            <w:tcW w:w="5877" w:type="dxa"/>
            <w:vAlign w:val="center"/>
          </w:tcPr>
          <w:p w14:paraId="71152F77">
            <w:pPr>
              <w:spacing w:line="560" w:lineRule="exact"/>
              <w:rPr>
                <w:rFonts w:hint="eastAsia" w:ascii="仿宋" w:hAnsi="仿宋" w:eastAsia="仿宋" w:cs="仿宋"/>
                <w:color w:val="333333"/>
                <w:kern w:val="0"/>
                <w:sz w:val="24"/>
                <w:highlight w:val="none"/>
                <w:shd w:val="clear" w:color="auto" w:fill="FFFFFF"/>
                <w:lang w:bidi="ar"/>
              </w:rPr>
            </w:pPr>
            <w:r>
              <w:rPr>
                <w:rFonts w:hint="eastAsia" w:ascii="仿宋" w:hAnsi="仿宋" w:eastAsia="仿宋" w:cs="仿宋"/>
                <w:color w:val="333333"/>
                <w:sz w:val="24"/>
                <w:highlight w:val="none"/>
                <w:shd w:val="clear" w:color="auto" w:fill="FFFFFF"/>
              </w:rPr>
              <w:t>否</w:t>
            </w:r>
          </w:p>
        </w:tc>
      </w:tr>
    </w:tbl>
    <w:p w14:paraId="5E16B79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ascii="仿宋" w:hAnsi="仿宋" w:eastAsia="仿宋" w:cs="仿宋"/>
          <w:b/>
          <w:bCs/>
          <w:color w:val="auto"/>
          <w:kern w:val="2"/>
          <w:sz w:val="24"/>
          <w:szCs w:val="24"/>
          <w:lang w:val="en-US" w:eastAsia="zh-CN" w:bidi="ar-SA"/>
        </w:rPr>
      </w:pPr>
      <w:r>
        <w:rPr>
          <w:rFonts w:hint="eastAsia" w:ascii="仿宋" w:hAnsi="仿宋" w:eastAsia="仿宋" w:cs="仿宋"/>
          <w:b/>
          <w:bCs/>
          <w:color w:val="auto"/>
          <w:kern w:val="2"/>
          <w:sz w:val="24"/>
          <w:szCs w:val="24"/>
          <w:lang w:val="en-US" w:eastAsia="zh-CN" w:bidi="ar-SA"/>
        </w:rPr>
        <w:t>五、其他要求</w:t>
      </w:r>
    </w:p>
    <w:p w14:paraId="786333E8">
      <w:pPr>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1、供应商须</w:t>
      </w:r>
      <w:r>
        <w:rPr>
          <w:rFonts w:hint="default" w:ascii="仿宋" w:hAnsi="仿宋" w:eastAsia="仿宋" w:cs="仿宋"/>
          <w:bCs/>
          <w:color w:val="auto"/>
          <w:sz w:val="24"/>
          <w:szCs w:val="24"/>
          <w:highlight w:val="none"/>
          <w:lang w:val="en-US" w:eastAsia="zh-CN"/>
        </w:rPr>
        <w:t>提供自2022年1月1日(含)以来本次响应产品的销售记录(品牌型号须完全相同，销售方不限</w:t>
      </w:r>
      <w:r>
        <w:rPr>
          <w:rFonts w:hint="eastAsia" w:ascii="仿宋" w:hAnsi="仿宋" w:eastAsia="仿宋" w:cs="仿宋"/>
          <w:bCs/>
          <w:color w:val="auto"/>
          <w:sz w:val="24"/>
          <w:szCs w:val="24"/>
          <w:highlight w:val="none"/>
          <w:lang w:val="en-US" w:eastAsia="zh-CN"/>
        </w:rPr>
        <w:t>。</w:t>
      </w:r>
      <w:r>
        <w:rPr>
          <w:rFonts w:hint="default" w:ascii="仿宋" w:hAnsi="仿宋" w:eastAsia="仿宋" w:cs="仿宋"/>
          <w:bCs/>
          <w:color w:val="auto"/>
          <w:sz w:val="24"/>
          <w:szCs w:val="24"/>
          <w:highlight w:val="none"/>
          <w:lang w:val="en-US" w:eastAsia="zh-CN"/>
        </w:rPr>
        <w:t>本次采购产品或分包项中采购产品不止一个的，则按照每提供任意1个产品有1次销售记录)</w:t>
      </w:r>
      <w:r>
        <w:rPr>
          <w:rFonts w:hint="eastAsia" w:ascii="仿宋" w:hAnsi="仿宋" w:eastAsia="仿宋" w:cs="仿宋"/>
          <w:kern w:val="2"/>
          <w:sz w:val="24"/>
          <w:szCs w:val="24"/>
          <w:highlight w:val="none"/>
          <w:lang w:val="en-US" w:eastAsia="zh-CN" w:bidi="ar-SA"/>
        </w:rPr>
        <w:t>。</w:t>
      </w:r>
    </w:p>
    <w:p w14:paraId="337B9DA0">
      <w:pPr>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供应商在采购人所在地配备针对本项目的专职售后维修技术人员。供应商须提供专职售后维修技术人员的身份证复印件和本公司在职证明，采购人有权在签订合同前对其真实性查实若与承诺不一致，则视为虚假响应。</w:t>
      </w:r>
    </w:p>
    <w:p w14:paraId="0945857C">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6" w:name="_Toc30352"/>
      <w:bookmarkStart w:id="17" w:name="_Toc13768"/>
      <w:bookmarkStart w:id="18" w:name="_Toc22588"/>
      <w:r>
        <w:rPr>
          <w:rFonts w:ascii="Times New Roman" w:hAnsi="Times New Roman" w:cs="Times New Roman"/>
        </w:rPr>
        <w:t>评分标准</w:t>
      </w:r>
      <w:bookmarkEnd w:id="16"/>
      <w:bookmarkEnd w:id="17"/>
      <w:bookmarkEnd w:id="18"/>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7"/>
        <w:gridCol w:w="1315"/>
        <w:gridCol w:w="1044"/>
        <w:gridCol w:w="781"/>
        <w:gridCol w:w="4251"/>
        <w:gridCol w:w="2302"/>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1" w:type="pct"/>
            <w:vAlign w:val="center"/>
          </w:tcPr>
          <w:p w14:paraId="66E0D804">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640" w:type="pct"/>
            <w:vAlign w:val="center"/>
          </w:tcPr>
          <w:p w14:paraId="78252537">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评分因素及权重</w:t>
            </w:r>
          </w:p>
        </w:tc>
        <w:tc>
          <w:tcPr>
            <w:tcW w:w="508" w:type="pct"/>
            <w:vAlign w:val="center"/>
          </w:tcPr>
          <w:p w14:paraId="01D8D508">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评分指标</w:t>
            </w:r>
          </w:p>
        </w:tc>
        <w:tc>
          <w:tcPr>
            <w:tcW w:w="380" w:type="pct"/>
            <w:vAlign w:val="center"/>
          </w:tcPr>
          <w:p w14:paraId="4ED1D919">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分值</w:t>
            </w:r>
          </w:p>
        </w:tc>
        <w:tc>
          <w:tcPr>
            <w:tcW w:w="2069" w:type="pct"/>
            <w:vAlign w:val="center"/>
          </w:tcPr>
          <w:p w14:paraId="6AEAE56E">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评分标准</w:t>
            </w:r>
          </w:p>
        </w:tc>
        <w:tc>
          <w:tcPr>
            <w:tcW w:w="1120" w:type="pct"/>
            <w:vAlign w:val="center"/>
          </w:tcPr>
          <w:p w14:paraId="77BFC5E2">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说    明</w:t>
            </w:r>
          </w:p>
        </w:tc>
      </w:tr>
      <w:tr w14:paraId="5DF7C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Align w:val="center"/>
          </w:tcPr>
          <w:p w14:paraId="6BE2610F">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640" w:type="pct"/>
            <w:vAlign w:val="center"/>
          </w:tcPr>
          <w:p w14:paraId="28563E69">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报价部分</w:t>
            </w:r>
          </w:p>
          <w:p w14:paraId="7661CD4B">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30%</w:t>
            </w:r>
          </w:p>
        </w:tc>
        <w:tc>
          <w:tcPr>
            <w:tcW w:w="508" w:type="pct"/>
            <w:vAlign w:val="center"/>
          </w:tcPr>
          <w:p w14:paraId="11A9D6EF">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rPr>
              <w:t>报价</w:t>
            </w:r>
          </w:p>
        </w:tc>
        <w:tc>
          <w:tcPr>
            <w:tcW w:w="380" w:type="pct"/>
            <w:vAlign w:val="center"/>
          </w:tcPr>
          <w:p w14:paraId="11C621D9">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30分</w:t>
            </w:r>
          </w:p>
        </w:tc>
        <w:tc>
          <w:tcPr>
            <w:tcW w:w="2069" w:type="pct"/>
            <w:vAlign w:val="center"/>
          </w:tcPr>
          <w:p w14:paraId="2A388C46">
            <w:pPr>
              <w:wordWrap w:val="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满足</w:t>
            </w:r>
            <w:r>
              <w:rPr>
                <w:rFonts w:hint="eastAsia" w:ascii="仿宋" w:hAnsi="仿宋" w:eastAsia="仿宋" w:cs="仿宋"/>
                <w:color w:val="auto"/>
                <w:sz w:val="24"/>
                <w:highlight w:val="none"/>
                <w:lang w:val="en-US" w:eastAsia="zh-CN"/>
              </w:rPr>
              <w:t>谈判</w:t>
            </w:r>
            <w:r>
              <w:rPr>
                <w:rFonts w:hint="eastAsia" w:ascii="仿宋" w:hAnsi="仿宋" w:eastAsia="仿宋" w:cs="仿宋"/>
                <w:color w:val="auto"/>
                <w:sz w:val="24"/>
                <w:highlight w:val="none"/>
                <w:lang w:eastAsia="zh-CN"/>
              </w:rPr>
              <w:t>文件要求且</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lang w:eastAsia="zh-CN"/>
              </w:rPr>
              <w:t>价格最低的</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lang w:eastAsia="zh-CN"/>
              </w:rPr>
              <w:t>报价为</w:t>
            </w:r>
            <w:r>
              <w:rPr>
                <w:rFonts w:hint="eastAsia" w:ascii="仿宋" w:hAnsi="仿宋" w:eastAsia="仿宋" w:cs="仿宋"/>
                <w:color w:val="auto"/>
                <w:sz w:val="24"/>
                <w:highlight w:val="none"/>
                <w:lang w:val="en-US" w:eastAsia="zh-CN"/>
              </w:rPr>
              <w:t>谈判</w:t>
            </w:r>
            <w:r>
              <w:rPr>
                <w:rFonts w:hint="eastAsia" w:ascii="仿宋" w:hAnsi="仿宋" w:eastAsia="仿宋" w:cs="仿宋"/>
                <w:color w:val="auto"/>
                <w:sz w:val="24"/>
                <w:highlight w:val="none"/>
                <w:lang w:eastAsia="zh-CN"/>
              </w:rPr>
              <w:t>基准价，其价格分为满分；</w:t>
            </w:r>
          </w:p>
          <w:p w14:paraId="08185BB4">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lang w:eastAsia="zh-CN"/>
              </w:rPr>
              <w:t>报价得分=(</w:t>
            </w:r>
            <w:r>
              <w:rPr>
                <w:rFonts w:hint="eastAsia" w:ascii="仿宋" w:hAnsi="仿宋" w:eastAsia="仿宋" w:cs="仿宋"/>
                <w:color w:val="auto"/>
                <w:sz w:val="24"/>
                <w:highlight w:val="none"/>
                <w:lang w:val="en-US" w:eastAsia="zh-CN"/>
              </w:rPr>
              <w:t>谈判</w:t>
            </w:r>
            <w:r>
              <w:rPr>
                <w:rFonts w:hint="eastAsia" w:ascii="仿宋" w:hAnsi="仿宋" w:eastAsia="仿宋" w:cs="仿宋"/>
                <w:color w:val="auto"/>
                <w:sz w:val="24"/>
                <w:highlight w:val="none"/>
                <w:lang w:eastAsia="zh-CN"/>
              </w:rPr>
              <w:t>基准价／</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lang w:eastAsia="zh-CN"/>
              </w:rPr>
              <w:t>报价)</w:t>
            </w:r>
            <w:r>
              <w:rPr>
                <w:rFonts w:hint="eastAsia" w:ascii="仿宋" w:hAnsi="仿宋" w:eastAsia="仿宋" w:cs="仿宋"/>
                <w:bCs/>
                <w:color w:val="auto"/>
                <w:sz w:val="24"/>
                <w:highlight w:val="none"/>
              </w:rPr>
              <w:t>×</w:t>
            </w:r>
            <w:r>
              <w:rPr>
                <w:rFonts w:hint="eastAsia" w:ascii="仿宋" w:hAnsi="仿宋" w:eastAsia="仿宋" w:cs="仿宋"/>
                <w:color w:val="auto"/>
                <w:sz w:val="24"/>
                <w:highlight w:val="none"/>
                <w:lang w:val="en-US" w:eastAsia="zh-CN"/>
              </w:rPr>
              <w:t>30；</w:t>
            </w:r>
          </w:p>
        </w:tc>
        <w:tc>
          <w:tcPr>
            <w:tcW w:w="1120" w:type="pct"/>
            <w:vAlign w:val="center"/>
          </w:tcPr>
          <w:p w14:paraId="630DD7E3">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以</w:t>
            </w: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提供的</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rPr>
              <w:t>报价为准。</w:t>
            </w:r>
          </w:p>
        </w:tc>
      </w:tr>
      <w:tr w14:paraId="1661A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Align w:val="center"/>
          </w:tcPr>
          <w:p w14:paraId="74EF7F6B">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640" w:type="pct"/>
            <w:vAlign w:val="center"/>
          </w:tcPr>
          <w:p w14:paraId="5F211C44">
            <w:pPr>
              <w:wordWrap w:val="0"/>
              <w:ind w:left="63" w:leftChars="3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技术部分</w:t>
            </w:r>
          </w:p>
          <w:p w14:paraId="79B24FBC">
            <w:pPr>
              <w:wordWrap w:val="0"/>
              <w:ind w:left="63" w:leftChars="3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58</w:t>
            </w:r>
            <w:r>
              <w:rPr>
                <w:rFonts w:hint="eastAsia" w:ascii="仿宋" w:hAnsi="仿宋" w:eastAsia="仿宋" w:cs="仿宋"/>
                <w:color w:val="auto"/>
                <w:sz w:val="24"/>
                <w:highlight w:val="none"/>
              </w:rPr>
              <w:t>%</w:t>
            </w:r>
          </w:p>
        </w:tc>
        <w:tc>
          <w:tcPr>
            <w:tcW w:w="508" w:type="pct"/>
            <w:vAlign w:val="center"/>
          </w:tcPr>
          <w:p w14:paraId="18B0AD93">
            <w:pPr>
              <w:wordWrap w:val="0"/>
              <w:ind w:left="63" w:leftChars="30"/>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技术</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服务要求</w:t>
            </w:r>
          </w:p>
        </w:tc>
        <w:tc>
          <w:tcPr>
            <w:tcW w:w="380" w:type="pct"/>
            <w:vAlign w:val="center"/>
          </w:tcPr>
          <w:p w14:paraId="23ACC55D">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58</w:t>
            </w:r>
            <w:r>
              <w:rPr>
                <w:rFonts w:hint="eastAsia" w:ascii="仿宋" w:hAnsi="仿宋" w:eastAsia="仿宋" w:cs="仿宋"/>
                <w:color w:val="auto"/>
                <w:sz w:val="24"/>
                <w:highlight w:val="none"/>
              </w:rPr>
              <w:t>分</w:t>
            </w:r>
          </w:p>
        </w:tc>
        <w:tc>
          <w:tcPr>
            <w:tcW w:w="2069" w:type="pct"/>
            <w:vAlign w:val="center"/>
          </w:tcPr>
          <w:p w14:paraId="30B26AE5">
            <w:pPr>
              <w:pStyle w:val="7"/>
              <w:keepNext w:val="0"/>
              <w:keepLines w:val="0"/>
              <w:pageBreakBefore w:val="0"/>
              <w:widowControl w:val="0"/>
              <w:kinsoku/>
              <w:wordWrap/>
              <w:overflowPunct/>
              <w:topLinePunct w:val="0"/>
              <w:autoSpaceDE/>
              <w:autoSpaceDN/>
              <w:bidi w:val="0"/>
              <w:adjustRightInd/>
              <w:snapToGrid/>
              <w:spacing w:after="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技术</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服务要求</w:t>
            </w:r>
            <w:r>
              <w:rPr>
                <w:rFonts w:hint="eastAsia" w:ascii="仿宋" w:hAnsi="仿宋" w:eastAsia="仿宋" w:cs="仿宋"/>
                <w:bCs/>
                <w:color w:val="auto"/>
                <w:sz w:val="24"/>
                <w:highlight w:val="none"/>
              </w:rPr>
              <w:t>完全符合</w:t>
            </w:r>
            <w:r>
              <w:rPr>
                <w:rFonts w:hint="eastAsia" w:ascii="仿宋" w:hAnsi="仿宋" w:eastAsia="仿宋" w:cs="仿宋"/>
                <w:bCs/>
                <w:color w:val="auto"/>
                <w:sz w:val="24"/>
                <w:highlight w:val="none"/>
                <w:lang w:val="en-US" w:eastAsia="zh-CN"/>
              </w:rPr>
              <w:t>谈判</w:t>
            </w:r>
            <w:r>
              <w:rPr>
                <w:rFonts w:hint="eastAsia" w:ascii="仿宋" w:hAnsi="仿宋" w:eastAsia="仿宋" w:cs="仿宋"/>
                <w:bCs/>
                <w:color w:val="auto"/>
                <w:sz w:val="24"/>
                <w:highlight w:val="none"/>
              </w:rPr>
              <w:t>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70C78CCA">
            <w:pPr>
              <w:pStyle w:val="7"/>
              <w:keepNext w:val="0"/>
              <w:keepLines w:val="0"/>
              <w:pageBreakBefore w:val="0"/>
              <w:widowControl w:val="0"/>
              <w:kinsoku/>
              <w:wordWrap/>
              <w:overflowPunct/>
              <w:topLinePunct w:val="0"/>
              <w:autoSpaceDE/>
              <w:autoSpaceDN/>
              <w:bidi w:val="0"/>
              <w:adjustRightInd/>
              <w:snapToGrid/>
              <w:spacing w:after="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w:t>
            </w:r>
            <w:r>
              <w:rPr>
                <w:rFonts w:hint="eastAsia" w:ascii="仿宋" w:hAnsi="仿宋" w:eastAsia="仿宋" w:cs="仿宋"/>
                <w:bCs/>
                <w:color w:val="auto"/>
                <w:sz w:val="24"/>
                <w:highlight w:val="none"/>
                <w:lang w:eastAsia="zh-CN"/>
              </w:rPr>
              <w:t>供应商</w:t>
            </w:r>
            <w:r>
              <w:rPr>
                <w:rFonts w:hint="eastAsia" w:ascii="仿宋" w:hAnsi="仿宋" w:eastAsia="仿宋" w:cs="仿宋"/>
                <w:bCs/>
                <w:color w:val="auto"/>
                <w:sz w:val="24"/>
                <w:highlight w:val="none"/>
              </w:rPr>
              <w:t>针对</w:t>
            </w:r>
            <w:r>
              <w:rPr>
                <w:rFonts w:hint="eastAsia" w:ascii="仿宋" w:hAnsi="仿宋" w:eastAsia="仿宋" w:cs="仿宋"/>
                <w:bCs/>
                <w:color w:val="auto"/>
                <w:sz w:val="24"/>
                <w:highlight w:val="none"/>
                <w:lang w:val="en-US" w:eastAsia="zh-CN"/>
              </w:rPr>
              <w:t>谈判</w:t>
            </w:r>
            <w:r>
              <w:rPr>
                <w:rFonts w:hint="eastAsia" w:ascii="仿宋" w:hAnsi="仿宋" w:eastAsia="仿宋" w:cs="仿宋"/>
                <w:bCs/>
                <w:color w:val="auto"/>
                <w:sz w:val="24"/>
                <w:highlight w:val="none"/>
              </w:rPr>
              <w:t>文件第</w:t>
            </w:r>
            <w:r>
              <w:rPr>
                <w:rFonts w:hint="eastAsia" w:ascii="仿宋" w:hAnsi="仿宋" w:eastAsia="仿宋" w:cs="仿宋"/>
                <w:bCs/>
                <w:color w:val="auto"/>
                <w:sz w:val="24"/>
                <w:highlight w:val="none"/>
                <w:lang w:val="en-US" w:eastAsia="zh-CN"/>
              </w:rPr>
              <w:t>四</w:t>
            </w:r>
            <w:r>
              <w:rPr>
                <w:rFonts w:hint="eastAsia" w:ascii="仿宋" w:hAnsi="仿宋" w:eastAsia="仿宋" w:cs="仿宋"/>
                <w:bCs/>
                <w:color w:val="auto"/>
                <w:sz w:val="24"/>
                <w:highlight w:val="none"/>
              </w:rPr>
              <w:t>章中的一般技术参数条款的响应得分规则如下：（一般技术参数条款指未标注 “▲”或“</w:t>
            </w:r>
            <w:r>
              <w:rPr>
                <w:rFonts w:hint="eastAsia" w:ascii="仿宋" w:hAnsi="仿宋" w:eastAsia="仿宋" w:cs="仿宋"/>
                <w:bCs/>
                <w:color w:val="auto"/>
                <w:sz w:val="24"/>
                <w:highlight w:val="none"/>
                <w:lang w:val="zh-CN" w:eastAsia="zh-CN"/>
              </w:rPr>
              <w:t>★</w:t>
            </w:r>
            <w:r>
              <w:rPr>
                <w:rFonts w:hint="eastAsia" w:ascii="仿宋" w:hAnsi="仿宋" w:eastAsia="仿宋" w:cs="仿宋"/>
                <w:bCs/>
                <w:color w:val="auto"/>
                <w:sz w:val="24"/>
                <w:highlight w:val="none"/>
              </w:rPr>
              <w:t>”的条款）</w:t>
            </w:r>
          </w:p>
          <w:p w14:paraId="797341A9">
            <w:pPr>
              <w:pStyle w:val="7"/>
              <w:keepNext w:val="0"/>
              <w:keepLines w:val="0"/>
              <w:pageBreakBefore w:val="0"/>
              <w:widowControl w:val="0"/>
              <w:kinsoku/>
              <w:wordWrap/>
              <w:overflowPunct/>
              <w:topLinePunct w:val="0"/>
              <w:autoSpaceDE/>
              <w:autoSpaceDN/>
              <w:bidi w:val="0"/>
              <w:adjustRightInd/>
              <w:snapToGrid/>
              <w:spacing w:after="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w:t>
            </w:r>
            <w:r>
              <w:rPr>
                <w:rFonts w:hint="eastAsia" w:ascii="仿宋" w:hAnsi="仿宋" w:eastAsia="仿宋" w:cs="仿宋"/>
                <w:bCs/>
                <w:color w:val="auto"/>
                <w:sz w:val="24"/>
                <w:highlight w:val="none"/>
                <w:lang w:eastAsia="zh-CN"/>
              </w:rPr>
              <w:t>供应商</w:t>
            </w:r>
            <w:r>
              <w:rPr>
                <w:rFonts w:hint="eastAsia" w:ascii="仿宋" w:hAnsi="仿宋" w:eastAsia="仿宋" w:cs="仿宋"/>
                <w:bCs/>
                <w:color w:val="auto"/>
                <w:sz w:val="24"/>
                <w:highlight w:val="none"/>
              </w:rPr>
              <w:t>满足一般技术参数条款的数量÷一般技术参数条款的总数量）×</w:t>
            </w:r>
            <w:r>
              <w:rPr>
                <w:rFonts w:hint="eastAsia" w:ascii="仿宋" w:hAnsi="仿宋" w:eastAsia="仿宋" w:cs="仿宋"/>
                <w:bCs/>
                <w:color w:val="auto"/>
                <w:sz w:val="24"/>
                <w:highlight w:val="none"/>
                <w:lang w:val="en-US" w:eastAsia="zh-CN"/>
              </w:rPr>
              <w:t>33</w:t>
            </w:r>
            <w:r>
              <w:rPr>
                <w:rFonts w:hint="eastAsia" w:ascii="仿宋" w:hAnsi="仿宋" w:eastAsia="仿宋" w:cs="仿宋"/>
                <w:bCs/>
                <w:color w:val="auto"/>
                <w:sz w:val="24"/>
                <w:highlight w:val="none"/>
              </w:rPr>
              <w:t>分。</w:t>
            </w:r>
          </w:p>
          <w:p w14:paraId="096B8B2B">
            <w:pPr>
              <w:pStyle w:val="7"/>
              <w:keepNext w:val="0"/>
              <w:keepLines w:val="0"/>
              <w:pageBreakBefore w:val="0"/>
              <w:widowControl w:val="0"/>
              <w:kinsoku/>
              <w:wordWrap/>
              <w:overflowPunct/>
              <w:topLinePunct w:val="0"/>
              <w:autoSpaceDE/>
              <w:autoSpaceDN/>
              <w:bidi w:val="0"/>
              <w:adjustRightInd/>
              <w:snapToGrid/>
              <w:spacing w:after="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2、</w:t>
            </w:r>
            <w:r>
              <w:rPr>
                <w:rFonts w:hint="eastAsia" w:ascii="仿宋" w:hAnsi="仿宋" w:eastAsia="仿宋" w:cs="仿宋"/>
                <w:bCs/>
                <w:color w:val="auto"/>
                <w:sz w:val="24"/>
                <w:highlight w:val="none"/>
                <w:lang w:eastAsia="zh-CN"/>
              </w:rPr>
              <w:t>供应商</w:t>
            </w:r>
            <w:r>
              <w:rPr>
                <w:rFonts w:hint="eastAsia" w:ascii="仿宋" w:hAnsi="仿宋" w:eastAsia="仿宋" w:cs="仿宋"/>
                <w:bCs/>
                <w:color w:val="auto"/>
                <w:sz w:val="24"/>
                <w:highlight w:val="none"/>
              </w:rPr>
              <w:t>针对</w:t>
            </w:r>
            <w:r>
              <w:rPr>
                <w:rFonts w:hint="eastAsia" w:ascii="仿宋" w:hAnsi="仿宋" w:eastAsia="仿宋" w:cs="仿宋"/>
                <w:bCs/>
                <w:color w:val="auto"/>
                <w:sz w:val="24"/>
                <w:highlight w:val="none"/>
                <w:lang w:val="en-US" w:eastAsia="zh-CN"/>
              </w:rPr>
              <w:t>谈判</w:t>
            </w:r>
            <w:r>
              <w:rPr>
                <w:rFonts w:hint="eastAsia" w:ascii="仿宋" w:hAnsi="仿宋" w:eastAsia="仿宋" w:cs="仿宋"/>
                <w:bCs/>
                <w:color w:val="auto"/>
                <w:sz w:val="24"/>
                <w:highlight w:val="none"/>
              </w:rPr>
              <w:t>文件第</w:t>
            </w:r>
            <w:r>
              <w:rPr>
                <w:rFonts w:hint="eastAsia" w:ascii="仿宋" w:hAnsi="仿宋" w:eastAsia="仿宋" w:cs="仿宋"/>
                <w:bCs/>
                <w:color w:val="auto"/>
                <w:sz w:val="24"/>
                <w:highlight w:val="none"/>
                <w:lang w:val="en-US" w:eastAsia="zh-CN"/>
              </w:rPr>
              <w:t>四</w:t>
            </w:r>
            <w:r>
              <w:rPr>
                <w:rFonts w:hint="eastAsia" w:ascii="仿宋" w:hAnsi="仿宋" w:eastAsia="仿宋" w:cs="仿宋"/>
                <w:bCs/>
                <w:color w:val="auto"/>
                <w:sz w:val="24"/>
                <w:highlight w:val="none"/>
              </w:rPr>
              <w:t>章 “▲”技术参数条款的响应得分规则如下：</w:t>
            </w:r>
          </w:p>
          <w:p w14:paraId="3FBF72E5">
            <w:pPr>
              <w:pStyle w:val="7"/>
              <w:keepNext w:val="0"/>
              <w:keepLines w:val="0"/>
              <w:pageBreakBefore w:val="0"/>
              <w:widowControl w:val="0"/>
              <w:kinsoku/>
              <w:wordWrap/>
              <w:overflowPunct/>
              <w:topLinePunct w:val="0"/>
              <w:autoSpaceDE/>
              <w:autoSpaceDN/>
              <w:bidi w:val="0"/>
              <w:adjustRightInd/>
              <w:snapToGrid/>
              <w:spacing w:after="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w:t>
            </w:r>
            <w:r>
              <w:rPr>
                <w:rFonts w:hint="eastAsia" w:ascii="仿宋" w:hAnsi="仿宋" w:eastAsia="仿宋" w:cs="仿宋"/>
                <w:bCs/>
                <w:color w:val="auto"/>
                <w:sz w:val="24"/>
                <w:highlight w:val="none"/>
                <w:lang w:eastAsia="zh-CN"/>
              </w:rPr>
              <w:t>供应商</w:t>
            </w:r>
            <w:r>
              <w:rPr>
                <w:rFonts w:hint="eastAsia" w:ascii="仿宋" w:hAnsi="仿宋" w:eastAsia="仿宋" w:cs="仿宋"/>
                <w:bCs/>
                <w:color w:val="auto"/>
                <w:sz w:val="24"/>
                <w:highlight w:val="none"/>
              </w:rPr>
              <w:t>满足“▲”技术参数条款的数量÷ “▲”技术参数条款的总数量）×</w:t>
            </w:r>
            <w:r>
              <w:rPr>
                <w:rFonts w:hint="eastAsia" w:ascii="仿宋" w:hAnsi="仿宋" w:eastAsia="仿宋" w:cs="仿宋"/>
                <w:bCs/>
                <w:color w:val="auto"/>
                <w:sz w:val="24"/>
                <w:highlight w:val="none"/>
                <w:lang w:val="en-US" w:eastAsia="zh-CN"/>
              </w:rPr>
              <w:t>25</w:t>
            </w:r>
            <w:r>
              <w:rPr>
                <w:rFonts w:hint="eastAsia" w:ascii="仿宋" w:hAnsi="仿宋" w:eastAsia="仿宋" w:cs="仿宋"/>
                <w:bCs/>
                <w:color w:val="auto"/>
                <w:sz w:val="24"/>
                <w:highlight w:val="none"/>
              </w:rPr>
              <w:t>分。</w:t>
            </w:r>
          </w:p>
          <w:p w14:paraId="3CA4EFF0">
            <w:pPr>
              <w:pStyle w:val="7"/>
              <w:keepNext w:val="0"/>
              <w:keepLines w:val="0"/>
              <w:pageBreakBefore w:val="0"/>
              <w:widowControl w:val="0"/>
              <w:kinsoku/>
              <w:wordWrap/>
              <w:overflowPunct/>
              <w:topLinePunct w:val="0"/>
              <w:autoSpaceDE/>
              <w:autoSpaceDN/>
              <w:bidi w:val="0"/>
              <w:adjustRightInd/>
              <w:snapToGrid/>
              <w:spacing w:after="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0616827D">
            <w:pPr>
              <w:pStyle w:val="7"/>
              <w:keepNext w:val="0"/>
              <w:keepLines w:val="0"/>
              <w:pageBreakBefore w:val="0"/>
              <w:widowControl w:val="0"/>
              <w:kinsoku/>
              <w:wordWrap/>
              <w:overflowPunct/>
              <w:topLinePunct w:val="0"/>
              <w:autoSpaceDE/>
              <w:autoSpaceDN/>
              <w:bidi w:val="0"/>
              <w:adjustRightInd/>
              <w:snapToGrid/>
              <w:spacing w:after="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6239E8A8">
            <w:pPr>
              <w:pStyle w:val="7"/>
              <w:keepNext w:val="0"/>
              <w:keepLines w:val="0"/>
              <w:pageBreakBefore w:val="0"/>
              <w:widowControl w:val="0"/>
              <w:kinsoku/>
              <w:wordWrap/>
              <w:overflowPunct/>
              <w:topLinePunct w:val="0"/>
              <w:autoSpaceDE/>
              <w:autoSpaceDN/>
              <w:bidi w:val="0"/>
              <w:adjustRightInd/>
              <w:snapToGrid/>
              <w:spacing w:after="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eastAsia="zh-CN"/>
              </w:rPr>
              <w:t>★</w:t>
            </w:r>
            <w:r>
              <w:rPr>
                <w:rFonts w:hint="eastAsia" w:ascii="仿宋" w:hAnsi="仿宋" w:eastAsia="仿宋" w:cs="仿宋"/>
                <w:bCs/>
                <w:color w:val="auto"/>
                <w:sz w:val="24"/>
                <w:highlight w:val="none"/>
              </w:rPr>
              <w:t>”的条款为本项目实质性要求，不作为本项评审</w:t>
            </w:r>
          </w:p>
          <w:p w14:paraId="1EFEF51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③</w:t>
            </w:r>
            <w:r>
              <w:rPr>
                <w:rFonts w:hint="eastAsia" w:ascii="仿宋" w:hAnsi="仿宋" w:eastAsia="仿宋" w:cs="仿宋"/>
                <w:bCs/>
                <w:color w:val="auto"/>
                <w:kern w:val="2"/>
                <w:sz w:val="24"/>
                <w:szCs w:val="22"/>
                <w:highlight w:val="none"/>
                <w:lang w:val="en-US" w:eastAsia="zh-CN" w:bidi="ar-SA"/>
              </w:rPr>
              <w:t>本</w:t>
            </w:r>
            <w:r>
              <w:rPr>
                <w:rFonts w:hint="eastAsia" w:ascii="仿宋" w:hAnsi="仿宋" w:eastAsia="仿宋" w:cs="仿宋"/>
                <w:bCs/>
                <w:color w:val="auto"/>
                <w:sz w:val="24"/>
                <w:highlight w:val="none"/>
                <w:lang w:val="en-US" w:eastAsia="zh-CN"/>
              </w:rPr>
              <w:t>谈判</w:t>
            </w:r>
            <w:r>
              <w:rPr>
                <w:rFonts w:hint="eastAsia" w:ascii="仿宋" w:hAnsi="仿宋" w:eastAsia="仿宋" w:cs="仿宋"/>
                <w:bCs/>
                <w:color w:val="auto"/>
                <w:kern w:val="2"/>
                <w:sz w:val="24"/>
                <w:szCs w:val="22"/>
                <w:highlight w:val="none"/>
                <w:lang w:val="en-US" w:eastAsia="zh-CN" w:bidi="ar-SA"/>
              </w:rPr>
              <w:t>文件以一级序号数字（如 “1.”“2.”“3.”…）为一条（标题除外）；数字序号下有多级序号的，以最小级数字序号为一条</w:t>
            </w:r>
            <w:r>
              <w:rPr>
                <w:rFonts w:hint="eastAsia" w:ascii="仿宋" w:hAnsi="仿宋" w:eastAsia="仿宋" w:cs="仿宋"/>
                <w:bCs/>
                <w:color w:val="auto"/>
                <w:sz w:val="24"/>
                <w:highlight w:val="none"/>
              </w:rPr>
              <w:t>。</w:t>
            </w:r>
          </w:p>
          <w:p w14:paraId="6367825B">
            <w:pPr>
              <w:pStyle w:val="7"/>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仿宋" w:hAnsi="仿宋" w:eastAsia="仿宋" w:cs="仿宋"/>
                <w:color w:val="auto"/>
                <w:highlight w:val="none"/>
                <w:lang w:val="en-US"/>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5AE4074A">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其中▲号条款，</w:t>
            </w:r>
            <w:r>
              <w:rPr>
                <w:rFonts w:hint="eastAsia" w:ascii="仿宋" w:hAnsi="仿宋" w:eastAsia="仿宋" w:cs="仿宋"/>
                <w:color w:val="auto"/>
                <w:sz w:val="24"/>
                <w:highlight w:val="none"/>
                <w:lang w:eastAsia="zh-CN"/>
              </w:rPr>
              <w:t>若技术参数中要求了证明材料的按技术参数中的要求提供，若</w:t>
            </w:r>
            <w:r>
              <w:rPr>
                <w:rFonts w:hint="eastAsia" w:ascii="仿宋" w:hAnsi="仿宋" w:eastAsia="仿宋" w:cs="仿宋"/>
                <w:color w:val="auto"/>
                <w:sz w:val="24"/>
                <w:highlight w:val="none"/>
              </w:rPr>
              <w:t>▲号条款</w:t>
            </w:r>
            <w:r>
              <w:rPr>
                <w:rFonts w:hint="eastAsia" w:ascii="仿宋" w:hAnsi="仿宋" w:eastAsia="仿宋" w:cs="仿宋"/>
                <w:color w:val="auto"/>
                <w:sz w:val="24"/>
                <w:highlight w:val="none"/>
                <w:lang w:eastAsia="zh-CN"/>
              </w:rPr>
              <w:t>技术参数中未要求佐证材料的，供应商</w:t>
            </w:r>
            <w:r>
              <w:rPr>
                <w:rFonts w:hint="eastAsia" w:ascii="仿宋" w:hAnsi="仿宋" w:eastAsia="仿宋" w:cs="仿宋"/>
                <w:color w:val="auto"/>
                <w:sz w:val="24"/>
                <w:highlight w:val="none"/>
              </w:rPr>
              <w:t>需提供</w:t>
            </w:r>
            <w:r>
              <w:rPr>
                <w:rFonts w:hint="eastAsia" w:ascii="仿宋" w:hAnsi="仿宋" w:eastAsia="仿宋" w:cs="仿宋"/>
                <w:color w:val="auto"/>
                <w:sz w:val="24"/>
                <w:highlight w:val="none"/>
                <w:lang w:val="en-US" w:eastAsia="zh-CN"/>
              </w:rPr>
              <w:t>产品</w:t>
            </w:r>
            <w:r>
              <w:rPr>
                <w:rFonts w:hint="eastAsia" w:ascii="仿宋" w:hAnsi="仿宋" w:eastAsia="仿宋" w:cs="仿宋"/>
                <w:color w:val="auto"/>
                <w:sz w:val="24"/>
                <w:highlight w:val="none"/>
              </w:rPr>
              <w:t>说明书、产品彩页、</w:t>
            </w:r>
            <w:r>
              <w:rPr>
                <w:rFonts w:hint="eastAsia" w:ascii="仿宋" w:hAnsi="仿宋" w:eastAsia="仿宋" w:cs="仿宋"/>
                <w:color w:val="auto"/>
                <w:sz w:val="24"/>
                <w:highlight w:val="none"/>
                <w:lang w:val="en-US" w:eastAsia="zh-CN"/>
              </w:rPr>
              <w:t>产品</w:t>
            </w:r>
            <w:r>
              <w:rPr>
                <w:rFonts w:hint="eastAsia" w:ascii="仿宋" w:hAnsi="仿宋" w:eastAsia="仿宋" w:cs="仿宋"/>
                <w:color w:val="auto"/>
                <w:sz w:val="24"/>
                <w:highlight w:val="none"/>
              </w:rPr>
              <w:t>检测报告技术文件作为佐证（至少包含其中之一）并加盖</w:t>
            </w: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公章，如技术指标和配置在技术文件中未对应出现，或在不同技术文件中存在自相矛盾之处或未提供的不得分。</w:t>
            </w:r>
          </w:p>
        </w:tc>
      </w:tr>
      <w:tr w14:paraId="7D3E6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restart"/>
            <w:vAlign w:val="center"/>
          </w:tcPr>
          <w:p w14:paraId="25E64E81">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p>
        </w:tc>
        <w:tc>
          <w:tcPr>
            <w:tcW w:w="640" w:type="pct"/>
            <w:vMerge w:val="restart"/>
            <w:vAlign w:val="center"/>
          </w:tcPr>
          <w:p w14:paraId="7F30D44D">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商务部分</w:t>
            </w:r>
          </w:p>
          <w:p w14:paraId="749FCB6C">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12</w:t>
            </w:r>
            <w:r>
              <w:rPr>
                <w:rFonts w:hint="eastAsia" w:ascii="仿宋" w:hAnsi="仿宋" w:eastAsia="仿宋" w:cs="仿宋"/>
                <w:color w:val="auto"/>
                <w:sz w:val="24"/>
                <w:highlight w:val="none"/>
              </w:rPr>
              <w:t>%</w:t>
            </w:r>
          </w:p>
        </w:tc>
        <w:tc>
          <w:tcPr>
            <w:tcW w:w="1044" w:type="dxa"/>
            <w:vAlign w:val="center"/>
          </w:tcPr>
          <w:p w14:paraId="66DCF0CF">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业绩</w:t>
            </w:r>
          </w:p>
        </w:tc>
        <w:tc>
          <w:tcPr>
            <w:tcW w:w="781" w:type="dxa"/>
            <w:vAlign w:val="center"/>
          </w:tcPr>
          <w:p w14:paraId="5A8931A5">
            <w:pPr>
              <w:wordWrap w:val="0"/>
              <w:ind w:firstLine="28" w:firstLineChars="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8</w:t>
            </w:r>
            <w:r>
              <w:rPr>
                <w:rFonts w:hint="eastAsia" w:ascii="仿宋" w:hAnsi="仿宋" w:eastAsia="仿宋" w:cs="仿宋"/>
                <w:color w:val="auto"/>
                <w:sz w:val="24"/>
                <w:highlight w:val="none"/>
              </w:rPr>
              <w:t>分</w:t>
            </w:r>
          </w:p>
        </w:tc>
        <w:tc>
          <w:tcPr>
            <w:tcW w:w="4252" w:type="dxa"/>
            <w:vAlign w:val="center"/>
          </w:tcPr>
          <w:p w14:paraId="08F6E440">
            <w:pPr>
              <w:pStyle w:val="41"/>
              <w:wordWrap w:val="0"/>
              <w:rPr>
                <w:rFonts w:hint="default" w:ascii="仿宋" w:hAnsi="仿宋" w:eastAsia="仿宋" w:cs="仿宋"/>
                <w:bCs/>
                <w:color w:val="auto"/>
                <w:sz w:val="24"/>
                <w:szCs w:val="24"/>
                <w:highlight w:val="none"/>
                <w:lang w:val="en-US" w:eastAsia="zh-CN"/>
              </w:rPr>
            </w:pPr>
            <w:r>
              <w:rPr>
                <w:rFonts w:hint="default" w:ascii="仿宋" w:hAnsi="仿宋" w:eastAsia="仿宋" w:cs="仿宋"/>
                <w:bCs/>
                <w:color w:val="auto"/>
                <w:sz w:val="24"/>
                <w:szCs w:val="24"/>
                <w:highlight w:val="none"/>
                <w:lang w:val="en-US" w:eastAsia="zh-CN"/>
              </w:rPr>
              <w:t>供应商提供自2022年1月1日(含)以来本次响应产品的销售记录(品牌型号须完全相同，销售方不限)每提供1个得1.6分，最多得8分(本次采购产品或分包项中采购产品不止一个的，则按照每提供任意1个产品有1次销售记录得1分，最多得8分)。</w:t>
            </w:r>
          </w:p>
        </w:tc>
        <w:tc>
          <w:tcPr>
            <w:tcW w:w="1120" w:type="pct"/>
            <w:vAlign w:val="center"/>
          </w:tcPr>
          <w:p w14:paraId="3E59F464">
            <w:pPr>
              <w:pStyle w:val="41"/>
              <w:wordWrap w:val="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eastAsia="zh-CN"/>
              </w:rPr>
              <w:t>供应商</w:t>
            </w:r>
            <w:r>
              <w:rPr>
                <w:rFonts w:hint="eastAsia" w:ascii="仿宋" w:hAnsi="仿宋" w:eastAsia="仿宋" w:cs="仿宋"/>
                <w:color w:val="auto"/>
                <w:kern w:val="2"/>
                <w:sz w:val="24"/>
                <w:szCs w:val="24"/>
                <w:highlight w:val="none"/>
              </w:rPr>
              <w:t>需提供成交销售记录的合同复印件</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lang w:val="en-US" w:eastAsia="zh-CN"/>
              </w:rPr>
              <w:t>供货发票</w:t>
            </w:r>
            <w:r>
              <w:rPr>
                <w:rFonts w:hint="eastAsia" w:ascii="仿宋" w:hAnsi="仿宋" w:eastAsia="仿宋" w:cs="仿宋"/>
                <w:color w:val="auto"/>
                <w:kern w:val="2"/>
                <w:sz w:val="24"/>
                <w:szCs w:val="24"/>
                <w:highlight w:val="none"/>
              </w:rPr>
              <w:t>并加盖</w:t>
            </w:r>
            <w:r>
              <w:rPr>
                <w:rFonts w:hint="eastAsia" w:ascii="仿宋" w:hAnsi="仿宋" w:eastAsia="仿宋" w:cs="仿宋"/>
                <w:color w:val="auto"/>
                <w:kern w:val="2"/>
                <w:sz w:val="24"/>
                <w:szCs w:val="24"/>
                <w:highlight w:val="none"/>
                <w:lang w:eastAsia="zh-CN"/>
              </w:rPr>
              <w:t>供应商</w:t>
            </w:r>
            <w:r>
              <w:rPr>
                <w:rFonts w:hint="eastAsia" w:ascii="仿宋" w:hAnsi="仿宋" w:eastAsia="仿宋" w:cs="仿宋"/>
                <w:color w:val="auto"/>
                <w:kern w:val="2"/>
                <w:sz w:val="24"/>
                <w:szCs w:val="24"/>
                <w:highlight w:val="none"/>
              </w:rPr>
              <w:t>公章。</w:t>
            </w:r>
          </w:p>
        </w:tc>
      </w:tr>
      <w:tr w14:paraId="5C338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continue"/>
            <w:vAlign w:val="center"/>
          </w:tcPr>
          <w:p w14:paraId="75E0BC7F">
            <w:pPr>
              <w:wordWrap w:val="0"/>
              <w:ind w:firstLine="28"/>
              <w:jc w:val="center"/>
              <w:rPr>
                <w:rFonts w:hint="eastAsia" w:ascii="仿宋" w:hAnsi="仿宋" w:eastAsia="仿宋" w:cs="仿宋"/>
                <w:color w:val="auto"/>
                <w:sz w:val="24"/>
                <w:highlight w:val="none"/>
              </w:rPr>
            </w:pPr>
            <w:bookmarkStart w:id="19" w:name="OLE_LINK1" w:colFirst="4" w:colLast="5"/>
          </w:p>
        </w:tc>
        <w:tc>
          <w:tcPr>
            <w:tcW w:w="640" w:type="pct"/>
            <w:vMerge w:val="continue"/>
            <w:vAlign w:val="center"/>
          </w:tcPr>
          <w:p w14:paraId="4546DBAA">
            <w:pPr>
              <w:wordWrap w:val="0"/>
              <w:jc w:val="center"/>
              <w:rPr>
                <w:rFonts w:hint="eastAsia" w:ascii="仿宋" w:hAnsi="仿宋" w:eastAsia="仿宋" w:cs="仿宋"/>
                <w:color w:val="auto"/>
                <w:sz w:val="24"/>
                <w:highlight w:val="none"/>
                <w:lang w:val="en-US" w:eastAsia="zh-CN"/>
              </w:rPr>
            </w:pPr>
          </w:p>
        </w:tc>
        <w:tc>
          <w:tcPr>
            <w:tcW w:w="508" w:type="pct"/>
            <w:shd w:val="clear" w:color="auto" w:fill="auto"/>
            <w:vAlign w:val="center"/>
          </w:tcPr>
          <w:p w14:paraId="4C20D47D">
            <w:pPr>
              <w:wordWrap w:val="0"/>
              <w:jc w:val="center"/>
              <w:rPr>
                <w:rFonts w:hint="eastAsia" w:ascii="仿宋" w:hAnsi="仿宋" w:eastAsia="仿宋" w:cs="仿宋"/>
                <w:color w:val="auto"/>
                <w:kern w:val="2"/>
                <w:sz w:val="24"/>
                <w:szCs w:val="22"/>
                <w:highlight w:val="none"/>
                <w:lang w:val="en-US" w:eastAsia="zh-CN" w:bidi="ar-SA"/>
              </w:rPr>
            </w:pPr>
            <w:r>
              <w:rPr>
                <w:rFonts w:hint="eastAsia" w:ascii="仿宋" w:hAnsi="仿宋" w:eastAsia="仿宋" w:cs="仿宋"/>
                <w:color w:val="auto"/>
                <w:sz w:val="24"/>
                <w:highlight w:val="none"/>
                <w:lang w:val="en-US" w:eastAsia="zh-CN"/>
              </w:rPr>
              <w:t>质保期</w:t>
            </w:r>
          </w:p>
        </w:tc>
        <w:tc>
          <w:tcPr>
            <w:tcW w:w="380" w:type="pct"/>
            <w:shd w:val="clear" w:color="auto" w:fill="auto"/>
            <w:vAlign w:val="center"/>
          </w:tcPr>
          <w:p w14:paraId="396E1543">
            <w:pPr>
              <w:wordWrap w:val="0"/>
              <w:ind w:firstLine="28" w:firstLineChars="0"/>
              <w:jc w:val="center"/>
              <w:rPr>
                <w:rFonts w:hint="eastAsia" w:ascii="仿宋" w:hAnsi="仿宋" w:eastAsia="仿宋" w:cs="仿宋"/>
                <w:color w:val="auto"/>
                <w:kern w:val="2"/>
                <w:sz w:val="24"/>
                <w:szCs w:val="22"/>
                <w:highlight w:val="none"/>
                <w:lang w:val="en-US" w:eastAsia="zh-CN" w:bidi="ar-SA"/>
              </w:rPr>
            </w:pPr>
            <w:r>
              <w:rPr>
                <w:rFonts w:hint="eastAsia" w:ascii="仿宋" w:hAnsi="仿宋" w:eastAsia="仿宋" w:cs="仿宋"/>
                <w:color w:val="auto"/>
                <w:sz w:val="24"/>
                <w:highlight w:val="none"/>
                <w:lang w:val="en-US" w:eastAsia="zh-CN"/>
              </w:rPr>
              <w:t>2分</w:t>
            </w:r>
          </w:p>
        </w:tc>
        <w:tc>
          <w:tcPr>
            <w:tcW w:w="2069" w:type="pct"/>
            <w:shd w:val="clear" w:color="auto" w:fill="auto"/>
            <w:vAlign w:val="center"/>
          </w:tcPr>
          <w:p w14:paraId="5E024BF1">
            <w:pPr>
              <w:pStyle w:val="41"/>
              <w:wordWrap w:val="0"/>
              <w:rPr>
                <w:rFonts w:hint="eastAsia" w:ascii="仿宋" w:hAnsi="仿宋" w:eastAsia="仿宋" w:cs="仿宋"/>
                <w:b/>
                <w:bCs w:val="0"/>
                <w:color w:val="auto"/>
                <w:kern w:val="2"/>
                <w:sz w:val="24"/>
                <w:szCs w:val="24"/>
                <w:highlight w:val="none"/>
                <w:lang w:val="en-US" w:eastAsia="zh-CN" w:bidi="ar-SA"/>
              </w:rPr>
            </w:pPr>
            <w:r>
              <w:rPr>
                <w:rFonts w:hint="eastAsia" w:ascii="仿宋" w:hAnsi="仿宋" w:eastAsia="仿宋" w:cs="仿宋"/>
                <w:bCs/>
                <w:color w:val="auto"/>
                <w:sz w:val="24"/>
                <w:szCs w:val="24"/>
                <w:highlight w:val="none"/>
                <w:lang w:val="en-US" w:eastAsia="zh-CN"/>
              </w:rPr>
              <w:t>供应商在满足谈判文件质保期最低响应要求的基础上每增加一年得2分，最多2分。</w:t>
            </w:r>
          </w:p>
        </w:tc>
        <w:tc>
          <w:tcPr>
            <w:tcW w:w="1120" w:type="pct"/>
            <w:vAlign w:val="center"/>
          </w:tcPr>
          <w:p w14:paraId="1D6058AA">
            <w:pPr>
              <w:pStyle w:val="41"/>
              <w:wordWrap w:val="0"/>
              <w:rPr>
                <w:rFonts w:hint="eastAsia" w:ascii="仿宋" w:hAnsi="仿宋" w:eastAsia="仿宋" w:cs="仿宋"/>
                <w:color w:val="auto"/>
                <w:kern w:val="2"/>
                <w:sz w:val="24"/>
                <w:szCs w:val="24"/>
                <w:highlight w:val="none"/>
                <w:lang w:eastAsia="zh-CN"/>
              </w:rPr>
            </w:pPr>
          </w:p>
        </w:tc>
      </w:tr>
      <w:tr w14:paraId="0970A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continue"/>
            <w:vAlign w:val="center"/>
          </w:tcPr>
          <w:p w14:paraId="0EE12D67">
            <w:pPr>
              <w:wordWrap w:val="0"/>
              <w:ind w:firstLine="28"/>
              <w:jc w:val="center"/>
              <w:rPr>
                <w:rFonts w:hint="eastAsia" w:ascii="仿宋" w:hAnsi="仿宋" w:eastAsia="仿宋" w:cs="仿宋"/>
                <w:color w:val="auto"/>
                <w:sz w:val="24"/>
                <w:highlight w:val="none"/>
              </w:rPr>
            </w:pPr>
          </w:p>
        </w:tc>
        <w:tc>
          <w:tcPr>
            <w:tcW w:w="640" w:type="pct"/>
            <w:vMerge w:val="continue"/>
            <w:vAlign w:val="center"/>
          </w:tcPr>
          <w:p w14:paraId="139BEC3D">
            <w:pPr>
              <w:wordWrap w:val="0"/>
              <w:jc w:val="center"/>
              <w:rPr>
                <w:rFonts w:hint="eastAsia" w:ascii="仿宋" w:hAnsi="仿宋" w:eastAsia="仿宋" w:cs="仿宋"/>
                <w:color w:val="auto"/>
                <w:sz w:val="24"/>
                <w:highlight w:val="none"/>
              </w:rPr>
            </w:pPr>
          </w:p>
        </w:tc>
        <w:tc>
          <w:tcPr>
            <w:tcW w:w="1044" w:type="dxa"/>
            <w:tcBorders>
              <w:top w:val="single" w:color="auto" w:sz="4" w:space="0"/>
              <w:bottom w:val="single" w:color="auto" w:sz="4" w:space="0"/>
              <w:right w:val="single" w:color="auto" w:sz="4" w:space="0"/>
            </w:tcBorders>
            <w:vAlign w:val="center"/>
          </w:tcPr>
          <w:p w14:paraId="32EA7A89">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售后服务</w:t>
            </w:r>
          </w:p>
        </w:tc>
        <w:tc>
          <w:tcPr>
            <w:tcW w:w="781" w:type="dxa"/>
            <w:tcBorders>
              <w:top w:val="single" w:color="auto" w:sz="4" w:space="0"/>
              <w:left w:val="single" w:color="auto" w:sz="4" w:space="0"/>
              <w:bottom w:val="single" w:color="auto" w:sz="4" w:space="0"/>
              <w:right w:val="single" w:color="auto" w:sz="4" w:space="0"/>
            </w:tcBorders>
            <w:vAlign w:val="center"/>
          </w:tcPr>
          <w:p w14:paraId="7647DF3F">
            <w:pPr>
              <w:wordWrap w:val="0"/>
              <w:ind w:firstLine="28" w:firstLineChars="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tc>
        <w:tc>
          <w:tcPr>
            <w:tcW w:w="4252" w:type="dxa"/>
            <w:tcBorders>
              <w:top w:val="single" w:color="auto" w:sz="4" w:space="0"/>
              <w:left w:val="single" w:color="auto" w:sz="4" w:space="0"/>
              <w:bottom w:val="single" w:color="auto" w:sz="4" w:space="0"/>
              <w:right w:val="single" w:color="auto" w:sz="4" w:space="0"/>
            </w:tcBorders>
            <w:vAlign w:val="center"/>
          </w:tcPr>
          <w:p w14:paraId="3558B4AD">
            <w:pPr>
              <w:wordWrap w:val="0"/>
              <w:ind w:firstLine="28" w:firstLineChars="0"/>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供应商在采购人所在地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0C7BD92E">
            <w:pPr>
              <w:wordWrap w:val="0"/>
              <w:ind w:left="-38"/>
              <w:rPr>
                <w:rFonts w:hint="eastAsia" w:ascii="仿宋" w:hAnsi="仿宋" w:eastAsia="仿宋" w:cs="仿宋"/>
                <w:color w:val="auto"/>
                <w:sz w:val="24"/>
                <w:highlight w:val="none"/>
              </w:rPr>
            </w:pPr>
            <w:r>
              <w:rPr>
                <w:rFonts w:hint="eastAsia" w:ascii="仿宋" w:hAnsi="仿宋" w:eastAsia="仿宋" w:cs="仿宋"/>
                <w:color w:val="auto"/>
                <w:sz w:val="24"/>
                <w:highlight w:val="none"/>
              </w:rPr>
              <w:t>以</w:t>
            </w: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提供的</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rPr>
              <w:t>文件为准。</w:t>
            </w:r>
          </w:p>
        </w:tc>
      </w:tr>
      <w:bookmarkEnd w:id="19"/>
    </w:tbl>
    <w:p w14:paraId="1F839A56">
      <w:pPr>
        <w:rPr>
          <w:lang w:val="zh-CN"/>
        </w:rPr>
      </w:pP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20" w:name="_Toc22198"/>
      <w:bookmarkStart w:id="21" w:name="_Toc3094"/>
      <w:bookmarkStart w:id="22" w:name="_Toc22827"/>
      <w:r>
        <w:rPr>
          <w:rFonts w:ascii="Times New Roman" w:hAnsi="Times New Roman" w:cs="Times New Roman"/>
        </w:rPr>
        <w:t>响应文件格式</w:t>
      </w:r>
      <w:bookmarkEnd w:id="20"/>
      <w:bookmarkEnd w:id="21"/>
      <w:bookmarkEnd w:id="22"/>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3" w:name="_Toc4960"/>
      <w:bookmarkStart w:id="24" w:name="_Toc5913"/>
      <w:bookmarkStart w:id="25" w:name="_Toc29819"/>
      <w:r>
        <w:rPr>
          <w:rFonts w:ascii="Times New Roman" w:hAnsi="Times New Roman" w:eastAsia="仿宋" w:cs="Times New Roman"/>
          <w:sz w:val="28"/>
          <w:szCs w:val="24"/>
        </w:rPr>
        <w:t>（响应文件封面）</w:t>
      </w:r>
      <w:bookmarkEnd w:id="23"/>
      <w:bookmarkEnd w:id="24"/>
      <w:bookmarkEnd w:id="25"/>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6" w:name="_Toc19851"/>
      <w:bookmarkStart w:id="27" w:name="_Toc9428"/>
      <w:bookmarkStart w:id="28" w:name="_Toc30609"/>
      <w:r>
        <w:rPr>
          <w:rFonts w:ascii="Times New Roman" w:hAnsi="Times New Roman" w:eastAsia="仿宋" w:cs="Times New Roman"/>
          <w:sz w:val="24"/>
          <w:szCs w:val="24"/>
        </w:rPr>
        <w:t>项目名称：</w:t>
      </w:r>
      <w:bookmarkEnd w:id="26"/>
      <w:bookmarkEnd w:id="27"/>
      <w:bookmarkEnd w:id="28"/>
    </w:p>
    <w:p w14:paraId="6056BEE9">
      <w:pPr>
        <w:jc w:val="left"/>
        <w:rPr>
          <w:rFonts w:ascii="Times New Roman" w:hAnsi="Times New Roman" w:eastAsia="仿宋" w:cs="Times New Roman"/>
          <w:sz w:val="24"/>
          <w:szCs w:val="24"/>
        </w:rPr>
      </w:pPr>
      <w:bookmarkStart w:id="29" w:name="_Toc32352"/>
      <w:bookmarkStart w:id="30" w:name="_Toc9041"/>
      <w:bookmarkStart w:id="31" w:name="_Toc1544"/>
      <w:r>
        <w:rPr>
          <w:rFonts w:ascii="Times New Roman" w:hAnsi="Times New Roman" w:eastAsia="仿宋" w:cs="Times New Roman"/>
          <w:sz w:val="24"/>
          <w:szCs w:val="24"/>
        </w:rPr>
        <w:t>项目编号：</w:t>
      </w:r>
      <w:bookmarkEnd w:id="29"/>
      <w:bookmarkEnd w:id="30"/>
      <w:bookmarkEnd w:id="31"/>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2" w:name="_Toc24097"/>
      <w:bookmarkStart w:id="33" w:name="_Toc21472"/>
    </w:p>
    <w:bookmarkEnd w:id="32"/>
    <w:bookmarkEnd w:id="33"/>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4" w:name="_Toc1690"/>
      <w:bookmarkStart w:id="35" w:name="_Toc24859"/>
      <w:bookmarkStart w:id="36" w:name="_Toc32749"/>
      <w:bookmarkStart w:id="37" w:name="_Toc17163"/>
      <w:r>
        <w:rPr>
          <w:rFonts w:ascii="Times New Roman" w:hAnsi="Times New Roman" w:eastAsia="仿宋" w:cs="Times New Roman"/>
          <w:sz w:val="28"/>
          <w:szCs w:val="24"/>
        </w:rPr>
        <w:t>供应商名称（公章）：</w:t>
      </w:r>
      <w:bookmarkEnd w:id="34"/>
      <w:bookmarkEnd w:id="35"/>
      <w:bookmarkEnd w:id="36"/>
      <w:bookmarkEnd w:id="37"/>
    </w:p>
    <w:p w14:paraId="7286C9BE">
      <w:pPr>
        <w:jc w:val="left"/>
        <w:rPr>
          <w:rFonts w:ascii="Times New Roman" w:hAnsi="Times New Roman" w:eastAsia="仿宋" w:cs="Times New Roman"/>
          <w:sz w:val="28"/>
          <w:szCs w:val="24"/>
        </w:rPr>
      </w:pPr>
      <w:bookmarkStart w:id="38" w:name="_Toc3558"/>
      <w:bookmarkStart w:id="39" w:name="_Toc24123"/>
      <w:bookmarkStart w:id="40" w:name="_Toc17905"/>
      <w:bookmarkStart w:id="41" w:name="_Toc6803"/>
      <w:r>
        <w:rPr>
          <w:rFonts w:ascii="Times New Roman" w:hAnsi="Times New Roman" w:eastAsia="仿宋" w:cs="Times New Roman"/>
          <w:sz w:val="28"/>
          <w:szCs w:val="24"/>
        </w:rPr>
        <w:t>法定代表人或授权代理人（签字）：</w:t>
      </w:r>
      <w:bookmarkEnd w:id="38"/>
      <w:bookmarkEnd w:id="39"/>
      <w:bookmarkEnd w:id="40"/>
      <w:bookmarkEnd w:id="41"/>
    </w:p>
    <w:p w14:paraId="37F68485">
      <w:pPr>
        <w:jc w:val="left"/>
        <w:rPr>
          <w:rFonts w:ascii="Times New Roman" w:hAnsi="Times New Roman" w:eastAsia="仿宋" w:cs="Times New Roman"/>
          <w:sz w:val="28"/>
          <w:szCs w:val="24"/>
        </w:rPr>
      </w:pPr>
      <w:bookmarkStart w:id="42" w:name="_Toc5996"/>
      <w:bookmarkStart w:id="43" w:name="_Toc27135"/>
      <w:bookmarkStart w:id="44" w:name="_Toc27526"/>
      <w:bookmarkStart w:id="45" w:name="_Toc2989"/>
      <w:r>
        <w:rPr>
          <w:rFonts w:ascii="Times New Roman" w:hAnsi="Times New Roman" w:eastAsia="仿宋" w:cs="Times New Roman"/>
          <w:sz w:val="28"/>
          <w:szCs w:val="24"/>
        </w:rPr>
        <w:t>联系方式（移动电话）：</w:t>
      </w:r>
      <w:bookmarkEnd w:id="42"/>
      <w:bookmarkEnd w:id="43"/>
      <w:bookmarkEnd w:id="44"/>
      <w:bookmarkEnd w:id="45"/>
    </w:p>
    <w:p w14:paraId="0746BDF5">
      <w:pPr>
        <w:jc w:val="left"/>
        <w:rPr>
          <w:rFonts w:ascii="Times New Roman" w:hAnsi="Times New Roman" w:eastAsia="仿宋" w:cs="Times New Roman"/>
          <w:sz w:val="28"/>
          <w:szCs w:val="24"/>
        </w:rPr>
      </w:pPr>
      <w:bookmarkStart w:id="46" w:name="_Toc5056"/>
      <w:bookmarkStart w:id="47" w:name="_Toc2031"/>
      <w:bookmarkStart w:id="48" w:name="_Toc7233"/>
      <w:bookmarkStart w:id="49" w:name="_Toc19987"/>
      <w:r>
        <w:rPr>
          <w:rFonts w:ascii="Times New Roman" w:hAnsi="Times New Roman" w:eastAsia="仿宋" w:cs="Times New Roman"/>
          <w:sz w:val="28"/>
          <w:szCs w:val="24"/>
        </w:rPr>
        <w:t>日期：     年    月     日</w:t>
      </w:r>
      <w:bookmarkEnd w:id="46"/>
      <w:bookmarkEnd w:id="47"/>
      <w:bookmarkEnd w:id="48"/>
      <w:bookmarkEnd w:id="49"/>
    </w:p>
    <w:p w14:paraId="3FF21919">
      <w:pPr>
        <w:jc w:val="center"/>
        <w:rPr>
          <w:rFonts w:ascii="Times New Roman" w:hAnsi="Times New Roman" w:eastAsia="仿宋" w:cs="Times New Roman"/>
          <w:sz w:val="32"/>
          <w:szCs w:val="40"/>
        </w:rPr>
      </w:pPr>
      <w:bookmarkStart w:id="50" w:name="_Toc6482"/>
      <w:bookmarkStart w:id="51" w:name="_Toc14829"/>
      <w:bookmarkStart w:id="52" w:name="_Toc21519"/>
      <w:bookmarkStart w:id="53" w:name="_Toc11352"/>
      <w:bookmarkStart w:id="54" w:name="_Toc16029"/>
      <w:bookmarkStart w:id="55" w:name="_Toc3023"/>
    </w:p>
    <w:p w14:paraId="45B9BDA8">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1ADAD40">
      <w:pPr>
        <w:pStyle w:val="3"/>
        <w:ind w:firstLine="0"/>
      </w:pPr>
      <w:r>
        <w:t>承诺函</w:t>
      </w:r>
      <w:bookmarkEnd w:id="50"/>
      <w:bookmarkEnd w:id="51"/>
      <w:bookmarkEnd w:id="52"/>
      <w:bookmarkEnd w:id="53"/>
      <w:bookmarkEnd w:id="54"/>
      <w:bookmarkEnd w:id="55"/>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6" w:name="_Toc17857"/>
      <w:bookmarkStart w:id="57" w:name="_Toc4305"/>
      <w:bookmarkStart w:id="58" w:name="_Toc30971"/>
      <w:bookmarkStart w:id="59" w:name="_Toc22676"/>
      <w:bookmarkStart w:id="60" w:name="_Toc31838"/>
      <w:r>
        <w:rPr>
          <w:rFonts w:ascii="Times New Roman" w:hAnsi="Times New Roman" w:cs="Times New Roman"/>
        </w:rPr>
        <w:br w:type="page"/>
      </w:r>
    </w:p>
    <w:p w14:paraId="23ED41BF">
      <w:pPr>
        <w:pStyle w:val="3"/>
        <w:ind w:firstLine="0"/>
      </w:pPr>
      <w:r>
        <w:t>具有独立承担民事责任的能力</w:t>
      </w:r>
      <w:bookmarkEnd w:id="56"/>
      <w:bookmarkEnd w:id="57"/>
      <w:bookmarkEnd w:id="58"/>
      <w:bookmarkEnd w:id="59"/>
      <w:bookmarkEnd w:id="60"/>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2"/>
          <w:szCs w:val="28"/>
        </w:rPr>
      </w:pPr>
      <w:r>
        <w:rPr>
          <w:bCs/>
        </w:rPr>
        <w:br w:type="page"/>
      </w:r>
      <w:bookmarkStart w:id="61" w:name="_Toc27186"/>
      <w:bookmarkStart w:id="62" w:name="_Toc15613"/>
      <w:bookmarkStart w:id="63"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706"/>
      <w:bookmarkStart w:id="65" w:name="_Toc25357"/>
      <w:bookmarkStart w:id="66" w:name="_Toc13904"/>
    </w:p>
    <w:p w14:paraId="6BE6D0D2">
      <w:pPr>
        <w:pStyle w:val="3"/>
        <w:ind w:firstLine="0"/>
        <w:rPr>
          <w:szCs w:val="32"/>
        </w:rPr>
      </w:pPr>
      <w:bookmarkStart w:id="67" w:name="_Toc23146"/>
      <w:bookmarkStart w:id="68" w:name="_Toc15508"/>
      <w:r>
        <w:t>本项目其他资格条件提供的证明材料</w:t>
      </w:r>
      <w:bookmarkEnd w:id="63"/>
      <w:bookmarkEnd w:id="64"/>
      <w:bookmarkEnd w:id="65"/>
      <w:bookmarkEnd w:id="66"/>
      <w:bookmarkEnd w:id="67"/>
      <w:bookmarkEnd w:id="68"/>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31"/>
        <w:ind w:left="420" w:leftChars="200"/>
        <w:jc w:val="both"/>
        <w:rPr>
          <w:rFonts w:ascii="Times New Roman" w:hAnsi="Times New Roman" w:eastAsia="仿宋" w:cs="Times New Roman"/>
          <w:color w:val="auto"/>
        </w:rPr>
      </w:pPr>
    </w:p>
    <w:p w14:paraId="15610D65">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9" w:name="_Toc15526"/>
      <w:bookmarkStart w:id="70" w:name="_Toc27661"/>
      <w:bookmarkStart w:id="71" w:name="_Toc12015"/>
      <w:bookmarkStart w:id="72" w:name="_Toc11351"/>
      <w:bookmarkStart w:id="73" w:name="_Toc20589"/>
      <w:bookmarkStart w:id="74" w:name="_Toc25638"/>
      <w:r>
        <w:rPr>
          <w:rStyle w:val="40"/>
          <w:b/>
        </w:rPr>
        <w:t>法定代表人身份证明书</w:t>
      </w:r>
      <w:bookmarkEnd w:id="69"/>
      <w:bookmarkEnd w:id="70"/>
      <w:bookmarkEnd w:id="71"/>
      <w:bookmarkEnd w:id="72"/>
      <w:bookmarkEnd w:id="73"/>
      <w:bookmarkEnd w:id="74"/>
    </w:p>
    <w:p w14:paraId="3A3BA539">
      <w:pPr>
        <w:pStyle w:val="31"/>
        <w:jc w:val="center"/>
        <w:rPr>
          <w:rFonts w:ascii="Times New Roman" w:hAnsi="Times New Roman" w:eastAsia="仿宋" w:cs="Times New Roman"/>
          <w:color w:val="auto"/>
        </w:rPr>
      </w:pPr>
    </w:p>
    <w:p w14:paraId="1D3E4E35">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31"/>
        <w:jc w:val="center"/>
        <w:rPr>
          <w:rFonts w:ascii="Times New Roman" w:hAnsi="Times New Roman" w:eastAsia="仿宋" w:cs="Times New Roman"/>
          <w:color w:val="auto"/>
        </w:rPr>
      </w:pPr>
    </w:p>
    <w:p w14:paraId="296D8A83">
      <w:pPr>
        <w:pStyle w:val="31"/>
        <w:jc w:val="center"/>
        <w:rPr>
          <w:rFonts w:ascii="Times New Roman" w:hAnsi="Times New Roman" w:eastAsia="仿宋" w:cs="Times New Roman"/>
          <w:color w:val="auto"/>
        </w:rPr>
      </w:pPr>
    </w:p>
    <w:p w14:paraId="6A679389">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31"/>
        <w:jc w:val="both"/>
        <w:rPr>
          <w:rFonts w:ascii="Times New Roman" w:hAnsi="Times New Roman" w:eastAsia="仿宋" w:cs="Times New Roman"/>
          <w:color w:val="auto"/>
        </w:rPr>
      </w:pPr>
    </w:p>
    <w:p w14:paraId="1381E3FD">
      <w:pPr>
        <w:pStyle w:val="31"/>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31"/>
        <w:jc w:val="center"/>
        <w:rPr>
          <w:rFonts w:ascii="Times New Roman" w:hAnsi="Times New Roman" w:eastAsia="仿宋" w:cs="Times New Roman"/>
          <w:color w:val="auto"/>
        </w:rPr>
      </w:pPr>
    </w:p>
    <w:p w14:paraId="2EEFDF95">
      <w:pPr>
        <w:pStyle w:val="31"/>
        <w:jc w:val="center"/>
        <w:rPr>
          <w:rFonts w:ascii="Times New Roman" w:hAnsi="Times New Roman" w:eastAsia="仿宋" w:cs="Times New Roman"/>
          <w:color w:val="auto"/>
        </w:rPr>
      </w:pPr>
    </w:p>
    <w:p w14:paraId="4361194A">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31"/>
        <w:jc w:val="both"/>
        <w:rPr>
          <w:rFonts w:ascii="Times New Roman" w:hAnsi="Times New Roman" w:eastAsia="仿宋" w:cs="Times New Roman"/>
          <w:color w:val="auto"/>
          <w:sz w:val="32"/>
          <w:szCs w:val="32"/>
        </w:rPr>
      </w:pPr>
    </w:p>
    <w:p w14:paraId="6EE83E0D">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5EA16FDB">
      <w:pPr>
        <w:pStyle w:val="31"/>
        <w:jc w:val="center"/>
        <w:rPr>
          <w:rFonts w:ascii="Times New Roman" w:hAnsi="Times New Roman" w:eastAsia="仿宋" w:cs="Times New Roman"/>
          <w:b/>
          <w:bCs/>
          <w:color w:val="auto"/>
        </w:rPr>
      </w:pPr>
    </w:p>
    <w:p w14:paraId="724D1D6A">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31"/>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5" w:name="_Toc23967"/>
      <w:bookmarkStart w:id="76" w:name="_Toc1074"/>
      <w:bookmarkStart w:id="77" w:name="_Toc16435"/>
      <w:bookmarkStart w:id="78" w:name="_Toc12967"/>
      <w:bookmarkStart w:id="79" w:name="_Toc26969"/>
      <w:bookmarkStart w:id="80" w:name="_Toc2041"/>
      <w:r>
        <w:rPr>
          <w:rStyle w:val="40"/>
          <w:b/>
        </w:rPr>
        <w:t>采购需求偏离表</w:t>
      </w:r>
      <w:bookmarkEnd w:id="75"/>
      <w:bookmarkEnd w:id="76"/>
      <w:bookmarkEnd w:id="77"/>
      <w:bookmarkEnd w:id="78"/>
      <w:bookmarkEnd w:id="79"/>
      <w:bookmarkEnd w:id="80"/>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31"/>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81" w:name="_Toc21082"/>
      <w:bookmarkStart w:id="82" w:name="_Toc28634"/>
      <w:bookmarkStart w:id="83" w:name="_Toc31686"/>
      <w:bookmarkStart w:id="84" w:name="_Toc26839"/>
      <w:bookmarkStart w:id="85" w:name="_Toc24806"/>
      <w:bookmarkStart w:id="86" w:name="_Toc1369"/>
      <w:r>
        <w:rPr>
          <w:rStyle w:val="40"/>
          <w:b/>
        </w:rPr>
        <w:t>评分需要提供的证明材料</w:t>
      </w:r>
      <w:bookmarkEnd w:id="81"/>
      <w:bookmarkEnd w:id="82"/>
      <w:bookmarkEnd w:id="83"/>
      <w:bookmarkEnd w:id="84"/>
      <w:bookmarkEnd w:id="85"/>
      <w:bookmarkEnd w:id="86"/>
    </w:p>
    <w:p w14:paraId="5023EAE2">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31"/>
        <w:jc w:val="center"/>
        <w:rPr>
          <w:rFonts w:ascii="Times New Roman" w:hAnsi="Times New Roman" w:eastAsia="仿宋" w:cs="Times New Roman"/>
          <w:b/>
          <w:bCs/>
          <w:color w:val="auto"/>
        </w:rPr>
      </w:pPr>
    </w:p>
    <w:p w14:paraId="6F53CF36">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7D414F6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D8F8412">
      <w:pPr>
        <w:rPr>
          <w:rFonts w:ascii="Times New Roman" w:hAnsi="Times New Roman" w:eastAsia="仿宋" w:cs="Times New Roman"/>
          <w:sz w:val="24"/>
          <w:szCs w:val="24"/>
        </w:rPr>
      </w:pPr>
    </w:p>
    <w:p w14:paraId="15CA912A">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172FBDF2">
      <w:pPr>
        <w:rPr>
          <w:rFonts w:ascii="Times New Roman" w:hAnsi="Times New Roman" w:eastAsia="仿宋" w:cs="Times New Roman"/>
          <w:sz w:val="24"/>
          <w:szCs w:val="24"/>
        </w:rPr>
      </w:pPr>
      <w:r>
        <w:rPr>
          <w:rFonts w:ascii="Times New Roman" w:hAnsi="Times New Roman" w:eastAsia="仿宋" w:cs="Times New Roman"/>
          <w:sz w:val="24"/>
          <w:szCs w:val="24"/>
        </w:rPr>
        <w:t>(......)</w:t>
      </w:r>
    </w:p>
    <w:p w14:paraId="1D969D8C">
      <w:pPr>
        <w:rPr>
          <w:rFonts w:ascii="Times New Roman" w:hAnsi="Times New Roman" w:eastAsia="仿宋" w:cs="Times New Roman"/>
          <w:sz w:val="24"/>
          <w:szCs w:val="24"/>
        </w:rPr>
      </w:pPr>
    </w:p>
    <w:p w14:paraId="3626B2EA">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05AA978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7C8495D8">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32605"/>
      <w:bookmarkStart w:id="88" w:name="_Toc24494"/>
      <w:bookmarkStart w:id="89" w:name="_Toc3871"/>
    </w:p>
    <w:p w14:paraId="453775AF">
      <w:pPr>
        <w:pStyle w:val="3"/>
        <w:numPr>
          <w:ilvl w:val="0"/>
          <w:numId w:val="0"/>
        </w:numPr>
        <w:ind w:left="0" w:leftChars="0" w:firstLine="0" w:firstLineChars="0"/>
      </w:pPr>
      <w:bookmarkStart w:id="90" w:name="_Toc15065"/>
      <w:bookmarkStart w:id="91" w:name="_Toc30002"/>
      <w:bookmarkStart w:id="92" w:name="_Toc29032"/>
      <w:bookmarkStart w:id="93" w:name="_Toc14685"/>
      <w:r>
        <w:rPr>
          <w:rFonts w:hint="eastAsia" w:ascii="Times New Roman" w:hAnsi="Times New Roman" w:eastAsia="仿宋" w:cs="Times New Roman"/>
          <w:b/>
          <w:sz w:val="32"/>
          <w:lang w:val="zh-CN" w:eastAsia="zh-CN" w:bidi="ar-SA"/>
        </w:rPr>
        <w:t>八、</w:t>
      </w:r>
      <w:r>
        <w:t>报价单</w:t>
      </w:r>
      <w:bookmarkEnd w:id="90"/>
    </w:p>
    <w:p w14:paraId="6EE3EC31">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firstLineChars="0"/>
        <w:jc w:val="left"/>
        <w:rPr>
          <w:rFonts w:hint="eastAsia" w:ascii="宋体" w:hAnsi="宋体" w:eastAsia="宋体" w:cstheme="minorBidi"/>
          <w:b/>
          <w:bCs/>
          <w:color w:val="auto"/>
          <w:kern w:val="2"/>
          <w:sz w:val="21"/>
          <w:szCs w:val="21"/>
          <w:highlight w:val="none"/>
          <w:lang w:val="zh-TW" w:eastAsia="zh-CN" w:bidi="ar-SA"/>
        </w:rPr>
      </w:pPr>
      <w:r>
        <w:rPr>
          <w:rFonts w:hint="eastAsia" w:ascii="宋体" w:hAnsi="宋体" w:eastAsia="宋体" w:cstheme="minorBidi"/>
          <w:b/>
          <w:bCs/>
          <w:color w:val="auto"/>
          <w:kern w:val="2"/>
          <w:sz w:val="21"/>
          <w:szCs w:val="21"/>
          <w:highlight w:val="none"/>
          <w:lang w:val="en-US" w:eastAsia="zh-CN" w:bidi="ar-SA"/>
        </w:rPr>
        <w:t>1.</w:t>
      </w:r>
      <w:r>
        <w:rPr>
          <w:rFonts w:hint="eastAsia" w:ascii="宋体" w:hAnsi="宋体" w:eastAsia="宋体" w:cstheme="minorBidi"/>
          <w:b/>
          <w:bCs/>
          <w:color w:val="auto"/>
          <w:kern w:val="2"/>
          <w:sz w:val="21"/>
          <w:szCs w:val="21"/>
          <w:highlight w:val="none"/>
          <w:lang w:val="zh-TW" w:eastAsia="zh-TW" w:bidi="ar-SA"/>
        </w:rPr>
        <w:t>注意事项</w:t>
      </w:r>
      <w:r>
        <w:rPr>
          <w:rFonts w:hint="eastAsia" w:ascii="宋体" w:hAnsi="宋体" w:eastAsia="宋体" w:cstheme="minorBidi"/>
          <w:b/>
          <w:bCs/>
          <w:color w:val="auto"/>
          <w:kern w:val="2"/>
          <w:sz w:val="21"/>
          <w:szCs w:val="21"/>
          <w:highlight w:val="none"/>
          <w:lang w:val="zh-TW" w:eastAsia="zh-CN" w:bidi="ar-SA"/>
        </w:rPr>
        <w:t>：</w:t>
      </w:r>
    </w:p>
    <w:p w14:paraId="63B1BA1B">
      <w:pPr>
        <w:pStyle w:val="16"/>
        <w:numPr>
          <w:ilvl w:val="0"/>
          <w:numId w:val="12"/>
        </w:numPr>
        <w:ind w:left="425" w:leftChars="0" w:hanging="425" w:firstLineChars="0"/>
        <w:jc w:val="left"/>
        <w:rPr>
          <w:rFonts w:hint="eastAsia" w:ascii="宋体" w:hAnsi="宋体" w:eastAsia="宋体" w:cstheme="minorBidi"/>
          <w:b/>
          <w:bCs/>
          <w:color w:val="auto"/>
          <w:kern w:val="2"/>
          <w:sz w:val="21"/>
          <w:szCs w:val="21"/>
          <w:highlight w:val="none"/>
          <w:lang w:val="zh-TW" w:eastAsia="zh-CN" w:bidi="ar-SA"/>
        </w:rPr>
      </w:pPr>
      <w:r>
        <w:rPr>
          <w:rFonts w:hint="eastAsia" w:ascii="宋体" w:hAnsi="宋体" w:eastAsia="宋体" w:cstheme="minorBidi"/>
          <w:b/>
          <w:bCs/>
          <w:color w:val="auto"/>
          <w:kern w:val="2"/>
          <w:sz w:val="21"/>
          <w:szCs w:val="21"/>
          <w:highlight w:val="none"/>
          <w:lang w:val="zh-TW" w:eastAsia="zh-CN" w:bidi="ar-SA"/>
        </w:rPr>
        <w:t>下表中</w:t>
      </w:r>
      <w:r>
        <w:rPr>
          <w:rFonts w:hint="eastAsia" w:ascii="宋体" w:hAnsi="宋体" w:eastAsia="宋体" w:cstheme="minorBidi"/>
          <w:b/>
          <w:bCs/>
          <w:color w:val="auto"/>
          <w:kern w:val="2"/>
          <w:sz w:val="21"/>
          <w:szCs w:val="21"/>
          <w:highlight w:val="none"/>
          <w:lang w:val="en-US" w:eastAsia="zh-CN" w:bidi="ar-SA"/>
        </w:rPr>
        <w:t>响应</w:t>
      </w:r>
      <w:r>
        <w:rPr>
          <w:rFonts w:hint="eastAsia" w:ascii="宋体" w:hAnsi="宋体" w:eastAsia="宋体" w:cstheme="minorBidi"/>
          <w:b/>
          <w:bCs/>
          <w:color w:val="auto"/>
          <w:kern w:val="2"/>
          <w:sz w:val="21"/>
          <w:szCs w:val="21"/>
          <w:highlight w:val="none"/>
          <w:lang w:val="zh-TW" w:eastAsia="zh-CN" w:bidi="ar-SA"/>
        </w:rPr>
        <w:t>产品名称、生产厂家、规格型号等信息须与产品医疗器械注册证或备案凭证对应信息保持一致。</w:t>
      </w:r>
    </w:p>
    <w:p w14:paraId="34987B98">
      <w:pPr>
        <w:pStyle w:val="16"/>
        <w:numPr>
          <w:ilvl w:val="0"/>
          <w:numId w:val="12"/>
        </w:numPr>
        <w:ind w:left="425" w:leftChars="0" w:hanging="425" w:firstLineChars="0"/>
        <w:jc w:val="left"/>
        <w:rPr>
          <w:rFonts w:hint="eastAsia" w:ascii="宋体" w:hAnsi="宋体" w:eastAsia="宋体" w:cstheme="minorBidi"/>
          <w:b/>
          <w:bCs/>
          <w:color w:val="auto"/>
          <w:kern w:val="2"/>
          <w:sz w:val="21"/>
          <w:szCs w:val="21"/>
          <w:highlight w:val="none"/>
          <w:lang w:val="zh-TW" w:eastAsia="zh-CN" w:bidi="ar-SA"/>
        </w:rPr>
      </w:pPr>
      <w:r>
        <w:rPr>
          <w:rFonts w:hint="eastAsia" w:ascii="宋体" w:hAnsi="宋体" w:eastAsia="宋体" w:cstheme="minorBidi"/>
          <w:b/>
          <w:bCs/>
          <w:color w:val="auto"/>
          <w:kern w:val="2"/>
          <w:sz w:val="21"/>
          <w:szCs w:val="21"/>
          <w:highlight w:val="none"/>
          <w:lang w:val="zh-TW" w:eastAsia="zh-CN" w:bidi="ar-SA"/>
        </w:rPr>
        <w:t>四川省集中采购挂网流水号、挂网最低价如有必填，如无请在表格相应位置写明原因。</w:t>
      </w:r>
    </w:p>
    <w:p w14:paraId="1A116D2C">
      <w:pPr>
        <w:pStyle w:val="16"/>
        <w:numPr>
          <w:ilvl w:val="0"/>
          <w:numId w:val="12"/>
        </w:numPr>
        <w:ind w:left="425" w:leftChars="0" w:hanging="425" w:firstLineChars="0"/>
        <w:jc w:val="left"/>
        <w:rPr>
          <w:rFonts w:hint="eastAsia" w:ascii="宋体" w:hAnsi="宋体" w:eastAsia="宋体" w:cstheme="minorBidi"/>
          <w:b/>
          <w:bCs/>
          <w:color w:val="auto"/>
          <w:kern w:val="2"/>
          <w:sz w:val="21"/>
          <w:szCs w:val="21"/>
          <w:highlight w:val="none"/>
          <w:lang w:val="zh-TW" w:eastAsia="zh-CN" w:bidi="ar-SA"/>
        </w:rPr>
      </w:pPr>
      <w:r>
        <w:rPr>
          <w:rFonts w:hint="eastAsia" w:ascii="宋体" w:hAnsi="宋体" w:eastAsia="宋体" w:cstheme="minorBidi"/>
          <w:b/>
          <w:bCs/>
          <w:color w:val="auto"/>
          <w:kern w:val="2"/>
          <w:sz w:val="21"/>
          <w:szCs w:val="21"/>
          <w:highlight w:val="none"/>
          <w:lang w:val="zh-TW" w:eastAsia="zh-CN" w:bidi="ar-SA"/>
        </w:rPr>
        <w:t>四川省集中采购挂网最低价以该产品各类挂网价中最低者为准。</w:t>
      </w:r>
    </w:p>
    <w:p w14:paraId="1FD5FA7D">
      <w:pPr>
        <w:pStyle w:val="16"/>
        <w:numPr>
          <w:ilvl w:val="0"/>
          <w:numId w:val="12"/>
        </w:numPr>
        <w:ind w:left="425" w:leftChars="0" w:hanging="425" w:firstLineChars="0"/>
        <w:jc w:val="left"/>
        <w:rPr>
          <w:rFonts w:hint="eastAsia" w:ascii="宋体" w:hAnsi="宋体" w:eastAsia="宋体" w:cstheme="minorBidi"/>
          <w:b/>
          <w:bCs/>
          <w:color w:val="auto"/>
          <w:kern w:val="2"/>
          <w:sz w:val="21"/>
          <w:szCs w:val="21"/>
          <w:highlight w:val="none"/>
          <w:lang w:val="zh-TW" w:eastAsia="zh-TW" w:bidi="ar-SA"/>
        </w:rPr>
      </w:pPr>
      <w:r>
        <w:rPr>
          <w:rFonts w:hint="eastAsia" w:ascii="宋体" w:hAnsi="宋体" w:eastAsia="宋体" w:cstheme="minorBidi"/>
          <w:b/>
          <w:bCs/>
          <w:color w:val="auto"/>
          <w:kern w:val="2"/>
          <w:sz w:val="21"/>
          <w:szCs w:val="21"/>
          <w:highlight w:val="none"/>
          <w:lang w:val="zh-TW" w:eastAsia="zh-TW" w:bidi="ar-SA"/>
        </w:rPr>
        <w:t>所有报价均用人民币表示。运输、安装、调试、检验、培训、调换、税金和保险等费用以及采购文件规定的其他费用均应包含在报价中</w:t>
      </w:r>
      <w:r>
        <w:rPr>
          <w:rFonts w:hint="eastAsia" w:ascii="宋体" w:hAnsi="宋体" w:eastAsia="宋体" w:cstheme="minorBidi"/>
          <w:b/>
          <w:bCs/>
          <w:color w:val="auto"/>
          <w:kern w:val="2"/>
          <w:sz w:val="21"/>
          <w:szCs w:val="21"/>
          <w:highlight w:val="none"/>
          <w:lang w:val="zh-TW" w:eastAsia="zh-CN" w:bidi="ar-SA"/>
        </w:rPr>
        <w:t>，</w:t>
      </w:r>
      <w:r>
        <w:rPr>
          <w:rFonts w:hint="eastAsia" w:ascii="宋体" w:hAnsi="宋体" w:eastAsia="宋体" w:cstheme="minorBidi"/>
          <w:b/>
          <w:bCs/>
          <w:color w:val="auto"/>
          <w:kern w:val="2"/>
          <w:sz w:val="21"/>
          <w:szCs w:val="21"/>
          <w:highlight w:val="none"/>
          <w:lang w:val="en-US" w:eastAsia="zh-CN" w:bidi="ar-SA"/>
        </w:rPr>
        <w:t>供应商需报出该设备涉及的耗材、配件、易损件价格（若有），该部分报价不计入总价中，作为后期采购人采购耗材、配件、易损件参考依据</w:t>
      </w:r>
      <w:r>
        <w:rPr>
          <w:rFonts w:hint="eastAsia" w:ascii="宋体" w:hAnsi="宋体" w:eastAsia="宋体" w:cstheme="minorBidi"/>
          <w:b/>
          <w:bCs/>
          <w:color w:val="auto"/>
          <w:kern w:val="2"/>
          <w:sz w:val="21"/>
          <w:szCs w:val="21"/>
          <w:highlight w:val="none"/>
          <w:lang w:val="zh-TW" w:eastAsia="zh-TW" w:bidi="ar-SA"/>
        </w:rPr>
        <w:t>。</w:t>
      </w:r>
    </w:p>
    <w:p w14:paraId="7FA0179E">
      <w:pPr>
        <w:pStyle w:val="16"/>
        <w:ind w:firstLine="0" w:firstLineChars="0"/>
        <w:jc w:val="left"/>
        <w:rPr>
          <w:rFonts w:hint="eastAsia" w:ascii="宋体" w:hAnsi="宋体" w:eastAsia="宋体" w:cstheme="minorBidi"/>
          <w:b/>
          <w:bCs/>
          <w:color w:val="auto"/>
          <w:kern w:val="2"/>
          <w:sz w:val="21"/>
          <w:szCs w:val="21"/>
          <w:highlight w:val="none"/>
          <w:lang w:val="en-US" w:eastAsia="zh-CN" w:bidi="ar-SA"/>
        </w:rPr>
      </w:pPr>
      <w:r>
        <w:rPr>
          <w:rFonts w:hint="eastAsia" w:ascii="宋体" w:hAnsi="宋体" w:eastAsia="宋体" w:cstheme="minorBidi"/>
          <w:b/>
          <w:bCs/>
          <w:color w:val="auto"/>
          <w:kern w:val="2"/>
          <w:sz w:val="21"/>
          <w:szCs w:val="21"/>
          <w:highlight w:val="none"/>
          <w:lang w:val="en-US" w:eastAsia="zh-CN" w:bidi="ar-SA"/>
        </w:rPr>
        <w:t>2.报价一览表（</w:t>
      </w:r>
      <w:r>
        <w:rPr>
          <w:rFonts w:hint="eastAsia" w:ascii="宋体" w:hAnsi="宋体" w:eastAsia="宋体" w:cstheme="minorBidi"/>
          <w:b/>
          <w:bCs/>
          <w:color w:val="auto"/>
          <w:kern w:val="2"/>
          <w:sz w:val="21"/>
          <w:szCs w:val="21"/>
          <w:highlight w:val="lightGray"/>
          <w:lang w:val="en-US" w:eastAsia="zh-CN" w:bidi="ar-SA"/>
        </w:rPr>
        <w:t>本项目要求设备与耗材分别进行报价</w:t>
      </w:r>
      <w:r>
        <w:rPr>
          <w:rFonts w:hint="eastAsia" w:ascii="宋体" w:hAnsi="宋体" w:eastAsia="宋体" w:cstheme="minorBidi"/>
          <w:b/>
          <w:bCs/>
          <w:color w:val="auto"/>
          <w:kern w:val="2"/>
          <w:sz w:val="21"/>
          <w:szCs w:val="21"/>
          <w:highlight w:val="none"/>
          <w:lang w:val="en-US" w:eastAsia="zh-CN" w:bidi="ar-SA"/>
        </w:rPr>
        <w:t>）</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3"/>
        <w:gridCol w:w="629"/>
        <w:gridCol w:w="846"/>
        <w:gridCol w:w="1304"/>
        <w:gridCol w:w="550"/>
        <w:gridCol w:w="610"/>
        <w:gridCol w:w="610"/>
        <w:gridCol w:w="635"/>
        <w:gridCol w:w="883"/>
        <w:gridCol w:w="883"/>
        <w:gridCol w:w="2283"/>
        <w:gridCol w:w="738"/>
      </w:tblGrid>
      <w:tr w14:paraId="1A67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3" w:type="pct"/>
            <w:vAlign w:val="center"/>
          </w:tcPr>
          <w:p w14:paraId="138059C5">
            <w:pPr>
              <w:jc w:val="center"/>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序号</w:t>
            </w:r>
          </w:p>
        </w:tc>
        <w:tc>
          <w:tcPr>
            <w:tcW w:w="302" w:type="pct"/>
            <w:vAlign w:val="center"/>
          </w:tcPr>
          <w:p w14:paraId="384E909D">
            <w:pPr>
              <w:jc w:val="center"/>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产品</w:t>
            </w:r>
          </w:p>
          <w:p w14:paraId="39E4BA46">
            <w:pPr>
              <w:jc w:val="center"/>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名称</w:t>
            </w:r>
          </w:p>
        </w:tc>
        <w:tc>
          <w:tcPr>
            <w:tcW w:w="406" w:type="pct"/>
            <w:vAlign w:val="center"/>
          </w:tcPr>
          <w:p w14:paraId="5FFFE4D5">
            <w:pPr>
              <w:jc w:val="center"/>
              <w:outlineLvl w:val="9"/>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响应产品名称</w:t>
            </w:r>
          </w:p>
        </w:tc>
        <w:tc>
          <w:tcPr>
            <w:tcW w:w="626" w:type="pct"/>
            <w:vAlign w:val="center"/>
          </w:tcPr>
          <w:p w14:paraId="1F1994BA">
            <w:pPr>
              <w:jc w:val="center"/>
              <w:outlineLvl w:val="9"/>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rPr>
              <w:t>医疗器械注册证或备案凭证编号</w:t>
            </w: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lang w:val="en-US" w:eastAsia="zh-CN"/>
              </w:rPr>
              <w:t>如有</w:t>
            </w:r>
            <w:r>
              <w:rPr>
                <w:rFonts w:hint="eastAsia" w:ascii="仿宋" w:hAnsi="仿宋" w:eastAsia="仿宋" w:cs="仿宋"/>
                <w:b/>
                <w:bCs/>
                <w:color w:val="auto"/>
                <w:sz w:val="21"/>
                <w:szCs w:val="21"/>
                <w:highlight w:val="none"/>
                <w:lang w:eastAsia="zh-CN"/>
              </w:rPr>
              <w:t>）</w:t>
            </w:r>
          </w:p>
        </w:tc>
        <w:tc>
          <w:tcPr>
            <w:tcW w:w="264" w:type="pct"/>
            <w:vAlign w:val="center"/>
          </w:tcPr>
          <w:p w14:paraId="2E172876">
            <w:pPr>
              <w:jc w:val="center"/>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制造厂商</w:t>
            </w:r>
          </w:p>
        </w:tc>
        <w:tc>
          <w:tcPr>
            <w:tcW w:w="293" w:type="pct"/>
            <w:vAlign w:val="center"/>
          </w:tcPr>
          <w:p w14:paraId="1911647E">
            <w:pPr>
              <w:jc w:val="center"/>
              <w:outlineLvl w:val="9"/>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产地</w:t>
            </w:r>
          </w:p>
        </w:tc>
        <w:tc>
          <w:tcPr>
            <w:tcW w:w="293" w:type="pct"/>
            <w:vAlign w:val="center"/>
          </w:tcPr>
          <w:p w14:paraId="26D4094C">
            <w:pPr>
              <w:jc w:val="center"/>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规格</w:t>
            </w:r>
          </w:p>
          <w:p w14:paraId="3E77EAA0">
            <w:pPr>
              <w:jc w:val="center"/>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型号</w:t>
            </w:r>
          </w:p>
        </w:tc>
        <w:tc>
          <w:tcPr>
            <w:tcW w:w="305" w:type="pct"/>
            <w:vAlign w:val="center"/>
          </w:tcPr>
          <w:p w14:paraId="508134A4">
            <w:pPr>
              <w:jc w:val="center"/>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数量</w:t>
            </w:r>
          </w:p>
        </w:tc>
        <w:tc>
          <w:tcPr>
            <w:tcW w:w="424" w:type="pct"/>
            <w:vAlign w:val="center"/>
          </w:tcPr>
          <w:p w14:paraId="5625177B">
            <w:pPr>
              <w:ind w:left="267" w:hanging="312" w:hangingChars="148"/>
              <w:jc w:val="center"/>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单价</w:t>
            </w:r>
          </w:p>
          <w:p w14:paraId="274F3E3B">
            <w:pPr>
              <w:ind w:left="267" w:hanging="312" w:hangingChars="148"/>
              <w:jc w:val="center"/>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（元）</w:t>
            </w:r>
          </w:p>
        </w:tc>
        <w:tc>
          <w:tcPr>
            <w:tcW w:w="424" w:type="pct"/>
            <w:vAlign w:val="center"/>
          </w:tcPr>
          <w:p w14:paraId="201433D5">
            <w:pPr>
              <w:ind w:left="267" w:hanging="312" w:hangingChars="148"/>
              <w:jc w:val="center"/>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总价</w:t>
            </w:r>
          </w:p>
          <w:p w14:paraId="49E73B93">
            <w:pPr>
              <w:ind w:left="267" w:hanging="312" w:hangingChars="148"/>
              <w:jc w:val="center"/>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（元）</w:t>
            </w:r>
          </w:p>
        </w:tc>
        <w:tc>
          <w:tcPr>
            <w:tcW w:w="1096" w:type="pct"/>
            <w:vAlign w:val="center"/>
          </w:tcPr>
          <w:p w14:paraId="1F1C47F4">
            <w:pPr>
              <w:jc w:val="center"/>
              <w:outlineLvl w:val="9"/>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质保期</w:t>
            </w:r>
          </w:p>
          <w:p w14:paraId="6BAE002E">
            <w:pPr>
              <w:jc w:val="center"/>
              <w:outlineLvl w:val="9"/>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（验收合格后XX年） </w:t>
            </w:r>
          </w:p>
          <w:p w14:paraId="0E653775">
            <w:pPr>
              <w:jc w:val="center"/>
              <w:outlineLvl w:val="9"/>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（★注：响应的质保期不得超过产品官方技术文件中写明的最长使用寿命（不包括易损附件的使用寿命），否则，视为虚假响应，供应商须承担相应后果。</w:t>
            </w:r>
          </w:p>
        </w:tc>
        <w:tc>
          <w:tcPr>
            <w:tcW w:w="348" w:type="pct"/>
            <w:vAlign w:val="center"/>
          </w:tcPr>
          <w:p w14:paraId="45AD5A2C">
            <w:pPr>
              <w:ind w:left="267" w:hanging="312" w:hangingChars="148"/>
              <w:jc w:val="left"/>
              <w:outlineLvl w:val="9"/>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备注</w:t>
            </w:r>
          </w:p>
        </w:tc>
      </w:tr>
      <w:tr w14:paraId="4E47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3" w:type="pct"/>
            <w:vAlign w:val="center"/>
          </w:tcPr>
          <w:p w14:paraId="12C9A7E7">
            <w:pPr>
              <w:spacing w:line="360" w:lineRule="auto"/>
              <w:jc w:val="center"/>
              <w:outlineLvl w:val="9"/>
              <w:rPr>
                <w:rFonts w:hint="default" w:ascii="宋体" w:hAnsi="宋体" w:eastAsia="宋体" w:cs="仿宋"/>
                <w:color w:val="auto"/>
                <w:sz w:val="21"/>
                <w:szCs w:val="21"/>
                <w:highlight w:val="none"/>
                <w:lang w:val="en-US" w:eastAsia="zh-CN"/>
              </w:rPr>
            </w:pPr>
            <w:r>
              <w:rPr>
                <w:rFonts w:hint="eastAsia" w:ascii="宋体" w:hAnsi="宋体" w:eastAsia="宋体" w:cs="仿宋"/>
                <w:color w:val="auto"/>
                <w:sz w:val="21"/>
                <w:szCs w:val="21"/>
                <w:highlight w:val="none"/>
                <w:lang w:val="en-US" w:eastAsia="zh-CN"/>
              </w:rPr>
              <w:t>1</w:t>
            </w:r>
          </w:p>
        </w:tc>
        <w:tc>
          <w:tcPr>
            <w:tcW w:w="302" w:type="pct"/>
            <w:vAlign w:val="center"/>
          </w:tcPr>
          <w:p w14:paraId="5F9ED15A">
            <w:pPr>
              <w:spacing w:line="360" w:lineRule="auto"/>
              <w:jc w:val="both"/>
              <w:outlineLvl w:val="9"/>
              <w:rPr>
                <w:rFonts w:ascii="宋体" w:hAnsi="宋体" w:eastAsia="宋体" w:cs="仿宋"/>
                <w:color w:val="auto"/>
                <w:sz w:val="21"/>
                <w:szCs w:val="21"/>
                <w:highlight w:val="none"/>
              </w:rPr>
            </w:pPr>
          </w:p>
        </w:tc>
        <w:tc>
          <w:tcPr>
            <w:tcW w:w="406" w:type="pct"/>
            <w:vAlign w:val="center"/>
          </w:tcPr>
          <w:p w14:paraId="4C3B213C">
            <w:pPr>
              <w:spacing w:line="360" w:lineRule="auto"/>
              <w:jc w:val="both"/>
              <w:outlineLvl w:val="9"/>
              <w:rPr>
                <w:rFonts w:ascii="宋体" w:hAnsi="宋体" w:eastAsia="宋体" w:cs="仿宋"/>
                <w:color w:val="auto"/>
                <w:sz w:val="21"/>
                <w:szCs w:val="21"/>
                <w:highlight w:val="none"/>
              </w:rPr>
            </w:pPr>
          </w:p>
        </w:tc>
        <w:tc>
          <w:tcPr>
            <w:tcW w:w="626" w:type="pct"/>
            <w:vAlign w:val="center"/>
          </w:tcPr>
          <w:p w14:paraId="2BE84427">
            <w:pPr>
              <w:spacing w:line="360" w:lineRule="auto"/>
              <w:jc w:val="center"/>
              <w:outlineLvl w:val="9"/>
              <w:rPr>
                <w:rFonts w:ascii="宋体" w:hAnsi="宋体" w:eastAsia="宋体" w:cs="仿宋"/>
                <w:color w:val="auto"/>
                <w:sz w:val="21"/>
                <w:szCs w:val="21"/>
                <w:highlight w:val="none"/>
              </w:rPr>
            </w:pPr>
          </w:p>
        </w:tc>
        <w:tc>
          <w:tcPr>
            <w:tcW w:w="264" w:type="pct"/>
            <w:vAlign w:val="center"/>
          </w:tcPr>
          <w:p w14:paraId="1A19B8B1">
            <w:pPr>
              <w:spacing w:line="360" w:lineRule="auto"/>
              <w:jc w:val="both"/>
              <w:outlineLvl w:val="9"/>
              <w:rPr>
                <w:rFonts w:ascii="宋体" w:hAnsi="宋体" w:eastAsia="宋体" w:cs="仿宋"/>
                <w:color w:val="auto"/>
                <w:sz w:val="21"/>
                <w:szCs w:val="21"/>
                <w:highlight w:val="none"/>
              </w:rPr>
            </w:pPr>
          </w:p>
        </w:tc>
        <w:tc>
          <w:tcPr>
            <w:tcW w:w="293" w:type="pct"/>
            <w:vAlign w:val="center"/>
          </w:tcPr>
          <w:p w14:paraId="3DD70B8A">
            <w:pPr>
              <w:spacing w:line="360" w:lineRule="auto"/>
              <w:jc w:val="both"/>
              <w:outlineLvl w:val="9"/>
              <w:rPr>
                <w:rFonts w:ascii="宋体" w:hAnsi="宋体" w:eastAsia="宋体" w:cs="仿宋"/>
                <w:color w:val="auto"/>
                <w:sz w:val="21"/>
                <w:szCs w:val="21"/>
                <w:highlight w:val="none"/>
              </w:rPr>
            </w:pPr>
          </w:p>
        </w:tc>
        <w:tc>
          <w:tcPr>
            <w:tcW w:w="293" w:type="pct"/>
            <w:vAlign w:val="center"/>
          </w:tcPr>
          <w:p w14:paraId="2B8DDA14">
            <w:pPr>
              <w:spacing w:line="360" w:lineRule="auto"/>
              <w:jc w:val="both"/>
              <w:outlineLvl w:val="9"/>
              <w:rPr>
                <w:rFonts w:ascii="宋体" w:hAnsi="宋体" w:eastAsia="宋体" w:cs="仿宋"/>
                <w:color w:val="auto"/>
                <w:sz w:val="21"/>
                <w:szCs w:val="21"/>
                <w:highlight w:val="none"/>
              </w:rPr>
            </w:pPr>
          </w:p>
        </w:tc>
        <w:tc>
          <w:tcPr>
            <w:tcW w:w="305" w:type="pct"/>
            <w:vAlign w:val="center"/>
          </w:tcPr>
          <w:p w14:paraId="00A43C7E">
            <w:pPr>
              <w:spacing w:line="360" w:lineRule="auto"/>
              <w:jc w:val="center"/>
              <w:outlineLvl w:val="9"/>
              <w:rPr>
                <w:rFonts w:ascii="宋体" w:hAnsi="宋体" w:eastAsia="宋体" w:cs="仿宋"/>
                <w:color w:val="auto"/>
                <w:sz w:val="21"/>
                <w:szCs w:val="21"/>
                <w:highlight w:val="none"/>
              </w:rPr>
            </w:pPr>
          </w:p>
        </w:tc>
        <w:tc>
          <w:tcPr>
            <w:tcW w:w="424" w:type="pct"/>
            <w:vAlign w:val="center"/>
          </w:tcPr>
          <w:p w14:paraId="023370BF">
            <w:pPr>
              <w:spacing w:line="360" w:lineRule="auto"/>
              <w:jc w:val="center"/>
              <w:outlineLvl w:val="9"/>
              <w:rPr>
                <w:rFonts w:ascii="宋体" w:hAnsi="宋体" w:eastAsia="宋体" w:cs="仿宋"/>
                <w:color w:val="auto"/>
                <w:sz w:val="21"/>
                <w:szCs w:val="21"/>
                <w:highlight w:val="none"/>
              </w:rPr>
            </w:pPr>
          </w:p>
        </w:tc>
        <w:tc>
          <w:tcPr>
            <w:tcW w:w="424" w:type="pct"/>
            <w:vAlign w:val="center"/>
          </w:tcPr>
          <w:p w14:paraId="4F808973">
            <w:pPr>
              <w:spacing w:line="360" w:lineRule="auto"/>
              <w:jc w:val="center"/>
              <w:outlineLvl w:val="9"/>
              <w:rPr>
                <w:rFonts w:ascii="宋体" w:hAnsi="宋体" w:eastAsia="宋体" w:cs="仿宋"/>
                <w:color w:val="auto"/>
                <w:sz w:val="21"/>
                <w:szCs w:val="21"/>
                <w:highlight w:val="none"/>
              </w:rPr>
            </w:pPr>
          </w:p>
        </w:tc>
        <w:tc>
          <w:tcPr>
            <w:tcW w:w="1096" w:type="pct"/>
            <w:vAlign w:val="center"/>
          </w:tcPr>
          <w:p w14:paraId="6A2488F9">
            <w:pPr>
              <w:spacing w:line="360" w:lineRule="auto"/>
              <w:jc w:val="center"/>
              <w:outlineLvl w:val="9"/>
              <w:rPr>
                <w:rFonts w:ascii="宋体" w:hAnsi="宋体" w:eastAsia="宋体" w:cs="仿宋"/>
                <w:color w:val="auto"/>
                <w:sz w:val="21"/>
                <w:szCs w:val="21"/>
                <w:highlight w:val="none"/>
              </w:rPr>
            </w:pPr>
          </w:p>
        </w:tc>
        <w:tc>
          <w:tcPr>
            <w:tcW w:w="348" w:type="pct"/>
            <w:vAlign w:val="center"/>
          </w:tcPr>
          <w:p w14:paraId="49D9743D">
            <w:pPr>
              <w:spacing w:line="360" w:lineRule="auto"/>
              <w:jc w:val="center"/>
              <w:outlineLvl w:val="9"/>
              <w:rPr>
                <w:rFonts w:ascii="宋体" w:hAnsi="宋体" w:eastAsia="宋体" w:cs="仿宋"/>
                <w:color w:val="auto"/>
                <w:sz w:val="21"/>
                <w:szCs w:val="21"/>
                <w:highlight w:val="none"/>
              </w:rPr>
            </w:pPr>
          </w:p>
        </w:tc>
      </w:tr>
      <w:tr w14:paraId="3A2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3" w:type="pct"/>
            <w:vAlign w:val="center"/>
          </w:tcPr>
          <w:p w14:paraId="5C2BDBE1">
            <w:pPr>
              <w:spacing w:line="360" w:lineRule="auto"/>
              <w:jc w:val="center"/>
              <w:outlineLvl w:val="9"/>
              <w:rPr>
                <w:rFonts w:hint="default" w:ascii="宋体" w:hAnsi="宋体" w:eastAsia="宋体" w:cs="仿宋"/>
                <w:color w:val="auto"/>
                <w:sz w:val="21"/>
                <w:szCs w:val="21"/>
                <w:highlight w:val="none"/>
                <w:lang w:val="en-US" w:eastAsia="zh-CN"/>
              </w:rPr>
            </w:pPr>
            <w:r>
              <w:rPr>
                <w:rFonts w:hint="eastAsia" w:ascii="宋体" w:hAnsi="宋体" w:eastAsia="宋体" w:cs="仿宋"/>
                <w:color w:val="auto"/>
                <w:sz w:val="21"/>
                <w:szCs w:val="21"/>
                <w:highlight w:val="none"/>
                <w:lang w:val="en-US" w:eastAsia="zh-CN"/>
              </w:rPr>
              <w:t>2</w:t>
            </w:r>
          </w:p>
        </w:tc>
        <w:tc>
          <w:tcPr>
            <w:tcW w:w="302" w:type="pct"/>
            <w:vAlign w:val="center"/>
          </w:tcPr>
          <w:p w14:paraId="3E683D48">
            <w:pPr>
              <w:spacing w:line="360" w:lineRule="auto"/>
              <w:jc w:val="both"/>
              <w:outlineLvl w:val="9"/>
              <w:rPr>
                <w:rFonts w:ascii="宋体" w:hAnsi="宋体" w:eastAsia="宋体" w:cs="仿宋"/>
                <w:color w:val="auto"/>
                <w:sz w:val="21"/>
                <w:szCs w:val="21"/>
                <w:highlight w:val="none"/>
              </w:rPr>
            </w:pPr>
          </w:p>
        </w:tc>
        <w:tc>
          <w:tcPr>
            <w:tcW w:w="406" w:type="pct"/>
            <w:vAlign w:val="center"/>
          </w:tcPr>
          <w:p w14:paraId="258A59FD">
            <w:pPr>
              <w:spacing w:line="360" w:lineRule="auto"/>
              <w:jc w:val="both"/>
              <w:outlineLvl w:val="9"/>
              <w:rPr>
                <w:rFonts w:ascii="宋体" w:hAnsi="宋体" w:eastAsia="宋体" w:cs="仿宋"/>
                <w:color w:val="auto"/>
                <w:sz w:val="21"/>
                <w:szCs w:val="21"/>
                <w:highlight w:val="none"/>
              </w:rPr>
            </w:pPr>
          </w:p>
        </w:tc>
        <w:tc>
          <w:tcPr>
            <w:tcW w:w="626" w:type="pct"/>
            <w:vAlign w:val="center"/>
          </w:tcPr>
          <w:p w14:paraId="33FF5EAD">
            <w:pPr>
              <w:spacing w:line="360" w:lineRule="auto"/>
              <w:jc w:val="center"/>
              <w:outlineLvl w:val="9"/>
              <w:rPr>
                <w:rFonts w:ascii="宋体" w:hAnsi="宋体" w:eastAsia="宋体" w:cs="仿宋"/>
                <w:color w:val="auto"/>
                <w:sz w:val="21"/>
                <w:szCs w:val="21"/>
                <w:highlight w:val="none"/>
              </w:rPr>
            </w:pPr>
          </w:p>
        </w:tc>
        <w:tc>
          <w:tcPr>
            <w:tcW w:w="264" w:type="pct"/>
            <w:vAlign w:val="center"/>
          </w:tcPr>
          <w:p w14:paraId="4BC445B7">
            <w:pPr>
              <w:spacing w:line="360" w:lineRule="auto"/>
              <w:jc w:val="both"/>
              <w:outlineLvl w:val="9"/>
              <w:rPr>
                <w:rFonts w:ascii="宋体" w:hAnsi="宋体" w:eastAsia="宋体" w:cs="仿宋"/>
                <w:color w:val="auto"/>
                <w:sz w:val="21"/>
                <w:szCs w:val="21"/>
                <w:highlight w:val="none"/>
              </w:rPr>
            </w:pPr>
          </w:p>
        </w:tc>
        <w:tc>
          <w:tcPr>
            <w:tcW w:w="293" w:type="pct"/>
            <w:vAlign w:val="center"/>
          </w:tcPr>
          <w:p w14:paraId="52089DBE">
            <w:pPr>
              <w:spacing w:line="360" w:lineRule="auto"/>
              <w:jc w:val="both"/>
              <w:outlineLvl w:val="9"/>
              <w:rPr>
                <w:rFonts w:ascii="宋体" w:hAnsi="宋体" w:eastAsia="宋体" w:cs="仿宋"/>
                <w:color w:val="auto"/>
                <w:sz w:val="21"/>
                <w:szCs w:val="21"/>
                <w:highlight w:val="none"/>
              </w:rPr>
            </w:pPr>
          </w:p>
        </w:tc>
        <w:tc>
          <w:tcPr>
            <w:tcW w:w="293" w:type="pct"/>
            <w:vAlign w:val="center"/>
          </w:tcPr>
          <w:p w14:paraId="041B467F">
            <w:pPr>
              <w:spacing w:line="360" w:lineRule="auto"/>
              <w:jc w:val="both"/>
              <w:outlineLvl w:val="9"/>
              <w:rPr>
                <w:rFonts w:ascii="宋体" w:hAnsi="宋体" w:eastAsia="宋体" w:cs="仿宋"/>
                <w:color w:val="auto"/>
                <w:sz w:val="21"/>
                <w:szCs w:val="21"/>
                <w:highlight w:val="none"/>
              </w:rPr>
            </w:pPr>
          </w:p>
        </w:tc>
        <w:tc>
          <w:tcPr>
            <w:tcW w:w="305" w:type="pct"/>
            <w:vAlign w:val="center"/>
          </w:tcPr>
          <w:p w14:paraId="107FAF5B">
            <w:pPr>
              <w:spacing w:line="360" w:lineRule="auto"/>
              <w:jc w:val="center"/>
              <w:outlineLvl w:val="9"/>
              <w:rPr>
                <w:rFonts w:ascii="宋体" w:hAnsi="宋体" w:eastAsia="宋体" w:cs="仿宋"/>
                <w:color w:val="auto"/>
                <w:sz w:val="21"/>
                <w:szCs w:val="21"/>
                <w:highlight w:val="none"/>
              </w:rPr>
            </w:pPr>
          </w:p>
        </w:tc>
        <w:tc>
          <w:tcPr>
            <w:tcW w:w="424" w:type="pct"/>
            <w:vAlign w:val="center"/>
          </w:tcPr>
          <w:p w14:paraId="19BF03E8">
            <w:pPr>
              <w:spacing w:line="360" w:lineRule="auto"/>
              <w:jc w:val="center"/>
              <w:outlineLvl w:val="9"/>
              <w:rPr>
                <w:rFonts w:ascii="宋体" w:hAnsi="宋体" w:eastAsia="宋体" w:cs="仿宋"/>
                <w:color w:val="auto"/>
                <w:sz w:val="21"/>
                <w:szCs w:val="21"/>
                <w:highlight w:val="none"/>
              </w:rPr>
            </w:pPr>
          </w:p>
        </w:tc>
        <w:tc>
          <w:tcPr>
            <w:tcW w:w="424" w:type="pct"/>
            <w:vAlign w:val="center"/>
          </w:tcPr>
          <w:p w14:paraId="5F13662C">
            <w:pPr>
              <w:spacing w:line="360" w:lineRule="auto"/>
              <w:jc w:val="center"/>
              <w:outlineLvl w:val="9"/>
              <w:rPr>
                <w:rFonts w:ascii="宋体" w:hAnsi="宋体" w:eastAsia="宋体" w:cs="仿宋"/>
                <w:color w:val="auto"/>
                <w:sz w:val="21"/>
                <w:szCs w:val="21"/>
                <w:highlight w:val="none"/>
              </w:rPr>
            </w:pPr>
          </w:p>
        </w:tc>
        <w:tc>
          <w:tcPr>
            <w:tcW w:w="1096" w:type="pct"/>
            <w:vAlign w:val="center"/>
          </w:tcPr>
          <w:p w14:paraId="33AE48C0">
            <w:pPr>
              <w:spacing w:line="360" w:lineRule="auto"/>
              <w:jc w:val="center"/>
              <w:outlineLvl w:val="9"/>
              <w:rPr>
                <w:rFonts w:ascii="宋体" w:hAnsi="宋体" w:eastAsia="宋体" w:cs="仿宋"/>
                <w:color w:val="auto"/>
                <w:sz w:val="21"/>
                <w:szCs w:val="21"/>
                <w:highlight w:val="none"/>
              </w:rPr>
            </w:pPr>
          </w:p>
        </w:tc>
        <w:tc>
          <w:tcPr>
            <w:tcW w:w="348" w:type="pct"/>
            <w:vAlign w:val="center"/>
          </w:tcPr>
          <w:p w14:paraId="54729769">
            <w:pPr>
              <w:spacing w:line="360" w:lineRule="auto"/>
              <w:jc w:val="center"/>
              <w:outlineLvl w:val="9"/>
              <w:rPr>
                <w:rFonts w:ascii="宋体" w:hAnsi="宋体" w:eastAsia="宋体" w:cs="仿宋"/>
                <w:color w:val="auto"/>
                <w:sz w:val="21"/>
                <w:szCs w:val="21"/>
                <w:highlight w:val="none"/>
              </w:rPr>
            </w:pPr>
          </w:p>
        </w:tc>
      </w:tr>
      <w:tr w14:paraId="3A50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3" w:type="pct"/>
            <w:vAlign w:val="center"/>
          </w:tcPr>
          <w:p w14:paraId="0D170E4C">
            <w:pPr>
              <w:spacing w:line="360" w:lineRule="auto"/>
              <w:jc w:val="center"/>
              <w:outlineLvl w:val="9"/>
              <w:rPr>
                <w:rFonts w:hint="eastAsia" w:ascii="宋体" w:hAnsi="宋体" w:eastAsia="宋体" w:cs="仿宋"/>
                <w:color w:val="auto"/>
                <w:sz w:val="21"/>
                <w:szCs w:val="21"/>
                <w:highlight w:val="none"/>
                <w:lang w:val="en-US" w:eastAsia="zh-CN"/>
              </w:rPr>
            </w:pPr>
            <w:r>
              <w:rPr>
                <w:rFonts w:hint="eastAsia" w:ascii="宋体" w:hAnsi="宋体" w:eastAsia="宋体" w:cs="仿宋"/>
                <w:color w:val="auto"/>
                <w:sz w:val="21"/>
                <w:szCs w:val="21"/>
                <w:highlight w:val="none"/>
                <w:lang w:val="en-US" w:eastAsia="zh-CN"/>
              </w:rPr>
              <w:t>…</w:t>
            </w:r>
          </w:p>
        </w:tc>
        <w:tc>
          <w:tcPr>
            <w:tcW w:w="302" w:type="pct"/>
            <w:vAlign w:val="center"/>
          </w:tcPr>
          <w:p w14:paraId="11DB280B">
            <w:pPr>
              <w:spacing w:line="360" w:lineRule="auto"/>
              <w:jc w:val="both"/>
              <w:outlineLvl w:val="9"/>
              <w:rPr>
                <w:rFonts w:ascii="宋体" w:hAnsi="宋体" w:eastAsia="宋体" w:cs="仿宋"/>
                <w:color w:val="auto"/>
                <w:sz w:val="21"/>
                <w:szCs w:val="21"/>
                <w:highlight w:val="none"/>
              </w:rPr>
            </w:pPr>
          </w:p>
        </w:tc>
        <w:tc>
          <w:tcPr>
            <w:tcW w:w="406" w:type="pct"/>
            <w:vAlign w:val="center"/>
          </w:tcPr>
          <w:p w14:paraId="6D36287A">
            <w:pPr>
              <w:spacing w:line="360" w:lineRule="auto"/>
              <w:jc w:val="both"/>
              <w:outlineLvl w:val="9"/>
              <w:rPr>
                <w:rFonts w:ascii="宋体" w:hAnsi="宋体" w:eastAsia="宋体" w:cs="仿宋"/>
                <w:color w:val="auto"/>
                <w:sz w:val="21"/>
                <w:szCs w:val="21"/>
                <w:highlight w:val="none"/>
              </w:rPr>
            </w:pPr>
          </w:p>
        </w:tc>
        <w:tc>
          <w:tcPr>
            <w:tcW w:w="626" w:type="pct"/>
            <w:vAlign w:val="center"/>
          </w:tcPr>
          <w:p w14:paraId="0A3197A0">
            <w:pPr>
              <w:spacing w:line="360" w:lineRule="auto"/>
              <w:jc w:val="center"/>
              <w:outlineLvl w:val="9"/>
              <w:rPr>
                <w:rFonts w:ascii="宋体" w:hAnsi="宋体" w:eastAsia="宋体" w:cs="仿宋"/>
                <w:color w:val="auto"/>
                <w:sz w:val="21"/>
                <w:szCs w:val="21"/>
                <w:highlight w:val="none"/>
              </w:rPr>
            </w:pPr>
          </w:p>
        </w:tc>
        <w:tc>
          <w:tcPr>
            <w:tcW w:w="264" w:type="pct"/>
            <w:vAlign w:val="center"/>
          </w:tcPr>
          <w:p w14:paraId="6F90B5E1">
            <w:pPr>
              <w:spacing w:line="360" w:lineRule="auto"/>
              <w:jc w:val="both"/>
              <w:outlineLvl w:val="9"/>
              <w:rPr>
                <w:rFonts w:ascii="宋体" w:hAnsi="宋体" w:eastAsia="宋体" w:cs="仿宋"/>
                <w:color w:val="auto"/>
                <w:sz w:val="21"/>
                <w:szCs w:val="21"/>
                <w:highlight w:val="none"/>
              </w:rPr>
            </w:pPr>
          </w:p>
        </w:tc>
        <w:tc>
          <w:tcPr>
            <w:tcW w:w="293" w:type="pct"/>
            <w:vAlign w:val="center"/>
          </w:tcPr>
          <w:p w14:paraId="32BE05BB">
            <w:pPr>
              <w:spacing w:line="360" w:lineRule="auto"/>
              <w:jc w:val="both"/>
              <w:outlineLvl w:val="9"/>
              <w:rPr>
                <w:rFonts w:ascii="宋体" w:hAnsi="宋体" w:eastAsia="宋体" w:cs="仿宋"/>
                <w:color w:val="auto"/>
                <w:sz w:val="21"/>
                <w:szCs w:val="21"/>
                <w:highlight w:val="none"/>
              </w:rPr>
            </w:pPr>
          </w:p>
        </w:tc>
        <w:tc>
          <w:tcPr>
            <w:tcW w:w="293" w:type="pct"/>
            <w:vAlign w:val="center"/>
          </w:tcPr>
          <w:p w14:paraId="2C60ACE7">
            <w:pPr>
              <w:spacing w:line="360" w:lineRule="auto"/>
              <w:jc w:val="both"/>
              <w:outlineLvl w:val="9"/>
              <w:rPr>
                <w:rFonts w:ascii="宋体" w:hAnsi="宋体" w:eastAsia="宋体" w:cs="仿宋"/>
                <w:color w:val="auto"/>
                <w:sz w:val="21"/>
                <w:szCs w:val="21"/>
                <w:highlight w:val="none"/>
              </w:rPr>
            </w:pPr>
          </w:p>
        </w:tc>
        <w:tc>
          <w:tcPr>
            <w:tcW w:w="305" w:type="pct"/>
            <w:vAlign w:val="center"/>
          </w:tcPr>
          <w:p w14:paraId="7E9FA9B3">
            <w:pPr>
              <w:spacing w:line="360" w:lineRule="auto"/>
              <w:jc w:val="center"/>
              <w:outlineLvl w:val="9"/>
              <w:rPr>
                <w:rFonts w:ascii="宋体" w:hAnsi="宋体" w:eastAsia="宋体" w:cs="仿宋"/>
                <w:color w:val="auto"/>
                <w:sz w:val="21"/>
                <w:szCs w:val="21"/>
                <w:highlight w:val="none"/>
              </w:rPr>
            </w:pPr>
          </w:p>
        </w:tc>
        <w:tc>
          <w:tcPr>
            <w:tcW w:w="424" w:type="pct"/>
            <w:vAlign w:val="center"/>
          </w:tcPr>
          <w:p w14:paraId="40FFA353">
            <w:pPr>
              <w:spacing w:line="360" w:lineRule="auto"/>
              <w:jc w:val="center"/>
              <w:outlineLvl w:val="9"/>
              <w:rPr>
                <w:rFonts w:ascii="宋体" w:hAnsi="宋体" w:eastAsia="宋体" w:cs="仿宋"/>
                <w:color w:val="auto"/>
                <w:sz w:val="21"/>
                <w:szCs w:val="21"/>
                <w:highlight w:val="none"/>
              </w:rPr>
            </w:pPr>
          </w:p>
        </w:tc>
        <w:tc>
          <w:tcPr>
            <w:tcW w:w="424" w:type="pct"/>
            <w:vAlign w:val="center"/>
          </w:tcPr>
          <w:p w14:paraId="7B027036">
            <w:pPr>
              <w:spacing w:line="360" w:lineRule="auto"/>
              <w:jc w:val="center"/>
              <w:outlineLvl w:val="9"/>
              <w:rPr>
                <w:rFonts w:ascii="宋体" w:hAnsi="宋体" w:eastAsia="宋体" w:cs="仿宋"/>
                <w:color w:val="auto"/>
                <w:sz w:val="21"/>
                <w:szCs w:val="21"/>
                <w:highlight w:val="none"/>
              </w:rPr>
            </w:pPr>
          </w:p>
        </w:tc>
        <w:tc>
          <w:tcPr>
            <w:tcW w:w="1096" w:type="pct"/>
            <w:vAlign w:val="center"/>
          </w:tcPr>
          <w:p w14:paraId="49D1D5AE">
            <w:pPr>
              <w:spacing w:line="360" w:lineRule="auto"/>
              <w:jc w:val="center"/>
              <w:outlineLvl w:val="9"/>
              <w:rPr>
                <w:rFonts w:ascii="宋体" w:hAnsi="宋体" w:eastAsia="宋体" w:cs="仿宋"/>
                <w:color w:val="auto"/>
                <w:sz w:val="21"/>
                <w:szCs w:val="21"/>
                <w:highlight w:val="none"/>
              </w:rPr>
            </w:pPr>
          </w:p>
        </w:tc>
        <w:tc>
          <w:tcPr>
            <w:tcW w:w="348" w:type="pct"/>
            <w:vAlign w:val="center"/>
          </w:tcPr>
          <w:p w14:paraId="023D71DA">
            <w:pPr>
              <w:spacing w:line="360" w:lineRule="auto"/>
              <w:jc w:val="center"/>
              <w:outlineLvl w:val="9"/>
              <w:rPr>
                <w:rFonts w:ascii="宋体" w:hAnsi="宋体" w:eastAsia="宋体" w:cs="仿宋"/>
                <w:color w:val="auto"/>
                <w:sz w:val="21"/>
                <w:szCs w:val="21"/>
                <w:highlight w:val="none"/>
              </w:rPr>
            </w:pPr>
          </w:p>
        </w:tc>
      </w:tr>
      <w:tr w14:paraId="4354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14:paraId="3D1B6487">
            <w:pPr>
              <w:spacing w:line="360" w:lineRule="auto"/>
              <w:jc w:val="both"/>
              <w:outlineLvl w:val="9"/>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最终响应报价金额总计（含税）：                      元</w:t>
            </w:r>
          </w:p>
          <w:p w14:paraId="246273E3">
            <w:pPr>
              <w:spacing w:line="360" w:lineRule="auto"/>
              <w:jc w:val="both"/>
              <w:outlineLvl w:val="9"/>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（大写：    仟   佰    拾   万   仟   佰   拾   元   角   分 ）</w:t>
            </w:r>
          </w:p>
        </w:tc>
      </w:tr>
    </w:tbl>
    <w:p w14:paraId="38E82362">
      <w:pPr>
        <w:pStyle w:val="16"/>
        <w:ind w:firstLine="0" w:firstLineChars="0"/>
        <w:jc w:val="left"/>
        <w:rPr>
          <w:rFonts w:hint="eastAsia" w:ascii="宋体" w:hAnsi="宋体" w:eastAsia="宋体" w:cstheme="minorBidi"/>
          <w:b/>
          <w:bCs/>
          <w:color w:val="auto"/>
          <w:kern w:val="2"/>
          <w:sz w:val="21"/>
          <w:szCs w:val="21"/>
          <w:highlight w:val="none"/>
          <w:lang w:val="en-US" w:eastAsia="zh-CN" w:bidi="ar-SA"/>
        </w:rPr>
      </w:pPr>
    </w:p>
    <w:p w14:paraId="7A99EC67">
      <w:pPr>
        <w:pStyle w:val="16"/>
        <w:ind w:firstLine="0" w:firstLineChars="0"/>
        <w:jc w:val="left"/>
        <w:rPr>
          <w:rFonts w:hint="default" w:ascii="宋体" w:hAnsi="宋体" w:eastAsia="宋体" w:cstheme="minorBidi"/>
          <w:b/>
          <w:bCs/>
          <w:color w:val="auto"/>
          <w:kern w:val="2"/>
          <w:sz w:val="21"/>
          <w:szCs w:val="21"/>
          <w:highlight w:val="none"/>
          <w:lang w:val="en-US" w:eastAsia="zh-CN" w:bidi="ar-SA"/>
        </w:rPr>
      </w:pPr>
      <w:r>
        <w:rPr>
          <w:rFonts w:hint="eastAsia" w:ascii="宋体" w:hAnsi="宋体" w:eastAsia="宋体" w:cstheme="minorBidi"/>
          <w:b/>
          <w:bCs/>
          <w:color w:val="auto"/>
          <w:kern w:val="2"/>
          <w:sz w:val="21"/>
          <w:szCs w:val="21"/>
          <w:highlight w:val="none"/>
          <w:lang w:val="en-US" w:eastAsia="zh-CN" w:bidi="ar-SA"/>
        </w:rPr>
        <w:t>3.耗材明细表（若有，请填写，作为后期采购人采购耗材参考依据）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
        <w:gridCol w:w="1555"/>
        <w:gridCol w:w="1768"/>
        <w:gridCol w:w="1649"/>
        <w:gridCol w:w="1893"/>
        <w:gridCol w:w="1080"/>
        <w:gridCol w:w="1557"/>
      </w:tblGrid>
      <w:tr w14:paraId="58A4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14:paraId="50C89457">
            <w:pPr>
              <w:spacing w:line="460" w:lineRule="exact"/>
              <w:jc w:val="center"/>
              <w:outlineLvl w:val="0"/>
              <w:rPr>
                <w:b/>
                <w:color w:val="auto"/>
                <w:kern w:val="0"/>
                <w:sz w:val="21"/>
                <w:szCs w:val="21"/>
                <w:highlight w:val="none"/>
              </w:rPr>
            </w:pPr>
            <w:bookmarkStart w:id="94" w:name="_Toc18900"/>
            <w:r>
              <w:rPr>
                <w:rFonts w:hint="eastAsia"/>
                <w:b/>
                <w:color w:val="auto"/>
                <w:kern w:val="0"/>
                <w:sz w:val="21"/>
                <w:szCs w:val="21"/>
                <w:highlight w:val="none"/>
              </w:rPr>
              <w:t>序号</w:t>
            </w:r>
            <w:bookmarkEnd w:id="94"/>
          </w:p>
        </w:tc>
        <w:tc>
          <w:tcPr>
            <w:tcW w:w="746" w:type="pct"/>
            <w:vAlign w:val="center"/>
          </w:tcPr>
          <w:p w14:paraId="2FB3DAFF">
            <w:pPr>
              <w:spacing w:line="200" w:lineRule="exact"/>
              <w:jc w:val="center"/>
              <w:rPr>
                <w:rFonts w:hint="eastAsia" w:ascii="仿宋" w:hAnsi="仿宋" w:eastAsia="仿宋" w:cs="仿宋"/>
                <w:b/>
                <w:bCs/>
                <w:color w:val="auto"/>
                <w:kern w:val="0"/>
                <w:sz w:val="18"/>
                <w:szCs w:val="18"/>
                <w:highlight w:val="none"/>
                <w:lang w:val="zh-TW" w:eastAsia="zh-TW"/>
              </w:rPr>
            </w:pPr>
            <w:r>
              <w:rPr>
                <w:rFonts w:hint="eastAsia" w:ascii="仿宋" w:hAnsi="仿宋" w:eastAsia="仿宋" w:cs="仿宋"/>
                <w:b/>
                <w:bCs/>
                <w:color w:val="auto"/>
                <w:kern w:val="0"/>
                <w:sz w:val="18"/>
                <w:szCs w:val="18"/>
                <w:highlight w:val="none"/>
                <w:lang w:val="zh-TW" w:eastAsia="zh-TW"/>
              </w:rPr>
              <w:t>产品流水号或商品代码/产品ID</w:t>
            </w:r>
          </w:p>
          <w:p w14:paraId="07C1A5D0">
            <w:pPr>
              <w:spacing w:line="200" w:lineRule="exact"/>
              <w:jc w:val="center"/>
              <w:rPr>
                <w:rFonts w:hint="default" w:eastAsiaTheme="minorEastAsia"/>
                <w:b/>
                <w:color w:val="auto"/>
                <w:kern w:val="0"/>
                <w:sz w:val="21"/>
                <w:szCs w:val="21"/>
                <w:highlight w:val="none"/>
                <w:lang w:val="en-US" w:eastAsia="zh-CN"/>
              </w:rPr>
            </w:pPr>
            <w:r>
              <w:rPr>
                <w:rFonts w:hint="eastAsia" w:ascii="仿宋" w:hAnsi="仿宋" w:eastAsia="仿宋" w:cs="仿宋"/>
                <w:b/>
                <w:bCs/>
                <w:color w:val="auto"/>
                <w:kern w:val="0"/>
                <w:sz w:val="18"/>
                <w:szCs w:val="18"/>
                <w:highlight w:val="none"/>
                <w:lang w:val="zh-TW" w:eastAsia="zh-TW"/>
              </w:rPr>
              <w:t>（如无请写明原因）</w:t>
            </w:r>
          </w:p>
        </w:tc>
        <w:tc>
          <w:tcPr>
            <w:tcW w:w="848" w:type="pct"/>
            <w:vAlign w:val="center"/>
          </w:tcPr>
          <w:p w14:paraId="5C08EEAB">
            <w:pPr>
              <w:spacing w:line="460" w:lineRule="exact"/>
              <w:jc w:val="center"/>
              <w:outlineLvl w:val="0"/>
              <w:rPr>
                <w:rFonts w:hint="default"/>
                <w:b/>
                <w:color w:val="auto"/>
                <w:kern w:val="0"/>
                <w:sz w:val="21"/>
                <w:szCs w:val="21"/>
                <w:highlight w:val="none"/>
                <w:lang w:val="en-US" w:eastAsia="zh-CN"/>
              </w:rPr>
            </w:pPr>
            <w:bookmarkStart w:id="95" w:name="_Toc10106"/>
            <w:r>
              <w:rPr>
                <w:rFonts w:hint="eastAsia"/>
                <w:b/>
                <w:color w:val="auto"/>
                <w:kern w:val="0"/>
                <w:sz w:val="21"/>
                <w:szCs w:val="21"/>
                <w:highlight w:val="none"/>
                <w:lang w:val="en-US" w:eastAsia="zh-CN"/>
              </w:rPr>
              <w:t>产品名称</w:t>
            </w:r>
            <w:bookmarkEnd w:id="95"/>
          </w:p>
        </w:tc>
        <w:tc>
          <w:tcPr>
            <w:tcW w:w="791" w:type="pct"/>
            <w:vAlign w:val="center"/>
          </w:tcPr>
          <w:p w14:paraId="779E2F3F">
            <w:pPr>
              <w:spacing w:line="460" w:lineRule="exact"/>
              <w:jc w:val="center"/>
              <w:outlineLvl w:val="0"/>
              <w:rPr>
                <w:rFonts w:hint="eastAsia" w:eastAsiaTheme="minorEastAsia"/>
                <w:b/>
                <w:color w:val="auto"/>
                <w:kern w:val="0"/>
                <w:sz w:val="21"/>
                <w:szCs w:val="21"/>
                <w:highlight w:val="none"/>
                <w:lang w:eastAsia="zh-CN"/>
              </w:rPr>
            </w:pPr>
            <w:bookmarkStart w:id="96" w:name="_Toc21630"/>
            <w:r>
              <w:rPr>
                <w:rFonts w:hint="eastAsia"/>
                <w:b/>
                <w:color w:val="auto"/>
                <w:kern w:val="0"/>
                <w:sz w:val="21"/>
                <w:szCs w:val="21"/>
                <w:highlight w:val="none"/>
                <w:lang w:val="en-US" w:eastAsia="zh-CN"/>
              </w:rPr>
              <w:t>规格型号</w:t>
            </w:r>
            <w:bookmarkEnd w:id="96"/>
          </w:p>
        </w:tc>
        <w:tc>
          <w:tcPr>
            <w:tcW w:w="908" w:type="pct"/>
            <w:vAlign w:val="center"/>
          </w:tcPr>
          <w:p w14:paraId="40BB67A0">
            <w:pPr>
              <w:spacing w:line="460" w:lineRule="exact"/>
              <w:jc w:val="center"/>
              <w:outlineLvl w:val="0"/>
              <w:rPr>
                <w:rFonts w:hint="default" w:eastAsiaTheme="minorEastAsia"/>
                <w:b/>
                <w:color w:val="auto"/>
                <w:kern w:val="0"/>
                <w:sz w:val="21"/>
                <w:szCs w:val="21"/>
                <w:highlight w:val="none"/>
                <w:lang w:val="en-US" w:eastAsia="zh-CN"/>
              </w:rPr>
            </w:pPr>
            <w:bookmarkStart w:id="97" w:name="_Toc31424"/>
            <w:r>
              <w:rPr>
                <w:rFonts w:hint="eastAsia"/>
                <w:b/>
                <w:color w:val="auto"/>
                <w:kern w:val="0"/>
                <w:sz w:val="21"/>
                <w:szCs w:val="21"/>
                <w:highlight w:val="none"/>
                <w:lang w:val="en-US" w:eastAsia="zh-CN"/>
              </w:rPr>
              <w:t>制造商</w:t>
            </w:r>
            <w:bookmarkEnd w:id="97"/>
          </w:p>
        </w:tc>
        <w:tc>
          <w:tcPr>
            <w:tcW w:w="518" w:type="pct"/>
            <w:vAlign w:val="center"/>
          </w:tcPr>
          <w:p w14:paraId="6042575D">
            <w:pPr>
              <w:spacing w:line="460" w:lineRule="exact"/>
              <w:jc w:val="center"/>
              <w:outlineLvl w:val="0"/>
              <w:rPr>
                <w:rFonts w:hint="eastAsia" w:eastAsiaTheme="minorEastAsia"/>
                <w:b/>
                <w:color w:val="auto"/>
                <w:kern w:val="0"/>
                <w:sz w:val="21"/>
                <w:szCs w:val="21"/>
                <w:highlight w:val="none"/>
                <w:lang w:eastAsia="zh-CN"/>
              </w:rPr>
            </w:pPr>
            <w:bookmarkStart w:id="98" w:name="_Toc17023"/>
            <w:r>
              <w:rPr>
                <w:rFonts w:hint="eastAsia"/>
                <w:b/>
                <w:color w:val="auto"/>
                <w:kern w:val="0"/>
                <w:sz w:val="21"/>
                <w:szCs w:val="21"/>
                <w:highlight w:val="none"/>
                <w:lang w:val="en-US" w:eastAsia="zh-CN"/>
              </w:rPr>
              <w:t>单位</w:t>
            </w:r>
            <w:bookmarkEnd w:id="98"/>
          </w:p>
        </w:tc>
        <w:tc>
          <w:tcPr>
            <w:tcW w:w="747" w:type="pct"/>
            <w:vAlign w:val="center"/>
          </w:tcPr>
          <w:p w14:paraId="1B9B12FC">
            <w:pPr>
              <w:spacing w:line="460" w:lineRule="exact"/>
              <w:jc w:val="center"/>
              <w:outlineLvl w:val="0"/>
              <w:rPr>
                <w:rFonts w:hint="default"/>
                <w:b/>
                <w:color w:val="auto"/>
                <w:kern w:val="0"/>
                <w:sz w:val="21"/>
                <w:szCs w:val="21"/>
                <w:highlight w:val="none"/>
                <w:lang w:val="en-US" w:eastAsia="zh-CN"/>
              </w:rPr>
            </w:pPr>
            <w:bookmarkStart w:id="99" w:name="_Toc13405"/>
            <w:r>
              <w:rPr>
                <w:rFonts w:hint="eastAsia"/>
                <w:b/>
                <w:color w:val="auto"/>
                <w:kern w:val="0"/>
                <w:sz w:val="21"/>
                <w:szCs w:val="21"/>
                <w:highlight w:val="none"/>
                <w:lang w:val="en-US" w:eastAsia="zh-CN"/>
              </w:rPr>
              <w:t>单价（元）</w:t>
            </w:r>
            <w:bookmarkEnd w:id="99"/>
          </w:p>
        </w:tc>
      </w:tr>
      <w:tr w14:paraId="024D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67F0534F">
            <w:pPr>
              <w:spacing w:line="460" w:lineRule="exact"/>
              <w:jc w:val="center"/>
              <w:outlineLvl w:val="0"/>
              <w:rPr>
                <w:color w:val="auto"/>
                <w:kern w:val="0"/>
                <w:sz w:val="21"/>
                <w:szCs w:val="21"/>
                <w:highlight w:val="none"/>
              </w:rPr>
            </w:pPr>
            <w:bookmarkStart w:id="100" w:name="_Toc22879"/>
            <w:r>
              <w:rPr>
                <w:rFonts w:hint="eastAsia"/>
                <w:color w:val="auto"/>
                <w:kern w:val="0"/>
                <w:sz w:val="21"/>
                <w:szCs w:val="21"/>
                <w:highlight w:val="none"/>
              </w:rPr>
              <w:t>1</w:t>
            </w:r>
            <w:bookmarkEnd w:id="100"/>
          </w:p>
        </w:tc>
        <w:tc>
          <w:tcPr>
            <w:tcW w:w="746" w:type="pct"/>
            <w:vAlign w:val="center"/>
          </w:tcPr>
          <w:p w14:paraId="2F2665FE">
            <w:pPr>
              <w:spacing w:line="460" w:lineRule="exact"/>
              <w:outlineLvl w:val="0"/>
              <w:rPr>
                <w:color w:val="auto"/>
                <w:kern w:val="0"/>
                <w:sz w:val="21"/>
                <w:szCs w:val="21"/>
                <w:highlight w:val="none"/>
              </w:rPr>
            </w:pPr>
          </w:p>
        </w:tc>
        <w:tc>
          <w:tcPr>
            <w:tcW w:w="848" w:type="pct"/>
            <w:vAlign w:val="center"/>
          </w:tcPr>
          <w:p w14:paraId="4DE7B795">
            <w:pPr>
              <w:spacing w:line="460" w:lineRule="exact"/>
              <w:outlineLvl w:val="0"/>
              <w:rPr>
                <w:color w:val="auto"/>
                <w:kern w:val="0"/>
                <w:sz w:val="21"/>
                <w:szCs w:val="21"/>
                <w:highlight w:val="none"/>
              </w:rPr>
            </w:pPr>
          </w:p>
        </w:tc>
        <w:tc>
          <w:tcPr>
            <w:tcW w:w="791" w:type="pct"/>
            <w:vAlign w:val="center"/>
          </w:tcPr>
          <w:p w14:paraId="242A0C16">
            <w:pPr>
              <w:spacing w:line="460" w:lineRule="exact"/>
              <w:jc w:val="center"/>
              <w:outlineLvl w:val="0"/>
              <w:rPr>
                <w:color w:val="auto"/>
                <w:kern w:val="0"/>
                <w:sz w:val="21"/>
                <w:szCs w:val="21"/>
                <w:highlight w:val="none"/>
              </w:rPr>
            </w:pPr>
          </w:p>
        </w:tc>
        <w:tc>
          <w:tcPr>
            <w:tcW w:w="908" w:type="pct"/>
          </w:tcPr>
          <w:p w14:paraId="461BAB19">
            <w:pPr>
              <w:spacing w:line="460" w:lineRule="exact"/>
              <w:jc w:val="center"/>
              <w:outlineLvl w:val="0"/>
              <w:rPr>
                <w:color w:val="auto"/>
                <w:kern w:val="0"/>
                <w:sz w:val="21"/>
                <w:szCs w:val="21"/>
                <w:highlight w:val="none"/>
              </w:rPr>
            </w:pPr>
          </w:p>
        </w:tc>
        <w:tc>
          <w:tcPr>
            <w:tcW w:w="518" w:type="pct"/>
            <w:vAlign w:val="center"/>
          </w:tcPr>
          <w:p w14:paraId="4825D2F3">
            <w:pPr>
              <w:spacing w:line="460" w:lineRule="exact"/>
              <w:jc w:val="center"/>
              <w:outlineLvl w:val="0"/>
              <w:rPr>
                <w:color w:val="auto"/>
                <w:kern w:val="0"/>
                <w:sz w:val="21"/>
                <w:szCs w:val="21"/>
                <w:highlight w:val="none"/>
              </w:rPr>
            </w:pPr>
          </w:p>
        </w:tc>
        <w:tc>
          <w:tcPr>
            <w:tcW w:w="747" w:type="pct"/>
            <w:vAlign w:val="center"/>
          </w:tcPr>
          <w:p w14:paraId="5AB2475B">
            <w:pPr>
              <w:spacing w:line="460" w:lineRule="exact"/>
              <w:jc w:val="center"/>
              <w:outlineLvl w:val="0"/>
              <w:rPr>
                <w:color w:val="auto"/>
                <w:kern w:val="0"/>
                <w:sz w:val="21"/>
                <w:szCs w:val="21"/>
                <w:highlight w:val="none"/>
              </w:rPr>
            </w:pPr>
          </w:p>
        </w:tc>
      </w:tr>
      <w:tr w14:paraId="320D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09B5D1E0">
            <w:pPr>
              <w:spacing w:line="460" w:lineRule="exact"/>
              <w:jc w:val="center"/>
              <w:outlineLvl w:val="0"/>
              <w:rPr>
                <w:color w:val="auto"/>
                <w:kern w:val="0"/>
                <w:sz w:val="20"/>
                <w:szCs w:val="21"/>
                <w:highlight w:val="none"/>
              </w:rPr>
            </w:pPr>
            <w:bookmarkStart w:id="101" w:name="_Toc14524"/>
            <w:r>
              <w:rPr>
                <w:rFonts w:hint="eastAsia"/>
                <w:color w:val="auto"/>
                <w:kern w:val="0"/>
                <w:sz w:val="20"/>
                <w:szCs w:val="21"/>
                <w:highlight w:val="none"/>
              </w:rPr>
              <w:t>2</w:t>
            </w:r>
            <w:bookmarkEnd w:id="101"/>
          </w:p>
        </w:tc>
        <w:tc>
          <w:tcPr>
            <w:tcW w:w="746" w:type="pct"/>
            <w:vAlign w:val="center"/>
          </w:tcPr>
          <w:p w14:paraId="657F6731">
            <w:pPr>
              <w:spacing w:line="460" w:lineRule="exact"/>
              <w:outlineLvl w:val="0"/>
              <w:rPr>
                <w:color w:val="auto"/>
                <w:kern w:val="0"/>
                <w:sz w:val="20"/>
                <w:szCs w:val="21"/>
                <w:highlight w:val="none"/>
              </w:rPr>
            </w:pPr>
          </w:p>
        </w:tc>
        <w:tc>
          <w:tcPr>
            <w:tcW w:w="848" w:type="pct"/>
            <w:vAlign w:val="center"/>
          </w:tcPr>
          <w:p w14:paraId="4377FC15">
            <w:pPr>
              <w:spacing w:line="460" w:lineRule="exact"/>
              <w:outlineLvl w:val="0"/>
              <w:rPr>
                <w:color w:val="auto"/>
                <w:kern w:val="0"/>
                <w:sz w:val="20"/>
                <w:szCs w:val="21"/>
                <w:highlight w:val="none"/>
              </w:rPr>
            </w:pPr>
          </w:p>
        </w:tc>
        <w:tc>
          <w:tcPr>
            <w:tcW w:w="791" w:type="pct"/>
            <w:vAlign w:val="center"/>
          </w:tcPr>
          <w:p w14:paraId="15F0267A">
            <w:pPr>
              <w:spacing w:line="460" w:lineRule="exact"/>
              <w:jc w:val="center"/>
              <w:outlineLvl w:val="0"/>
              <w:rPr>
                <w:color w:val="auto"/>
                <w:kern w:val="0"/>
                <w:sz w:val="20"/>
                <w:szCs w:val="21"/>
                <w:highlight w:val="none"/>
              </w:rPr>
            </w:pPr>
          </w:p>
        </w:tc>
        <w:tc>
          <w:tcPr>
            <w:tcW w:w="908" w:type="pct"/>
          </w:tcPr>
          <w:p w14:paraId="5DC0FF1A">
            <w:pPr>
              <w:spacing w:line="460" w:lineRule="exact"/>
              <w:jc w:val="center"/>
              <w:outlineLvl w:val="0"/>
              <w:rPr>
                <w:color w:val="auto"/>
                <w:kern w:val="0"/>
                <w:sz w:val="20"/>
                <w:szCs w:val="21"/>
                <w:highlight w:val="none"/>
              </w:rPr>
            </w:pPr>
          </w:p>
        </w:tc>
        <w:tc>
          <w:tcPr>
            <w:tcW w:w="518" w:type="pct"/>
            <w:vAlign w:val="center"/>
          </w:tcPr>
          <w:p w14:paraId="6F489733">
            <w:pPr>
              <w:spacing w:line="460" w:lineRule="exact"/>
              <w:jc w:val="center"/>
              <w:outlineLvl w:val="0"/>
              <w:rPr>
                <w:color w:val="auto"/>
                <w:kern w:val="0"/>
                <w:sz w:val="20"/>
                <w:szCs w:val="21"/>
                <w:highlight w:val="none"/>
              </w:rPr>
            </w:pPr>
          </w:p>
        </w:tc>
        <w:tc>
          <w:tcPr>
            <w:tcW w:w="747" w:type="pct"/>
            <w:vAlign w:val="center"/>
          </w:tcPr>
          <w:p w14:paraId="2ADF2AE7">
            <w:pPr>
              <w:spacing w:line="460" w:lineRule="exact"/>
              <w:jc w:val="center"/>
              <w:outlineLvl w:val="0"/>
              <w:rPr>
                <w:color w:val="auto"/>
                <w:kern w:val="0"/>
                <w:sz w:val="20"/>
                <w:szCs w:val="21"/>
                <w:highlight w:val="none"/>
              </w:rPr>
            </w:pPr>
          </w:p>
        </w:tc>
      </w:tr>
      <w:tr w14:paraId="731D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14:paraId="7A271B14">
            <w:pPr>
              <w:spacing w:line="460" w:lineRule="exact"/>
              <w:jc w:val="center"/>
              <w:outlineLvl w:val="0"/>
              <w:rPr>
                <w:color w:val="auto"/>
                <w:kern w:val="0"/>
                <w:sz w:val="20"/>
                <w:szCs w:val="21"/>
                <w:highlight w:val="none"/>
              </w:rPr>
            </w:pPr>
            <w:bookmarkStart w:id="102" w:name="_Toc13547"/>
            <w:r>
              <w:rPr>
                <w:color w:val="auto"/>
                <w:kern w:val="0"/>
                <w:sz w:val="20"/>
                <w:szCs w:val="21"/>
                <w:highlight w:val="none"/>
              </w:rPr>
              <w:t>…</w:t>
            </w:r>
            <w:bookmarkEnd w:id="102"/>
          </w:p>
        </w:tc>
        <w:tc>
          <w:tcPr>
            <w:tcW w:w="746" w:type="pct"/>
            <w:vAlign w:val="center"/>
          </w:tcPr>
          <w:p w14:paraId="2E35768A">
            <w:pPr>
              <w:spacing w:line="460" w:lineRule="exact"/>
              <w:outlineLvl w:val="0"/>
              <w:rPr>
                <w:color w:val="auto"/>
                <w:kern w:val="0"/>
                <w:sz w:val="20"/>
                <w:szCs w:val="21"/>
                <w:highlight w:val="none"/>
              </w:rPr>
            </w:pPr>
          </w:p>
        </w:tc>
        <w:tc>
          <w:tcPr>
            <w:tcW w:w="848" w:type="pct"/>
            <w:vAlign w:val="center"/>
          </w:tcPr>
          <w:p w14:paraId="2E62AEA4">
            <w:pPr>
              <w:spacing w:line="460" w:lineRule="exact"/>
              <w:outlineLvl w:val="0"/>
              <w:rPr>
                <w:color w:val="auto"/>
                <w:kern w:val="0"/>
                <w:sz w:val="20"/>
                <w:szCs w:val="21"/>
                <w:highlight w:val="none"/>
              </w:rPr>
            </w:pPr>
          </w:p>
        </w:tc>
        <w:tc>
          <w:tcPr>
            <w:tcW w:w="791" w:type="pct"/>
            <w:vAlign w:val="center"/>
          </w:tcPr>
          <w:p w14:paraId="26E2B023">
            <w:pPr>
              <w:spacing w:line="460" w:lineRule="exact"/>
              <w:jc w:val="center"/>
              <w:outlineLvl w:val="0"/>
              <w:rPr>
                <w:color w:val="auto"/>
                <w:kern w:val="0"/>
                <w:sz w:val="20"/>
                <w:szCs w:val="21"/>
                <w:highlight w:val="none"/>
              </w:rPr>
            </w:pPr>
          </w:p>
        </w:tc>
        <w:tc>
          <w:tcPr>
            <w:tcW w:w="908" w:type="pct"/>
          </w:tcPr>
          <w:p w14:paraId="015678E7">
            <w:pPr>
              <w:spacing w:line="460" w:lineRule="exact"/>
              <w:jc w:val="center"/>
              <w:outlineLvl w:val="0"/>
              <w:rPr>
                <w:color w:val="auto"/>
                <w:kern w:val="0"/>
                <w:sz w:val="20"/>
                <w:szCs w:val="21"/>
                <w:highlight w:val="none"/>
              </w:rPr>
            </w:pPr>
          </w:p>
        </w:tc>
        <w:tc>
          <w:tcPr>
            <w:tcW w:w="518" w:type="pct"/>
            <w:vAlign w:val="center"/>
          </w:tcPr>
          <w:p w14:paraId="291FBA32">
            <w:pPr>
              <w:spacing w:line="460" w:lineRule="exact"/>
              <w:jc w:val="center"/>
              <w:outlineLvl w:val="0"/>
              <w:rPr>
                <w:color w:val="auto"/>
                <w:kern w:val="0"/>
                <w:sz w:val="20"/>
                <w:szCs w:val="21"/>
                <w:highlight w:val="none"/>
              </w:rPr>
            </w:pPr>
          </w:p>
        </w:tc>
        <w:tc>
          <w:tcPr>
            <w:tcW w:w="747" w:type="pct"/>
            <w:vAlign w:val="center"/>
          </w:tcPr>
          <w:p w14:paraId="6806BB13">
            <w:pPr>
              <w:spacing w:line="460" w:lineRule="exact"/>
              <w:jc w:val="center"/>
              <w:outlineLvl w:val="0"/>
              <w:rPr>
                <w:color w:val="auto"/>
                <w:kern w:val="0"/>
                <w:sz w:val="20"/>
                <w:szCs w:val="21"/>
                <w:highlight w:val="none"/>
              </w:rPr>
            </w:pPr>
          </w:p>
        </w:tc>
      </w:tr>
    </w:tbl>
    <w:p w14:paraId="223FDCDC">
      <w:pPr>
        <w:pStyle w:val="16"/>
        <w:ind w:firstLine="0" w:firstLineChars="0"/>
        <w:jc w:val="left"/>
        <w:rPr>
          <w:rFonts w:hint="eastAsia" w:ascii="宋体" w:hAnsi="宋体" w:eastAsia="宋体" w:cstheme="minorBidi"/>
          <w:b/>
          <w:bCs/>
          <w:color w:val="auto"/>
          <w:kern w:val="2"/>
          <w:sz w:val="21"/>
          <w:szCs w:val="21"/>
          <w:highlight w:val="none"/>
          <w:lang w:val="en-US" w:eastAsia="zh-CN" w:bidi="ar-SA"/>
        </w:rPr>
      </w:pPr>
    </w:p>
    <w:p w14:paraId="0620F944">
      <w:pPr>
        <w:pStyle w:val="16"/>
        <w:ind w:firstLine="0" w:firstLineChars="0"/>
        <w:jc w:val="left"/>
        <w:rPr>
          <w:rFonts w:hint="default" w:ascii="宋体" w:hAnsi="宋体" w:eastAsia="宋体" w:cstheme="minorBidi"/>
          <w:b/>
          <w:bCs/>
          <w:color w:val="auto"/>
          <w:kern w:val="2"/>
          <w:sz w:val="21"/>
          <w:szCs w:val="21"/>
          <w:highlight w:val="none"/>
          <w:lang w:val="en-US" w:eastAsia="zh-CN" w:bidi="ar-SA"/>
        </w:rPr>
      </w:pPr>
      <w:r>
        <w:rPr>
          <w:rFonts w:hint="eastAsia" w:ascii="宋体" w:hAnsi="宋体" w:eastAsia="宋体" w:cstheme="minorBidi"/>
          <w:b/>
          <w:bCs/>
          <w:color w:val="auto"/>
          <w:kern w:val="2"/>
          <w:sz w:val="21"/>
          <w:szCs w:val="21"/>
          <w:highlight w:val="none"/>
          <w:lang w:val="en-US" w:eastAsia="zh-CN" w:bidi="ar-SA"/>
        </w:rPr>
        <w:t>4.配件、易损件（若有，请填写，作为后期采购人采购配件、易损件参考依据）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2"/>
        <w:gridCol w:w="1772"/>
        <w:gridCol w:w="1649"/>
        <w:gridCol w:w="1891"/>
        <w:gridCol w:w="1076"/>
        <w:gridCol w:w="1557"/>
        <w:gridCol w:w="1557"/>
      </w:tblGrid>
      <w:tr w14:paraId="58B6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07E9BAAD">
            <w:pPr>
              <w:spacing w:line="460" w:lineRule="exact"/>
              <w:jc w:val="center"/>
              <w:outlineLvl w:val="0"/>
              <w:rPr>
                <w:b/>
                <w:color w:val="auto"/>
                <w:kern w:val="0"/>
                <w:sz w:val="21"/>
                <w:szCs w:val="21"/>
                <w:highlight w:val="none"/>
              </w:rPr>
            </w:pPr>
            <w:bookmarkStart w:id="103" w:name="_Toc8502"/>
            <w:r>
              <w:rPr>
                <w:rFonts w:hint="eastAsia"/>
                <w:b/>
                <w:color w:val="auto"/>
                <w:kern w:val="0"/>
                <w:sz w:val="21"/>
                <w:szCs w:val="21"/>
                <w:highlight w:val="none"/>
              </w:rPr>
              <w:t>序号</w:t>
            </w:r>
            <w:bookmarkEnd w:id="103"/>
          </w:p>
        </w:tc>
        <w:tc>
          <w:tcPr>
            <w:tcW w:w="850" w:type="pct"/>
            <w:vAlign w:val="center"/>
          </w:tcPr>
          <w:p w14:paraId="31E4741A">
            <w:pPr>
              <w:spacing w:line="460" w:lineRule="exact"/>
              <w:jc w:val="center"/>
              <w:outlineLvl w:val="0"/>
              <w:rPr>
                <w:rFonts w:hint="default"/>
                <w:b/>
                <w:color w:val="auto"/>
                <w:kern w:val="0"/>
                <w:sz w:val="21"/>
                <w:szCs w:val="21"/>
                <w:highlight w:val="none"/>
                <w:lang w:val="en-US" w:eastAsia="zh-CN"/>
              </w:rPr>
            </w:pPr>
            <w:bookmarkStart w:id="104" w:name="_Toc27328"/>
            <w:r>
              <w:rPr>
                <w:rFonts w:hint="eastAsia"/>
                <w:b/>
                <w:color w:val="auto"/>
                <w:kern w:val="0"/>
                <w:sz w:val="21"/>
                <w:szCs w:val="21"/>
                <w:highlight w:val="none"/>
                <w:lang w:val="en-US" w:eastAsia="zh-CN"/>
              </w:rPr>
              <w:t>产品名称</w:t>
            </w:r>
            <w:bookmarkEnd w:id="104"/>
          </w:p>
        </w:tc>
        <w:tc>
          <w:tcPr>
            <w:tcW w:w="791" w:type="pct"/>
            <w:vAlign w:val="center"/>
          </w:tcPr>
          <w:p w14:paraId="7A704753">
            <w:pPr>
              <w:spacing w:line="460" w:lineRule="exact"/>
              <w:jc w:val="center"/>
              <w:outlineLvl w:val="0"/>
              <w:rPr>
                <w:rFonts w:hint="eastAsia" w:eastAsiaTheme="minorEastAsia"/>
                <w:b/>
                <w:color w:val="auto"/>
                <w:kern w:val="0"/>
                <w:sz w:val="21"/>
                <w:szCs w:val="21"/>
                <w:highlight w:val="none"/>
                <w:lang w:eastAsia="zh-CN"/>
              </w:rPr>
            </w:pPr>
            <w:bookmarkStart w:id="105" w:name="_Toc4118"/>
            <w:r>
              <w:rPr>
                <w:rFonts w:hint="eastAsia"/>
                <w:b/>
                <w:color w:val="auto"/>
                <w:kern w:val="0"/>
                <w:sz w:val="21"/>
                <w:szCs w:val="21"/>
                <w:highlight w:val="none"/>
                <w:lang w:val="en-US" w:eastAsia="zh-CN"/>
              </w:rPr>
              <w:t>规格型号</w:t>
            </w:r>
            <w:bookmarkEnd w:id="105"/>
          </w:p>
        </w:tc>
        <w:tc>
          <w:tcPr>
            <w:tcW w:w="907" w:type="pct"/>
            <w:vAlign w:val="center"/>
          </w:tcPr>
          <w:p w14:paraId="2F9B7035">
            <w:pPr>
              <w:spacing w:line="460" w:lineRule="exact"/>
              <w:jc w:val="center"/>
              <w:outlineLvl w:val="0"/>
              <w:rPr>
                <w:rFonts w:hint="default" w:eastAsiaTheme="minorEastAsia"/>
                <w:b/>
                <w:color w:val="auto"/>
                <w:kern w:val="0"/>
                <w:sz w:val="21"/>
                <w:szCs w:val="21"/>
                <w:highlight w:val="none"/>
                <w:lang w:val="en-US" w:eastAsia="zh-CN"/>
              </w:rPr>
            </w:pPr>
            <w:bookmarkStart w:id="106" w:name="_Toc21162"/>
            <w:r>
              <w:rPr>
                <w:rFonts w:hint="eastAsia"/>
                <w:b/>
                <w:color w:val="auto"/>
                <w:kern w:val="0"/>
                <w:sz w:val="21"/>
                <w:szCs w:val="21"/>
                <w:highlight w:val="none"/>
                <w:lang w:val="en-US" w:eastAsia="zh-CN"/>
              </w:rPr>
              <w:t>制造商</w:t>
            </w:r>
            <w:bookmarkEnd w:id="106"/>
          </w:p>
        </w:tc>
        <w:tc>
          <w:tcPr>
            <w:tcW w:w="516" w:type="pct"/>
            <w:vAlign w:val="center"/>
          </w:tcPr>
          <w:p w14:paraId="222175F7">
            <w:pPr>
              <w:spacing w:line="460" w:lineRule="exact"/>
              <w:jc w:val="center"/>
              <w:outlineLvl w:val="0"/>
              <w:rPr>
                <w:rFonts w:hint="eastAsia" w:eastAsiaTheme="minorEastAsia"/>
                <w:b/>
                <w:color w:val="auto"/>
                <w:kern w:val="0"/>
                <w:sz w:val="21"/>
                <w:szCs w:val="21"/>
                <w:highlight w:val="none"/>
                <w:lang w:eastAsia="zh-CN"/>
              </w:rPr>
            </w:pPr>
            <w:bookmarkStart w:id="107" w:name="_Toc2524"/>
            <w:r>
              <w:rPr>
                <w:rFonts w:hint="eastAsia"/>
                <w:b/>
                <w:color w:val="auto"/>
                <w:kern w:val="0"/>
                <w:sz w:val="21"/>
                <w:szCs w:val="21"/>
                <w:highlight w:val="none"/>
                <w:lang w:val="en-US" w:eastAsia="zh-CN"/>
              </w:rPr>
              <w:t>单位</w:t>
            </w:r>
            <w:bookmarkEnd w:id="107"/>
          </w:p>
        </w:tc>
        <w:tc>
          <w:tcPr>
            <w:tcW w:w="747" w:type="pct"/>
            <w:vAlign w:val="center"/>
          </w:tcPr>
          <w:p w14:paraId="3234FECF">
            <w:pPr>
              <w:spacing w:line="460" w:lineRule="exact"/>
              <w:jc w:val="center"/>
              <w:outlineLvl w:val="0"/>
              <w:rPr>
                <w:rFonts w:hint="default"/>
                <w:b/>
                <w:color w:val="auto"/>
                <w:kern w:val="0"/>
                <w:sz w:val="21"/>
                <w:szCs w:val="21"/>
                <w:highlight w:val="none"/>
                <w:lang w:val="en-US" w:eastAsia="zh-CN"/>
              </w:rPr>
            </w:pPr>
            <w:bookmarkStart w:id="108" w:name="_Toc25451"/>
            <w:r>
              <w:rPr>
                <w:rFonts w:hint="eastAsia"/>
                <w:b/>
                <w:color w:val="auto"/>
                <w:kern w:val="0"/>
                <w:sz w:val="21"/>
                <w:szCs w:val="21"/>
                <w:highlight w:val="none"/>
                <w:lang w:val="en-US" w:eastAsia="zh-CN"/>
              </w:rPr>
              <w:t>单价（元）</w:t>
            </w:r>
            <w:bookmarkEnd w:id="108"/>
          </w:p>
        </w:tc>
        <w:tc>
          <w:tcPr>
            <w:tcW w:w="747" w:type="pct"/>
            <w:vAlign w:val="center"/>
          </w:tcPr>
          <w:p w14:paraId="7BB6D165">
            <w:pPr>
              <w:spacing w:line="460" w:lineRule="exact"/>
              <w:jc w:val="center"/>
              <w:outlineLvl w:val="0"/>
              <w:rPr>
                <w:rFonts w:hint="default"/>
                <w:b/>
                <w:color w:val="auto"/>
                <w:kern w:val="0"/>
                <w:sz w:val="21"/>
                <w:szCs w:val="21"/>
                <w:highlight w:val="none"/>
                <w:lang w:val="en-US" w:eastAsia="zh-CN"/>
              </w:rPr>
            </w:pPr>
            <w:bookmarkStart w:id="109" w:name="_Toc9598"/>
            <w:r>
              <w:rPr>
                <w:rFonts w:hint="eastAsia"/>
                <w:b/>
                <w:color w:val="auto"/>
                <w:kern w:val="0"/>
                <w:sz w:val="21"/>
                <w:szCs w:val="21"/>
                <w:highlight w:val="none"/>
                <w:lang w:val="en-US" w:eastAsia="zh-CN"/>
              </w:rPr>
              <w:t>备注</w:t>
            </w:r>
            <w:bookmarkEnd w:id="109"/>
          </w:p>
        </w:tc>
      </w:tr>
      <w:tr w14:paraId="50E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13EC5F9">
            <w:pPr>
              <w:spacing w:line="460" w:lineRule="exact"/>
              <w:jc w:val="center"/>
              <w:outlineLvl w:val="0"/>
              <w:rPr>
                <w:color w:val="auto"/>
                <w:kern w:val="0"/>
                <w:sz w:val="21"/>
                <w:szCs w:val="21"/>
                <w:highlight w:val="none"/>
              </w:rPr>
            </w:pPr>
            <w:bookmarkStart w:id="110" w:name="_Toc20085"/>
            <w:r>
              <w:rPr>
                <w:rFonts w:hint="eastAsia"/>
                <w:color w:val="auto"/>
                <w:kern w:val="0"/>
                <w:sz w:val="21"/>
                <w:szCs w:val="21"/>
                <w:highlight w:val="none"/>
              </w:rPr>
              <w:t>1</w:t>
            </w:r>
            <w:bookmarkEnd w:id="110"/>
          </w:p>
        </w:tc>
        <w:tc>
          <w:tcPr>
            <w:tcW w:w="850" w:type="pct"/>
            <w:vAlign w:val="center"/>
          </w:tcPr>
          <w:p w14:paraId="06AA6516">
            <w:pPr>
              <w:spacing w:line="460" w:lineRule="exact"/>
              <w:outlineLvl w:val="0"/>
              <w:rPr>
                <w:color w:val="auto"/>
                <w:kern w:val="0"/>
                <w:sz w:val="21"/>
                <w:szCs w:val="21"/>
                <w:highlight w:val="none"/>
              </w:rPr>
            </w:pPr>
          </w:p>
        </w:tc>
        <w:tc>
          <w:tcPr>
            <w:tcW w:w="791" w:type="pct"/>
            <w:vAlign w:val="center"/>
          </w:tcPr>
          <w:p w14:paraId="66DE913A">
            <w:pPr>
              <w:spacing w:line="460" w:lineRule="exact"/>
              <w:jc w:val="center"/>
              <w:outlineLvl w:val="0"/>
              <w:rPr>
                <w:color w:val="auto"/>
                <w:kern w:val="0"/>
                <w:sz w:val="21"/>
                <w:szCs w:val="21"/>
                <w:highlight w:val="none"/>
              </w:rPr>
            </w:pPr>
          </w:p>
        </w:tc>
        <w:tc>
          <w:tcPr>
            <w:tcW w:w="907" w:type="pct"/>
          </w:tcPr>
          <w:p w14:paraId="20B89CF0">
            <w:pPr>
              <w:spacing w:line="460" w:lineRule="exact"/>
              <w:jc w:val="center"/>
              <w:outlineLvl w:val="0"/>
              <w:rPr>
                <w:color w:val="auto"/>
                <w:kern w:val="0"/>
                <w:sz w:val="21"/>
                <w:szCs w:val="21"/>
                <w:highlight w:val="none"/>
              </w:rPr>
            </w:pPr>
          </w:p>
        </w:tc>
        <w:tc>
          <w:tcPr>
            <w:tcW w:w="516" w:type="pct"/>
            <w:vAlign w:val="center"/>
          </w:tcPr>
          <w:p w14:paraId="713558C8">
            <w:pPr>
              <w:spacing w:line="460" w:lineRule="exact"/>
              <w:jc w:val="center"/>
              <w:outlineLvl w:val="0"/>
              <w:rPr>
                <w:color w:val="auto"/>
                <w:kern w:val="0"/>
                <w:sz w:val="21"/>
                <w:szCs w:val="21"/>
                <w:highlight w:val="none"/>
              </w:rPr>
            </w:pPr>
          </w:p>
        </w:tc>
        <w:tc>
          <w:tcPr>
            <w:tcW w:w="747" w:type="pct"/>
            <w:vAlign w:val="center"/>
          </w:tcPr>
          <w:p w14:paraId="3AB7CBE6">
            <w:pPr>
              <w:spacing w:line="460" w:lineRule="exact"/>
              <w:jc w:val="center"/>
              <w:outlineLvl w:val="0"/>
              <w:rPr>
                <w:color w:val="auto"/>
                <w:kern w:val="0"/>
                <w:sz w:val="21"/>
                <w:szCs w:val="21"/>
                <w:highlight w:val="none"/>
              </w:rPr>
            </w:pPr>
          </w:p>
        </w:tc>
        <w:tc>
          <w:tcPr>
            <w:tcW w:w="747" w:type="pct"/>
            <w:vAlign w:val="center"/>
          </w:tcPr>
          <w:p w14:paraId="6FF24AEB">
            <w:pPr>
              <w:spacing w:line="460" w:lineRule="exact"/>
              <w:jc w:val="center"/>
              <w:outlineLvl w:val="0"/>
              <w:rPr>
                <w:color w:val="auto"/>
                <w:kern w:val="0"/>
                <w:sz w:val="21"/>
                <w:szCs w:val="21"/>
                <w:highlight w:val="none"/>
              </w:rPr>
            </w:pPr>
          </w:p>
        </w:tc>
      </w:tr>
      <w:tr w14:paraId="62E3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B7EEF57">
            <w:pPr>
              <w:spacing w:line="460" w:lineRule="exact"/>
              <w:jc w:val="center"/>
              <w:outlineLvl w:val="0"/>
              <w:rPr>
                <w:color w:val="auto"/>
                <w:kern w:val="0"/>
                <w:sz w:val="20"/>
                <w:szCs w:val="21"/>
                <w:highlight w:val="none"/>
              </w:rPr>
            </w:pPr>
            <w:bookmarkStart w:id="111" w:name="_Toc13232"/>
            <w:r>
              <w:rPr>
                <w:rFonts w:hint="eastAsia"/>
                <w:color w:val="auto"/>
                <w:kern w:val="0"/>
                <w:sz w:val="20"/>
                <w:szCs w:val="21"/>
                <w:highlight w:val="none"/>
              </w:rPr>
              <w:t>2</w:t>
            </w:r>
            <w:bookmarkEnd w:id="111"/>
          </w:p>
        </w:tc>
        <w:tc>
          <w:tcPr>
            <w:tcW w:w="850" w:type="pct"/>
            <w:vAlign w:val="center"/>
          </w:tcPr>
          <w:p w14:paraId="36696304">
            <w:pPr>
              <w:spacing w:line="460" w:lineRule="exact"/>
              <w:outlineLvl w:val="0"/>
              <w:rPr>
                <w:color w:val="auto"/>
                <w:kern w:val="0"/>
                <w:sz w:val="20"/>
                <w:szCs w:val="21"/>
                <w:highlight w:val="none"/>
              </w:rPr>
            </w:pPr>
          </w:p>
        </w:tc>
        <w:tc>
          <w:tcPr>
            <w:tcW w:w="791" w:type="pct"/>
            <w:vAlign w:val="center"/>
          </w:tcPr>
          <w:p w14:paraId="18F13F51">
            <w:pPr>
              <w:spacing w:line="460" w:lineRule="exact"/>
              <w:jc w:val="center"/>
              <w:outlineLvl w:val="0"/>
              <w:rPr>
                <w:color w:val="auto"/>
                <w:kern w:val="0"/>
                <w:sz w:val="20"/>
                <w:szCs w:val="21"/>
                <w:highlight w:val="none"/>
              </w:rPr>
            </w:pPr>
          </w:p>
        </w:tc>
        <w:tc>
          <w:tcPr>
            <w:tcW w:w="907" w:type="pct"/>
          </w:tcPr>
          <w:p w14:paraId="5B77649B">
            <w:pPr>
              <w:spacing w:line="460" w:lineRule="exact"/>
              <w:jc w:val="center"/>
              <w:outlineLvl w:val="0"/>
              <w:rPr>
                <w:color w:val="auto"/>
                <w:kern w:val="0"/>
                <w:sz w:val="20"/>
                <w:szCs w:val="21"/>
                <w:highlight w:val="none"/>
              </w:rPr>
            </w:pPr>
          </w:p>
        </w:tc>
        <w:tc>
          <w:tcPr>
            <w:tcW w:w="516" w:type="pct"/>
            <w:vAlign w:val="center"/>
          </w:tcPr>
          <w:p w14:paraId="1B32F8AC">
            <w:pPr>
              <w:spacing w:line="460" w:lineRule="exact"/>
              <w:jc w:val="center"/>
              <w:outlineLvl w:val="0"/>
              <w:rPr>
                <w:color w:val="auto"/>
                <w:kern w:val="0"/>
                <w:sz w:val="20"/>
                <w:szCs w:val="21"/>
                <w:highlight w:val="none"/>
              </w:rPr>
            </w:pPr>
          </w:p>
        </w:tc>
        <w:tc>
          <w:tcPr>
            <w:tcW w:w="747" w:type="pct"/>
            <w:vAlign w:val="center"/>
          </w:tcPr>
          <w:p w14:paraId="702C9A06">
            <w:pPr>
              <w:spacing w:line="460" w:lineRule="exact"/>
              <w:jc w:val="center"/>
              <w:outlineLvl w:val="0"/>
              <w:rPr>
                <w:color w:val="auto"/>
                <w:kern w:val="0"/>
                <w:sz w:val="20"/>
                <w:szCs w:val="21"/>
                <w:highlight w:val="none"/>
              </w:rPr>
            </w:pPr>
          </w:p>
        </w:tc>
        <w:tc>
          <w:tcPr>
            <w:tcW w:w="747" w:type="pct"/>
            <w:vAlign w:val="center"/>
          </w:tcPr>
          <w:p w14:paraId="0E5015C6">
            <w:pPr>
              <w:spacing w:line="460" w:lineRule="exact"/>
              <w:jc w:val="center"/>
              <w:outlineLvl w:val="0"/>
              <w:rPr>
                <w:color w:val="auto"/>
                <w:kern w:val="0"/>
                <w:sz w:val="20"/>
                <w:szCs w:val="21"/>
                <w:highlight w:val="none"/>
              </w:rPr>
            </w:pPr>
          </w:p>
        </w:tc>
      </w:tr>
      <w:tr w14:paraId="3EE2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14:paraId="651A485F">
            <w:pPr>
              <w:spacing w:line="460" w:lineRule="exact"/>
              <w:jc w:val="center"/>
              <w:outlineLvl w:val="0"/>
              <w:rPr>
                <w:color w:val="auto"/>
                <w:kern w:val="0"/>
                <w:sz w:val="20"/>
                <w:szCs w:val="21"/>
                <w:highlight w:val="none"/>
              </w:rPr>
            </w:pPr>
            <w:bookmarkStart w:id="112" w:name="_Toc6795"/>
            <w:r>
              <w:rPr>
                <w:color w:val="auto"/>
                <w:kern w:val="0"/>
                <w:sz w:val="20"/>
                <w:szCs w:val="21"/>
                <w:highlight w:val="none"/>
              </w:rPr>
              <w:t>…</w:t>
            </w:r>
            <w:bookmarkEnd w:id="112"/>
          </w:p>
        </w:tc>
        <w:tc>
          <w:tcPr>
            <w:tcW w:w="850" w:type="pct"/>
            <w:vAlign w:val="center"/>
          </w:tcPr>
          <w:p w14:paraId="151F6422">
            <w:pPr>
              <w:spacing w:line="460" w:lineRule="exact"/>
              <w:outlineLvl w:val="0"/>
              <w:rPr>
                <w:color w:val="auto"/>
                <w:kern w:val="0"/>
                <w:sz w:val="20"/>
                <w:szCs w:val="21"/>
                <w:highlight w:val="none"/>
              </w:rPr>
            </w:pPr>
          </w:p>
        </w:tc>
        <w:tc>
          <w:tcPr>
            <w:tcW w:w="791" w:type="pct"/>
            <w:vAlign w:val="center"/>
          </w:tcPr>
          <w:p w14:paraId="31A40FBD">
            <w:pPr>
              <w:spacing w:line="460" w:lineRule="exact"/>
              <w:jc w:val="center"/>
              <w:outlineLvl w:val="0"/>
              <w:rPr>
                <w:color w:val="auto"/>
                <w:kern w:val="0"/>
                <w:sz w:val="20"/>
                <w:szCs w:val="21"/>
                <w:highlight w:val="none"/>
              </w:rPr>
            </w:pPr>
          </w:p>
        </w:tc>
        <w:tc>
          <w:tcPr>
            <w:tcW w:w="907" w:type="pct"/>
          </w:tcPr>
          <w:p w14:paraId="5CD64C0F">
            <w:pPr>
              <w:spacing w:line="460" w:lineRule="exact"/>
              <w:jc w:val="center"/>
              <w:outlineLvl w:val="0"/>
              <w:rPr>
                <w:color w:val="auto"/>
                <w:kern w:val="0"/>
                <w:sz w:val="20"/>
                <w:szCs w:val="21"/>
                <w:highlight w:val="none"/>
              </w:rPr>
            </w:pPr>
          </w:p>
        </w:tc>
        <w:tc>
          <w:tcPr>
            <w:tcW w:w="516" w:type="pct"/>
            <w:vAlign w:val="center"/>
          </w:tcPr>
          <w:p w14:paraId="06450DB2">
            <w:pPr>
              <w:spacing w:line="460" w:lineRule="exact"/>
              <w:jc w:val="center"/>
              <w:outlineLvl w:val="0"/>
              <w:rPr>
                <w:color w:val="auto"/>
                <w:kern w:val="0"/>
                <w:sz w:val="20"/>
                <w:szCs w:val="21"/>
                <w:highlight w:val="none"/>
              </w:rPr>
            </w:pPr>
          </w:p>
        </w:tc>
        <w:tc>
          <w:tcPr>
            <w:tcW w:w="747" w:type="pct"/>
            <w:vAlign w:val="center"/>
          </w:tcPr>
          <w:p w14:paraId="1FD07F52">
            <w:pPr>
              <w:spacing w:line="460" w:lineRule="exact"/>
              <w:jc w:val="center"/>
              <w:outlineLvl w:val="0"/>
              <w:rPr>
                <w:color w:val="auto"/>
                <w:kern w:val="0"/>
                <w:sz w:val="20"/>
                <w:szCs w:val="21"/>
                <w:highlight w:val="none"/>
              </w:rPr>
            </w:pPr>
          </w:p>
        </w:tc>
        <w:tc>
          <w:tcPr>
            <w:tcW w:w="747" w:type="pct"/>
            <w:vAlign w:val="center"/>
          </w:tcPr>
          <w:p w14:paraId="4F4527BE">
            <w:pPr>
              <w:spacing w:line="460" w:lineRule="exact"/>
              <w:jc w:val="center"/>
              <w:outlineLvl w:val="0"/>
              <w:rPr>
                <w:color w:val="auto"/>
                <w:kern w:val="0"/>
                <w:sz w:val="20"/>
                <w:szCs w:val="21"/>
                <w:highlight w:val="none"/>
              </w:rPr>
            </w:pPr>
          </w:p>
        </w:tc>
      </w:tr>
    </w:tbl>
    <w:p w14:paraId="700B698C">
      <w:pPr>
        <w:widowControl/>
        <w:jc w:val="left"/>
        <w:rPr>
          <w:rFonts w:ascii="仿宋" w:hAnsi="仿宋" w:eastAsia="仿宋" w:cs="仿宋"/>
          <w:color w:val="auto"/>
          <w:sz w:val="24"/>
          <w:szCs w:val="24"/>
          <w:highlight w:val="none"/>
          <w:lang w:val="zh-TW" w:eastAsia="zh-TW"/>
        </w:rPr>
      </w:pP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color w:val="auto"/>
          <w:sz w:val="24"/>
          <w:szCs w:val="24"/>
          <w:highlight w:val="none"/>
          <w:lang w:val="zh-TW" w:eastAsia="zh-TW"/>
        </w:rPr>
        <w:t>名称：                             （供应商公章）</w:t>
      </w:r>
    </w:p>
    <w:p w14:paraId="42CB4B9E">
      <w:pPr>
        <w:pStyle w:val="7"/>
        <w:rPr>
          <w:rFonts w:ascii="仿宋" w:hAnsi="仿宋" w:eastAsia="仿宋" w:cs="仿宋"/>
          <w:color w:val="auto"/>
          <w:highlight w:val="none"/>
          <w:lang w:val="zh-TW" w:eastAsia="zh-TW"/>
        </w:rPr>
      </w:pPr>
    </w:p>
    <w:p w14:paraId="2C9DEA33">
      <w:pPr>
        <w:widowControl/>
        <w:jc w:val="left"/>
        <w:rPr>
          <w:rFonts w:ascii="仿宋" w:hAnsi="仿宋" w:eastAsia="仿宋" w:cs="仿宋"/>
          <w:color w:val="auto"/>
          <w:sz w:val="24"/>
          <w:szCs w:val="24"/>
          <w:highlight w:val="none"/>
          <w:lang w:val="zh-TW" w:eastAsia="zh-TW"/>
        </w:rPr>
      </w:pPr>
      <w:r>
        <w:rPr>
          <w:rFonts w:hint="eastAsia" w:ascii="仿宋" w:hAnsi="仿宋" w:eastAsia="仿宋" w:cs="仿宋"/>
          <w:color w:val="auto"/>
          <w:sz w:val="24"/>
          <w:szCs w:val="24"/>
          <w:highlight w:val="none"/>
          <w:lang w:val="zh-TW" w:eastAsia="zh-TW"/>
        </w:rPr>
        <w:t>法定代表（负责人）或授权代表人</w:t>
      </w:r>
    </w:p>
    <w:p w14:paraId="0AE238CB">
      <w:pPr>
        <w:widowControl/>
        <w:jc w:val="left"/>
        <w:rPr>
          <w:rFonts w:ascii="仿宋" w:hAnsi="仿宋" w:eastAsia="仿宋" w:cs="仿宋"/>
          <w:color w:val="auto"/>
          <w:sz w:val="24"/>
          <w:szCs w:val="24"/>
          <w:highlight w:val="none"/>
          <w:lang w:val="zh-TW" w:eastAsia="zh-TW"/>
        </w:rPr>
      </w:pPr>
      <w:r>
        <w:rPr>
          <w:rFonts w:hint="eastAsia" w:ascii="仿宋" w:hAnsi="仿宋" w:eastAsia="仿宋" w:cs="仿宋"/>
          <w:color w:val="auto"/>
          <w:sz w:val="24"/>
          <w:szCs w:val="24"/>
          <w:highlight w:val="none"/>
          <w:lang w:val="zh-TW" w:eastAsia="zh-TW"/>
        </w:rPr>
        <w:t>（签字或加盖个人名章）：</w:t>
      </w:r>
    </w:p>
    <w:p w14:paraId="232F2D05">
      <w:pPr>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_____</w:t>
      </w:r>
      <w:r>
        <w:rPr>
          <w:rFonts w:hint="eastAsia" w:ascii="仿宋" w:hAnsi="仿宋" w:eastAsia="仿宋" w:cs="仿宋"/>
          <w:color w:val="auto"/>
          <w:sz w:val="24"/>
          <w:szCs w:val="24"/>
          <w:highlight w:val="none"/>
          <w:lang w:val="zh-TW" w:eastAsia="zh-TW"/>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TW" w:eastAsia="zh-TW"/>
        </w:rPr>
        <w:t>月</w:t>
      </w:r>
      <w:r>
        <w:rPr>
          <w:rFonts w:hint="eastAsia" w:ascii="仿宋" w:hAnsi="仿宋" w:eastAsia="仿宋" w:cs="仿宋"/>
          <w:color w:val="auto"/>
          <w:sz w:val="24"/>
          <w:szCs w:val="24"/>
          <w:highlight w:val="none"/>
          <w:u w:val="single"/>
        </w:rPr>
        <w:t xml:space="preserve">  </w:t>
      </w:r>
    </w:p>
    <w:p w14:paraId="2193CBA7">
      <w:pPr>
        <w:pStyle w:val="16"/>
        <w:ind w:firstLine="0" w:firstLineChars="0"/>
        <w:jc w:val="center"/>
        <w:outlineLvl w:val="1"/>
        <w:rPr>
          <w:rFonts w:hint="eastAsia" w:ascii="仿宋" w:hAnsi="仿宋" w:eastAsia="仿宋" w:cs="仿宋"/>
          <w:b/>
          <w:bCs/>
          <w:color w:val="auto"/>
          <w:sz w:val="36"/>
          <w:szCs w:val="36"/>
          <w:highlight w:val="none"/>
          <w:lang w:val="en-US" w:eastAsia="zh-CN"/>
        </w:rPr>
        <w:sectPr>
          <w:footerReference r:id="rId6" w:type="default"/>
          <w:pgSz w:w="11906" w:h="16838"/>
          <w:pgMar w:top="1134" w:right="851" w:bottom="1134" w:left="851" w:header="850" w:footer="567" w:gutter="0"/>
          <w:pgNumType w:fmt="decimal" w:start="1"/>
          <w:cols w:space="425" w:num="1"/>
          <w:docGrid w:linePitch="312" w:charSpace="0"/>
        </w:sectPr>
      </w:pPr>
    </w:p>
    <w:p w14:paraId="63F29FEB">
      <w:pPr>
        <w:pStyle w:val="16"/>
        <w:ind w:firstLine="0" w:firstLineChars="0"/>
        <w:jc w:val="center"/>
        <w:outlineLvl w:val="1"/>
        <w:rPr>
          <w:rFonts w:hint="eastAsia" w:ascii="仿宋" w:hAnsi="仿宋" w:eastAsia="仿宋" w:cs="仿宋"/>
          <w:b/>
          <w:bCs/>
          <w:color w:val="auto"/>
          <w:sz w:val="36"/>
          <w:szCs w:val="36"/>
          <w:highlight w:val="none"/>
          <w:lang w:val="en-US"/>
        </w:rPr>
      </w:pPr>
      <w:r>
        <w:rPr>
          <w:rFonts w:hint="eastAsia" w:ascii="仿宋" w:hAnsi="仿宋" w:eastAsia="仿宋" w:cs="仿宋"/>
          <w:b/>
          <w:bCs/>
          <w:color w:val="auto"/>
          <w:sz w:val="36"/>
          <w:szCs w:val="36"/>
          <w:highlight w:val="none"/>
          <w:lang w:val="en-US" w:eastAsia="zh-CN"/>
        </w:rPr>
        <w:t>九、</w:t>
      </w:r>
      <w:r>
        <w:rPr>
          <w:rFonts w:hint="eastAsia" w:ascii="仿宋" w:hAnsi="仿宋" w:eastAsia="仿宋" w:cs="仿宋"/>
          <w:b/>
          <w:bCs/>
          <w:color w:val="auto"/>
          <w:sz w:val="36"/>
          <w:szCs w:val="36"/>
          <w:highlight w:val="none"/>
          <w:lang w:val="en-US"/>
        </w:rPr>
        <w:t>配置清单</w:t>
      </w:r>
    </w:p>
    <w:p w14:paraId="1AE634F9">
      <w:pPr>
        <w:pStyle w:val="16"/>
        <w:ind w:firstLine="0" w:firstLineChars="0"/>
        <w:jc w:val="left"/>
        <w:rPr>
          <w:rFonts w:hint="eastAsia" w:ascii="仿宋" w:hAnsi="仿宋" w:eastAsia="仿宋" w:cs="仿宋"/>
          <w:b/>
          <w:bCs/>
          <w:color w:val="auto"/>
          <w:sz w:val="21"/>
          <w:szCs w:val="21"/>
          <w:highlight w:val="none"/>
          <w:lang w:val="en-US"/>
        </w:rPr>
      </w:pPr>
      <w:r>
        <w:rPr>
          <w:rFonts w:hint="eastAsia" w:ascii="仿宋" w:hAnsi="仿宋" w:eastAsia="仿宋" w:cs="仿宋"/>
          <w:b/>
          <w:bCs/>
          <w:color w:val="auto"/>
          <w:sz w:val="21"/>
          <w:szCs w:val="21"/>
          <w:highlight w:val="none"/>
          <w:lang w:val="en-US" w:eastAsia="zh-CN"/>
        </w:rPr>
        <w:t>采购</w:t>
      </w:r>
      <w:r>
        <w:rPr>
          <w:rFonts w:hint="eastAsia" w:ascii="仿宋" w:hAnsi="仿宋" w:eastAsia="仿宋" w:cs="仿宋"/>
          <w:b/>
          <w:bCs/>
          <w:color w:val="auto"/>
          <w:sz w:val="21"/>
          <w:szCs w:val="21"/>
          <w:highlight w:val="none"/>
          <w:lang w:val="en-US"/>
        </w:rPr>
        <w:t>产品名称：XX</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3402"/>
        <w:gridCol w:w="2552"/>
        <w:gridCol w:w="708"/>
        <w:gridCol w:w="709"/>
        <w:gridCol w:w="2232"/>
      </w:tblGrid>
      <w:tr w14:paraId="32321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3DBAACF0">
            <w:pPr>
              <w:spacing w:line="460" w:lineRule="exact"/>
              <w:jc w:val="center"/>
              <w:outlineLvl w:val="0"/>
              <w:rPr>
                <w:rFonts w:hint="eastAsia" w:ascii="仿宋" w:hAnsi="仿宋" w:eastAsia="仿宋" w:cs="仿宋"/>
                <w:b/>
                <w:color w:val="auto"/>
                <w:kern w:val="0"/>
                <w:sz w:val="21"/>
                <w:szCs w:val="21"/>
                <w:highlight w:val="none"/>
              </w:rPr>
            </w:pPr>
            <w:bookmarkStart w:id="113" w:name="_Toc15747"/>
            <w:r>
              <w:rPr>
                <w:rFonts w:hint="eastAsia" w:ascii="仿宋" w:hAnsi="仿宋" w:eastAsia="仿宋" w:cs="仿宋"/>
                <w:b/>
                <w:color w:val="auto"/>
                <w:kern w:val="0"/>
                <w:sz w:val="21"/>
                <w:szCs w:val="21"/>
                <w:highlight w:val="none"/>
              </w:rPr>
              <w:t>序号</w:t>
            </w:r>
            <w:bookmarkEnd w:id="113"/>
          </w:p>
        </w:tc>
        <w:tc>
          <w:tcPr>
            <w:tcW w:w="3402" w:type="dxa"/>
            <w:vAlign w:val="center"/>
          </w:tcPr>
          <w:p w14:paraId="76CF9F35">
            <w:pPr>
              <w:spacing w:line="460" w:lineRule="exact"/>
              <w:jc w:val="center"/>
              <w:outlineLvl w:val="0"/>
              <w:rPr>
                <w:rFonts w:hint="eastAsia" w:ascii="仿宋" w:hAnsi="仿宋" w:eastAsia="仿宋" w:cs="仿宋"/>
                <w:b/>
                <w:color w:val="auto"/>
                <w:kern w:val="0"/>
                <w:sz w:val="21"/>
                <w:szCs w:val="21"/>
                <w:highlight w:val="none"/>
              </w:rPr>
            </w:pPr>
            <w:bookmarkStart w:id="114" w:name="_Toc15474"/>
            <w:r>
              <w:rPr>
                <w:rFonts w:hint="eastAsia" w:ascii="仿宋" w:hAnsi="仿宋" w:eastAsia="仿宋" w:cs="仿宋"/>
                <w:b/>
                <w:color w:val="auto"/>
                <w:kern w:val="0"/>
                <w:sz w:val="21"/>
                <w:szCs w:val="21"/>
                <w:highlight w:val="none"/>
              </w:rPr>
              <w:t>组件名称</w:t>
            </w:r>
            <w:bookmarkEnd w:id="114"/>
          </w:p>
        </w:tc>
        <w:tc>
          <w:tcPr>
            <w:tcW w:w="2552" w:type="dxa"/>
            <w:vAlign w:val="center"/>
          </w:tcPr>
          <w:p w14:paraId="4AF65C8F">
            <w:pPr>
              <w:spacing w:line="460" w:lineRule="exact"/>
              <w:jc w:val="center"/>
              <w:outlineLvl w:val="0"/>
              <w:rPr>
                <w:rFonts w:hint="eastAsia" w:ascii="仿宋" w:hAnsi="仿宋" w:eastAsia="仿宋" w:cs="仿宋"/>
                <w:b/>
                <w:color w:val="auto"/>
                <w:kern w:val="0"/>
                <w:sz w:val="21"/>
                <w:szCs w:val="21"/>
                <w:highlight w:val="none"/>
              </w:rPr>
            </w:pPr>
            <w:bookmarkStart w:id="115" w:name="_Toc31955"/>
            <w:r>
              <w:rPr>
                <w:rFonts w:hint="eastAsia" w:ascii="仿宋" w:hAnsi="仿宋" w:eastAsia="仿宋" w:cs="仿宋"/>
                <w:b/>
                <w:color w:val="auto"/>
                <w:kern w:val="0"/>
                <w:sz w:val="21"/>
                <w:szCs w:val="21"/>
                <w:highlight w:val="none"/>
              </w:rPr>
              <w:t>型号/规格（如有）</w:t>
            </w:r>
            <w:bookmarkEnd w:id="115"/>
          </w:p>
        </w:tc>
        <w:tc>
          <w:tcPr>
            <w:tcW w:w="708" w:type="dxa"/>
            <w:vAlign w:val="center"/>
          </w:tcPr>
          <w:p w14:paraId="341EF0FC">
            <w:pPr>
              <w:spacing w:line="460" w:lineRule="exact"/>
              <w:jc w:val="center"/>
              <w:outlineLvl w:val="0"/>
              <w:rPr>
                <w:rFonts w:hint="eastAsia" w:ascii="仿宋" w:hAnsi="仿宋" w:eastAsia="仿宋" w:cs="仿宋"/>
                <w:b/>
                <w:color w:val="auto"/>
                <w:kern w:val="0"/>
                <w:sz w:val="21"/>
                <w:szCs w:val="21"/>
                <w:highlight w:val="none"/>
              </w:rPr>
            </w:pPr>
            <w:bookmarkStart w:id="116" w:name="_Toc26130"/>
            <w:r>
              <w:rPr>
                <w:rFonts w:hint="eastAsia" w:ascii="仿宋" w:hAnsi="仿宋" w:eastAsia="仿宋" w:cs="仿宋"/>
                <w:b/>
                <w:color w:val="auto"/>
                <w:kern w:val="0"/>
                <w:sz w:val="21"/>
                <w:szCs w:val="21"/>
                <w:highlight w:val="none"/>
              </w:rPr>
              <w:t>单位</w:t>
            </w:r>
            <w:bookmarkEnd w:id="116"/>
          </w:p>
        </w:tc>
        <w:tc>
          <w:tcPr>
            <w:tcW w:w="709" w:type="dxa"/>
            <w:vAlign w:val="center"/>
          </w:tcPr>
          <w:p w14:paraId="471F19A5">
            <w:pPr>
              <w:spacing w:line="460" w:lineRule="exact"/>
              <w:jc w:val="center"/>
              <w:outlineLvl w:val="0"/>
              <w:rPr>
                <w:rFonts w:hint="eastAsia" w:ascii="仿宋" w:hAnsi="仿宋" w:eastAsia="仿宋" w:cs="仿宋"/>
                <w:b/>
                <w:color w:val="auto"/>
                <w:kern w:val="0"/>
                <w:sz w:val="21"/>
                <w:szCs w:val="21"/>
                <w:highlight w:val="none"/>
              </w:rPr>
            </w:pPr>
            <w:bookmarkStart w:id="117" w:name="_Toc17763"/>
            <w:r>
              <w:rPr>
                <w:rFonts w:hint="eastAsia" w:ascii="仿宋" w:hAnsi="仿宋" w:eastAsia="仿宋" w:cs="仿宋"/>
                <w:b/>
                <w:color w:val="auto"/>
                <w:kern w:val="0"/>
                <w:sz w:val="21"/>
                <w:szCs w:val="21"/>
                <w:highlight w:val="none"/>
              </w:rPr>
              <w:t>数量</w:t>
            </w:r>
            <w:bookmarkEnd w:id="117"/>
          </w:p>
        </w:tc>
        <w:tc>
          <w:tcPr>
            <w:tcW w:w="2232" w:type="dxa"/>
            <w:vAlign w:val="center"/>
          </w:tcPr>
          <w:p w14:paraId="17B6B185">
            <w:pPr>
              <w:spacing w:line="460" w:lineRule="exact"/>
              <w:jc w:val="center"/>
              <w:outlineLvl w:val="0"/>
              <w:rPr>
                <w:rFonts w:hint="eastAsia" w:ascii="仿宋" w:hAnsi="仿宋" w:eastAsia="仿宋" w:cs="仿宋"/>
                <w:b/>
                <w:color w:val="auto"/>
                <w:kern w:val="0"/>
                <w:sz w:val="21"/>
                <w:szCs w:val="21"/>
                <w:highlight w:val="none"/>
              </w:rPr>
            </w:pPr>
            <w:bookmarkStart w:id="118" w:name="_Toc18359"/>
            <w:r>
              <w:rPr>
                <w:rFonts w:hint="eastAsia" w:ascii="仿宋" w:hAnsi="仿宋" w:eastAsia="仿宋" w:cs="仿宋"/>
                <w:b/>
                <w:color w:val="auto"/>
                <w:kern w:val="0"/>
                <w:sz w:val="21"/>
                <w:szCs w:val="21"/>
                <w:highlight w:val="none"/>
              </w:rPr>
              <w:t>备注</w:t>
            </w:r>
            <w:bookmarkEnd w:id="118"/>
          </w:p>
        </w:tc>
      </w:tr>
      <w:tr w14:paraId="7B7A8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671BC5D6">
            <w:pPr>
              <w:spacing w:line="460" w:lineRule="exact"/>
              <w:jc w:val="center"/>
              <w:outlineLvl w:val="0"/>
              <w:rPr>
                <w:rFonts w:hint="eastAsia" w:ascii="仿宋" w:hAnsi="仿宋" w:eastAsia="仿宋" w:cs="仿宋"/>
                <w:color w:val="auto"/>
                <w:kern w:val="0"/>
                <w:sz w:val="21"/>
                <w:szCs w:val="21"/>
                <w:highlight w:val="none"/>
              </w:rPr>
            </w:pPr>
            <w:bookmarkStart w:id="119" w:name="_Toc19350"/>
            <w:r>
              <w:rPr>
                <w:rFonts w:hint="eastAsia" w:ascii="仿宋" w:hAnsi="仿宋" w:eastAsia="仿宋" w:cs="仿宋"/>
                <w:color w:val="auto"/>
                <w:kern w:val="0"/>
                <w:sz w:val="21"/>
                <w:szCs w:val="21"/>
                <w:highlight w:val="none"/>
              </w:rPr>
              <w:t>1</w:t>
            </w:r>
            <w:bookmarkEnd w:id="119"/>
          </w:p>
        </w:tc>
        <w:tc>
          <w:tcPr>
            <w:tcW w:w="3402" w:type="dxa"/>
            <w:vAlign w:val="center"/>
          </w:tcPr>
          <w:p w14:paraId="5B379D90">
            <w:pPr>
              <w:spacing w:line="460" w:lineRule="exact"/>
              <w:outlineLvl w:val="0"/>
              <w:rPr>
                <w:rFonts w:hint="eastAsia" w:ascii="仿宋" w:hAnsi="仿宋" w:eastAsia="仿宋" w:cs="仿宋"/>
                <w:color w:val="auto"/>
                <w:kern w:val="0"/>
                <w:sz w:val="21"/>
                <w:szCs w:val="21"/>
                <w:highlight w:val="none"/>
              </w:rPr>
            </w:pPr>
          </w:p>
        </w:tc>
        <w:tc>
          <w:tcPr>
            <w:tcW w:w="2552" w:type="dxa"/>
            <w:vAlign w:val="center"/>
          </w:tcPr>
          <w:p w14:paraId="69158252">
            <w:pPr>
              <w:spacing w:line="460" w:lineRule="exact"/>
              <w:jc w:val="center"/>
              <w:outlineLvl w:val="0"/>
              <w:rPr>
                <w:rFonts w:hint="eastAsia" w:ascii="仿宋" w:hAnsi="仿宋" w:eastAsia="仿宋" w:cs="仿宋"/>
                <w:color w:val="auto"/>
                <w:kern w:val="0"/>
                <w:sz w:val="21"/>
                <w:szCs w:val="21"/>
                <w:highlight w:val="none"/>
              </w:rPr>
            </w:pPr>
          </w:p>
        </w:tc>
        <w:tc>
          <w:tcPr>
            <w:tcW w:w="708" w:type="dxa"/>
          </w:tcPr>
          <w:p w14:paraId="7C272C68">
            <w:pPr>
              <w:spacing w:line="460" w:lineRule="exact"/>
              <w:jc w:val="center"/>
              <w:outlineLvl w:val="0"/>
              <w:rPr>
                <w:rFonts w:hint="eastAsia" w:ascii="仿宋" w:hAnsi="仿宋" w:eastAsia="仿宋" w:cs="仿宋"/>
                <w:color w:val="auto"/>
                <w:kern w:val="0"/>
                <w:sz w:val="21"/>
                <w:szCs w:val="21"/>
                <w:highlight w:val="none"/>
              </w:rPr>
            </w:pPr>
          </w:p>
        </w:tc>
        <w:tc>
          <w:tcPr>
            <w:tcW w:w="709" w:type="dxa"/>
            <w:vAlign w:val="center"/>
          </w:tcPr>
          <w:p w14:paraId="1971F26E">
            <w:pPr>
              <w:spacing w:line="460" w:lineRule="exact"/>
              <w:jc w:val="center"/>
              <w:outlineLvl w:val="0"/>
              <w:rPr>
                <w:rFonts w:hint="eastAsia" w:ascii="仿宋" w:hAnsi="仿宋" w:eastAsia="仿宋" w:cs="仿宋"/>
                <w:color w:val="auto"/>
                <w:kern w:val="0"/>
                <w:sz w:val="21"/>
                <w:szCs w:val="21"/>
                <w:highlight w:val="none"/>
              </w:rPr>
            </w:pPr>
          </w:p>
        </w:tc>
        <w:tc>
          <w:tcPr>
            <w:tcW w:w="2232" w:type="dxa"/>
            <w:vAlign w:val="center"/>
          </w:tcPr>
          <w:p w14:paraId="2626FFDC">
            <w:pPr>
              <w:spacing w:line="460" w:lineRule="exact"/>
              <w:outlineLvl w:val="0"/>
              <w:rPr>
                <w:rFonts w:hint="eastAsia" w:ascii="仿宋" w:hAnsi="仿宋" w:eastAsia="仿宋" w:cs="仿宋"/>
                <w:color w:val="auto"/>
                <w:kern w:val="0"/>
                <w:sz w:val="21"/>
                <w:szCs w:val="21"/>
                <w:highlight w:val="none"/>
              </w:rPr>
            </w:pPr>
          </w:p>
        </w:tc>
      </w:tr>
      <w:tr w14:paraId="11104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78B88C7F">
            <w:pPr>
              <w:spacing w:line="460" w:lineRule="exact"/>
              <w:jc w:val="center"/>
              <w:outlineLvl w:val="0"/>
              <w:rPr>
                <w:rFonts w:hint="eastAsia" w:ascii="仿宋" w:hAnsi="仿宋" w:eastAsia="仿宋" w:cs="仿宋"/>
                <w:color w:val="auto"/>
                <w:kern w:val="0"/>
                <w:sz w:val="20"/>
                <w:szCs w:val="21"/>
                <w:highlight w:val="none"/>
              </w:rPr>
            </w:pPr>
            <w:bookmarkStart w:id="120" w:name="_Toc7256"/>
            <w:r>
              <w:rPr>
                <w:rFonts w:hint="eastAsia" w:ascii="仿宋" w:hAnsi="仿宋" w:eastAsia="仿宋" w:cs="仿宋"/>
                <w:color w:val="auto"/>
                <w:kern w:val="0"/>
                <w:sz w:val="20"/>
                <w:szCs w:val="21"/>
                <w:highlight w:val="none"/>
              </w:rPr>
              <w:t>2</w:t>
            </w:r>
            <w:bookmarkEnd w:id="120"/>
          </w:p>
        </w:tc>
        <w:tc>
          <w:tcPr>
            <w:tcW w:w="3402" w:type="dxa"/>
            <w:vAlign w:val="center"/>
          </w:tcPr>
          <w:p w14:paraId="17598B0E">
            <w:pPr>
              <w:spacing w:line="460" w:lineRule="exact"/>
              <w:outlineLvl w:val="0"/>
              <w:rPr>
                <w:rFonts w:hint="eastAsia" w:ascii="仿宋" w:hAnsi="仿宋" w:eastAsia="仿宋" w:cs="仿宋"/>
                <w:color w:val="auto"/>
                <w:kern w:val="0"/>
                <w:sz w:val="20"/>
                <w:szCs w:val="21"/>
                <w:highlight w:val="none"/>
              </w:rPr>
            </w:pPr>
          </w:p>
        </w:tc>
        <w:tc>
          <w:tcPr>
            <w:tcW w:w="2552" w:type="dxa"/>
            <w:vAlign w:val="center"/>
          </w:tcPr>
          <w:p w14:paraId="4B05A447">
            <w:pPr>
              <w:spacing w:line="460" w:lineRule="exact"/>
              <w:jc w:val="center"/>
              <w:outlineLvl w:val="0"/>
              <w:rPr>
                <w:rFonts w:hint="eastAsia" w:ascii="仿宋" w:hAnsi="仿宋" w:eastAsia="仿宋" w:cs="仿宋"/>
                <w:color w:val="auto"/>
                <w:kern w:val="0"/>
                <w:sz w:val="20"/>
                <w:szCs w:val="21"/>
                <w:highlight w:val="none"/>
              </w:rPr>
            </w:pPr>
          </w:p>
        </w:tc>
        <w:tc>
          <w:tcPr>
            <w:tcW w:w="708" w:type="dxa"/>
          </w:tcPr>
          <w:p w14:paraId="10756508">
            <w:pPr>
              <w:spacing w:line="460" w:lineRule="exact"/>
              <w:jc w:val="center"/>
              <w:outlineLvl w:val="0"/>
              <w:rPr>
                <w:rFonts w:hint="eastAsia" w:ascii="仿宋" w:hAnsi="仿宋" w:eastAsia="仿宋" w:cs="仿宋"/>
                <w:color w:val="auto"/>
                <w:kern w:val="0"/>
                <w:sz w:val="20"/>
                <w:szCs w:val="21"/>
                <w:highlight w:val="none"/>
              </w:rPr>
            </w:pPr>
          </w:p>
        </w:tc>
        <w:tc>
          <w:tcPr>
            <w:tcW w:w="709" w:type="dxa"/>
            <w:vAlign w:val="center"/>
          </w:tcPr>
          <w:p w14:paraId="098F14FE">
            <w:pPr>
              <w:spacing w:line="460" w:lineRule="exact"/>
              <w:jc w:val="center"/>
              <w:outlineLvl w:val="0"/>
              <w:rPr>
                <w:rFonts w:hint="eastAsia" w:ascii="仿宋" w:hAnsi="仿宋" w:eastAsia="仿宋" w:cs="仿宋"/>
                <w:color w:val="auto"/>
                <w:kern w:val="0"/>
                <w:sz w:val="20"/>
                <w:szCs w:val="21"/>
                <w:highlight w:val="none"/>
              </w:rPr>
            </w:pPr>
          </w:p>
        </w:tc>
        <w:tc>
          <w:tcPr>
            <w:tcW w:w="2232" w:type="dxa"/>
            <w:vAlign w:val="center"/>
          </w:tcPr>
          <w:p w14:paraId="66667181">
            <w:pPr>
              <w:spacing w:line="460" w:lineRule="exact"/>
              <w:outlineLvl w:val="0"/>
              <w:rPr>
                <w:rFonts w:hint="eastAsia" w:ascii="仿宋" w:hAnsi="仿宋" w:eastAsia="仿宋" w:cs="仿宋"/>
                <w:color w:val="auto"/>
                <w:kern w:val="0"/>
                <w:sz w:val="20"/>
                <w:szCs w:val="21"/>
                <w:highlight w:val="none"/>
              </w:rPr>
            </w:pPr>
          </w:p>
        </w:tc>
      </w:tr>
      <w:tr w14:paraId="08D0E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64DE5D1A">
            <w:pPr>
              <w:spacing w:line="460" w:lineRule="exact"/>
              <w:jc w:val="center"/>
              <w:outlineLvl w:val="0"/>
              <w:rPr>
                <w:rFonts w:hint="eastAsia" w:ascii="仿宋" w:hAnsi="仿宋" w:eastAsia="仿宋" w:cs="仿宋"/>
                <w:color w:val="auto"/>
                <w:kern w:val="0"/>
                <w:sz w:val="20"/>
                <w:szCs w:val="21"/>
                <w:highlight w:val="none"/>
              </w:rPr>
            </w:pPr>
            <w:bookmarkStart w:id="121" w:name="_Toc24842"/>
            <w:r>
              <w:rPr>
                <w:rFonts w:hint="eastAsia" w:ascii="仿宋" w:hAnsi="仿宋" w:eastAsia="仿宋" w:cs="仿宋"/>
                <w:color w:val="auto"/>
                <w:kern w:val="0"/>
                <w:sz w:val="20"/>
                <w:szCs w:val="21"/>
                <w:highlight w:val="none"/>
              </w:rPr>
              <w:t>3</w:t>
            </w:r>
            <w:bookmarkEnd w:id="121"/>
          </w:p>
        </w:tc>
        <w:tc>
          <w:tcPr>
            <w:tcW w:w="3402" w:type="dxa"/>
            <w:vAlign w:val="center"/>
          </w:tcPr>
          <w:p w14:paraId="0978C078">
            <w:pPr>
              <w:spacing w:line="460" w:lineRule="exact"/>
              <w:outlineLvl w:val="0"/>
              <w:rPr>
                <w:rFonts w:hint="eastAsia" w:ascii="仿宋" w:hAnsi="仿宋" w:eastAsia="仿宋" w:cs="仿宋"/>
                <w:color w:val="auto"/>
                <w:kern w:val="0"/>
                <w:sz w:val="20"/>
                <w:szCs w:val="21"/>
                <w:highlight w:val="none"/>
              </w:rPr>
            </w:pPr>
          </w:p>
        </w:tc>
        <w:tc>
          <w:tcPr>
            <w:tcW w:w="2552" w:type="dxa"/>
            <w:vAlign w:val="center"/>
          </w:tcPr>
          <w:p w14:paraId="50BD4A4E">
            <w:pPr>
              <w:spacing w:line="460" w:lineRule="exact"/>
              <w:jc w:val="center"/>
              <w:outlineLvl w:val="0"/>
              <w:rPr>
                <w:rFonts w:hint="eastAsia" w:ascii="仿宋" w:hAnsi="仿宋" w:eastAsia="仿宋" w:cs="仿宋"/>
                <w:color w:val="auto"/>
                <w:kern w:val="0"/>
                <w:sz w:val="20"/>
                <w:szCs w:val="21"/>
                <w:highlight w:val="none"/>
              </w:rPr>
            </w:pPr>
          </w:p>
        </w:tc>
        <w:tc>
          <w:tcPr>
            <w:tcW w:w="708" w:type="dxa"/>
          </w:tcPr>
          <w:p w14:paraId="64287C0A">
            <w:pPr>
              <w:spacing w:line="460" w:lineRule="exact"/>
              <w:jc w:val="center"/>
              <w:outlineLvl w:val="0"/>
              <w:rPr>
                <w:rFonts w:hint="eastAsia" w:ascii="仿宋" w:hAnsi="仿宋" w:eastAsia="仿宋" w:cs="仿宋"/>
                <w:color w:val="auto"/>
                <w:kern w:val="0"/>
                <w:sz w:val="20"/>
                <w:szCs w:val="21"/>
                <w:highlight w:val="none"/>
              </w:rPr>
            </w:pPr>
          </w:p>
        </w:tc>
        <w:tc>
          <w:tcPr>
            <w:tcW w:w="709" w:type="dxa"/>
            <w:vAlign w:val="center"/>
          </w:tcPr>
          <w:p w14:paraId="0C80EA80">
            <w:pPr>
              <w:spacing w:line="460" w:lineRule="exact"/>
              <w:jc w:val="center"/>
              <w:outlineLvl w:val="0"/>
              <w:rPr>
                <w:rFonts w:hint="eastAsia" w:ascii="仿宋" w:hAnsi="仿宋" w:eastAsia="仿宋" w:cs="仿宋"/>
                <w:color w:val="auto"/>
                <w:kern w:val="0"/>
                <w:sz w:val="20"/>
                <w:szCs w:val="21"/>
                <w:highlight w:val="none"/>
              </w:rPr>
            </w:pPr>
          </w:p>
        </w:tc>
        <w:tc>
          <w:tcPr>
            <w:tcW w:w="2232" w:type="dxa"/>
            <w:vAlign w:val="center"/>
          </w:tcPr>
          <w:p w14:paraId="7CB0DD24">
            <w:pPr>
              <w:spacing w:line="460" w:lineRule="exact"/>
              <w:outlineLvl w:val="0"/>
              <w:rPr>
                <w:rFonts w:hint="eastAsia" w:ascii="仿宋" w:hAnsi="仿宋" w:eastAsia="仿宋" w:cs="仿宋"/>
                <w:color w:val="auto"/>
                <w:kern w:val="0"/>
                <w:sz w:val="20"/>
                <w:szCs w:val="21"/>
                <w:highlight w:val="none"/>
              </w:rPr>
            </w:pPr>
          </w:p>
        </w:tc>
      </w:tr>
      <w:tr w14:paraId="05F1C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264F0C67">
            <w:pPr>
              <w:spacing w:line="460" w:lineRule="exact"/>
              <w:jc w:val="center"/>
              <w:outlineLvl w:val="0"/>
              <w:rPr>
                <w:rFonts w:hint="eastAsia" w:ascii="仿宋" w:hAnsi="仿宋" w:eastAsia="仿宋" w:cs="仿宋"/>
                <w:color w:val="auto"/>
                <w:kern w:val="0"/>
                <w:sz w:val="20"/>
                <w:szCs w:val="21"/>
                <w:highlight w:val="none"/>
              </w:rPr>
            </w:pPr>
            <w:bookmarkStart w:id="122" w:name="_Toc4658"/>
            <w:r>
              <w:rPr>
                <w:rFonts w:hint="eastAsia" w:ascii="仿宋" w:hAnsi="仿宋" w:eastAsia="仿宋" w:cs="仿宋"/>
                <w:color w:val="auto"/>
                <w:kern w:val="0"/>
                <w:sz w:val="20"/>
                <w:szCs w:val="21"/>
                <w:highlight w:val="none"/>
              </w:rPr>
              <w:t>…</w:t>
            </w:r>
            <w:bookmarkEnd w:id="122"/>
          </w:p>
        </w:tc>
        <w:tc>
          <w:tcPr>
            <w:tcW w:w="3402" w:type="dxa"/>
            <w:vAlign w:val="center"/>
          </w:tcPr>
          <w:p w14:paraId="14603913">
            <w:pPr>
              <w:spacing w:line="460" w:lineRule="exact"/>
              <w:outlineLvl w:val="0"/>
              <w:rPr>
                <w:rFonts w:hint="eastAsia" w:ascii="仿宋" w:hAnsi="仿宋" w:eastAsia="仿宋" w:cs="仿宋"/>
                <w:color w:val="auto"/>
                <w:kern w:val="0"/>
                <w:sz w:val="20"/>
                <w:szCs w:val="21"/>
                <w:highlight w:val="none"/>
              </w:rPr>
            </w:pPr>
          </w:p>
        </w:tc>
        <w:tc>
          <w:tcPr>
            <w:tcW w:w="2552" w:type="dxa"/>
            <w:vAlign w:val="center"/>
          </w:tcPr>
          <w:p w14:paraId="5FFB92F8">
            <w:pPr>
              <w:spacing w:line="460" w:lineRule="exact"/>
              <w:jc w:val="center"/>
              <w:outlineLvl w:val="0"/>
              <w:rPr>
                <w:rFonts w:hint="eastAsia" w:ascii="仿宋" w:hAnsi="仿宋" w:eastAsia="仿宋" w:cs="仿宋"/>
                <w:color w:val="auto"/>
                <w:kern w:val="0"/>
                <w:sz w:val="20"/>
                <w:szCs w:val="21"/>
                <w:highlight w:val="none"/>
              </w:rPr>
            </w:pPr>
          </w:p>
        </w:tc>
        <w:tc>
          <w:tcPr>
            <w:tcW w:w="708" w:type="dxa"/>
          </w:tcPr>
          <w:p w14:paraId="2CB23C90">
            <w:pPr>
              <w:spacing w:line="460" w:lineRule="exact"/>
              <w:jc w:val="center"/>
              <w:outlineLvl w:val="0"/>
              <w:rPr>
                <w:rFonts w:hint="eastAsia" w:ascii="仿宋" w:hAnsi="仿宋" w:eastAsia="仿宋" w:cs="仿宋"/>
                <w:color w:val="auto"/>
                <w:kern w:val="0"/>
                <w:sz w:val="20"/>
                <w:szCs w:val="21"/>
                <w:highlight w:val="none"/>
              </w:rPr>
            </w:pPr>
          </w:p>
        </w:tc>
        <w:tc>
          <w:tcPr>
            <w:tcW w:w="709" w:type="dxa"/>
            <w:vAlign w:val="center"/>
          </w:tcPr>
          <w:p w14:paraId="5102D0FB">
            <w:pPr>
              <w:spacing w:line="460" w:lineRule="exact"/>
              <w:jc w:val="center"/>
              <w:outlineLvl w:val="0"/>
              <w:rPr>
                <w:rFonts w:hint="eastAsia" w:ascii="仿宋" w:hAnsi="仿宋" w:eastAsia="仿宋" w:cs="仿宋"/>
                <w:color w:val="auto"/>
                <w:kern w:val="0"/>
                <w:sz w:val="20"/>
                <w:szCs w:val="21"/>
                <w:highlight w:val="none"/>
              </w:rPr>
            </w:pPr>
          </w:p>
        </w:tc>
        <w:tc>
          <w:tcPr>
            <w:tcW w:w="2232" w:type="dxa"/>
            <w:vAlign w:val="center"/>
          </w:tcPr>
          <w:p w14:paraId="670A4338">
            <w:pPr>
              <w:spacing w:line="460" w:lineRule="exact"/>
              <w:outlineLvl w:val="0"/>
              <w:rPr>
                <w:rFonts w:hint="eastAsia" w:ascii="仿宋" w:hAnsi="仿宋" w:eastAsia="仿宋" w:cs="仿宋"/>
                <w:color w:val="auto"/>
                <w:kern w:val="0"/>
                <w:sz w:val="20"/>
                <w:szCs w:val="21"/>
                <w:highlight w:val="none"/>
              </w:rPr>
            </w:pPr>
          </w:p>
        </w:tc>
      </w:tr>
    </w:tbl>
    <w:p w14:paraId="05A6072C">
      <w:pPr>
        <w:pStyle w:val="16"/>
        <w:ind w:firstLine="0" w:firstLineChars="0"/>
        <w:rPr>
          <w:rFonts w:hint="eastAsia" w:eastAsia="仿宋_GB2312"/>
          <w:color w:val="auto"/>
          <w:highlight w:val="none"/>
          <w:lang w:val="en-US" w:eastAsia="zh-CN"/>
        </w:rPr>
      </w:pPr>
      <w:r>
        <w:rPr>
          <w:rFonts w:hint="eastAsia"/>
          <w:color w:val="auto"/>
          <w:highlight w:val="none"/>
          <w:lang w:val="en-US" w:eastAsia="zh-CN"/>
        </w:rPr>
        <w:t>……</w:t>
      </w:r>
    </w:p>
    <w:p w14:paraId="6B95BC28">
      <w:pPr>
        <w:rPr>
          <w:rFonts w:ascii="Times New Roman" w:hAnsi="Times New Roman" w:eastAsia="仿宋" w:cs="Times New Roman"/>
          <w:sz w:val="24"/>
          <w:szCs w:val="24"/>
          <w:u w:val="single"/>
        </w:rPr>
      </w:pPr>
      <w:r>
        <w:rPr>
          <w:rFonts w:hint="eastAsia" w:ascii="仿宋" w:hAnsi="仿宋" w:eastAsia="仿宋" w:cs="仿宋"/>
          <w:color w:val="auto"/>
          <w:sz w:val="24"/>
          <w:szCs w:val="24"/>
          <w:highlight w:val="none"/>
        </w:rPr>
        <w:t>注：供应商必须提供本配置清单且明确单台设备配置</w:t>
      </w:r>
      <w:r>
        <w:rPr>
          <w:rFonts w:hint="eastAsia" w:ascii="仿宋" w:hAnsi="仿宋" w:eastAsia="仿宋" w:cs="仿宋"/>
          <w:color w:val="auto"/>
          <w:sz w:val="24"/>
          <w:szCs w:val="24"/>
          <w:highlight w:val="none"/>
          <w:lang w:eastAsia="zh-CN"/>
        </w:rPr>
        <w:t>。</w:t>
      </w:r>
      <w:r>
        <w:rPr>
          <w:rFonts w:ascii="Times New Roman" w:hAnsi="Times New Roman" w:eastAsia="仿宋" w:cs="Times New Roman"/>
          <w:sz w:val="24"/>
          <w:szCs w:val="24"/>
          <w:u w:val="single"/>
        </w:rPr>
        <w:br w:type="page"/>
      </w:r>
    </w:p>
    <w:p w14:paraId="6A604D34">
      <w:pPr>
        <w:pStyle w:val="3"/>
        <w:numPr>
          <w:ilvl w:val="0"/>
          <w:numId w:val="0"/>
        </w:numPr>
        <w:ind w:leftChars="0"/>
        <w:jc w:val="center"/>
      </w:pPr>
      <w:r>
        <w:rPr>
          <w:rFonts w:hint="eastAsia"/>
          <w:lang w:val="en-US" w:eastAsia="zh-CN"/>
        </w:rPr>
        <w:t>十、</w:t>
      </w:r>
      <w:r>
        <w:t>供应商认为需要提供的其他材料</w:t>
      </w:r>
      <w:bookmarkEnd w:id="87"/>
      <w:bookmarkEnd w:id="88"/>
      <w:bookmarkEnd w:id="89"/>
      <w:bookmarkEnd w:id="91"/>
      <w:bookmarkEnd w:id="92"/>
      <w:bookmarkEnd w:id="93"/>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123" w:name="_Toc20691"/>
      <w:bookmarkStart w:id="124"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125" w:name="_Toc22788"/>
      <w:r>
        <w:rPr>
          <w:rFonts w:ascii="Times New Roman" w:hAnsi="Times New Roman" w:cs="Times New Roman"/>
        </w:rPr>
        <w:t>合同条款（仅成交后使用）</w:t>
      </w:r>
      <w:bookmarkEnd w:id="123"/>
      <w:bookmarkEnd w:id="124"/>
      <w:bookmarkEnd w:id="125"/>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BF67DEA">
      <w:pPr>
        <w:pStyle w:val="42"/>
        <w:spacing w:line="360" w:lineRule="auto"/>
        <w:rPr>
          <w:rFonts w:hint="default" w:ascii="Times New Roman" w:hAnsi="Times New Roman" w:cs="Times New Roman"/>
          <w:szCs w:val="20"/>
        </w:rPr>
      </w:pPr>
      <w:r>
        <w:rPr>
          <w:rFonts w:hint="default" w:ascii="Times New Roman" w:hAnsi="Times New Roman" w:cs="Times New Roman"/>
          <w:szCs w:val="20"/>
        </w:rPr>
        <w:t>设备购销合同</w:t>
      </w:r>
    </w:p>
    <w:p w14:paraId="19336217">
      <w:pPr>
        <w:contextualSpacing/>
        <w:rPr>
          <w:rFonts w:hint="default" w:ascii="Times New Roman" w:hAnsi="Times New Roman" w:eastAsia="宋体" w:cs="Times New Roman"/>
        </w:rPr>
      </w:pPr>
    </w:p>
    <w:tbl>
      <w:tblPr>
        <w:tblStyle w:val="18"/>
        <w:tblW w:w="5000" w:type="pct"/>
        <w:jc w:val="center"/>
        <w:tblLayout w:type="autofit"/>
        <w:tblCellMar>
          <w:top w:w="0" w:type="dxa"/>
          <w:left w:w="0" w:type="dxa"/>
          <w:bottom w:w="0" w:type="dxa"/>
          <w:right w:w="0" w:type="dxa"/>
        </w:tblCellMar>
      </w:tblPr>
      <w:tblGrid>
        <w:gridCol w:w="4962"/>
        <w:gridCol w:w="5242"/>
      </w:tblGrid>
      <w:tr w14:paraId="2F92DBB8">
        <w:tblPrEx>
          <w:tblCellMar>
            <w:top w:w="0" w:type="dxa"/>
            <w:left w:w="0" w:type="dxa"/>
            <w:bottom w:w="0" w:type="dxa"/>
            <w:right w:w="0" w:type="dxa"/>
          </w:tblCellMar>
        </w:tblPrEx>
        <w:trPr>
          <w:trHeight w:val="767" w:hRule="atLeast"/>
          <w:jc w:val="center"/>
        </w:trPr>
        <w:tc>
          <w:tcPr>
            <w:tcW w:w="10204" w:type="dxa"/>
            <w:gridSpan w:val="2"/>
          </w:tcPr>
          <w:p w14:paraId="384BAFD2">
            <w:pPr>
              <w:contextualSpacing/>
              <w:rPr>
                <w:rFonts w:hint="default" w:ascii="Times New Roman" w:hAnsi="Times New Roman" w:eastAsia="宋体" w:cs="Times New Roman"/>
              </w:rPr>
            </w:pPr>
            <w:r>
              <w:rPr>
                <w:rFonts w:hint="default" w:ascii="Times New Roman" w:hAnsi="Times New Roman" w:eastAsia="宋体" w:cs="Times New Roman"/>
                <w:b/>
                <w:bCs/>
              </w:rPr>
              <w:t>合同编号</w:t>
            </w:r>
            <w:r>
              <w:rPr>
                <w:rFonts w:hint="default" w:ascii="Times New Roman" w:hAnsi="Times New Roman" w:eastAsia="宋体" w:cs="Times New Roman"/>
              </w:rPr>
              <w:t>：CGZX-***</w:t>
            </w:r>
          </w:p>
          <w:p w14:paraId="4AA4CE80">
            <w:pPr>
              <w:contextualSpacing/>
              <w:rPr>
                <w:rFonts w:hint="default" w:ascii="Times New Roman" w:hAnsi="Times New Roman" w:eastAsia="宋体" w:cs="Times New Roman"/>
              </w:rPr>
            </w:pPr>
            <w:r>
              <w:rPr>
                <w:rFonts w:hint="default" w:ascii="Times New Roman" w:hAnsi="Times New Roman" w:eastAsia="宋体" w:cs="Times New Roman"/>
                <w:b/>
                <w:bCs/>
              </w:rPr>
              <w:t>签订地点</w:t>
            </w:r>
            <w:r>
              <w:rPr>
                <w:rFonts w:hint="default" w:ascii="Times New Roman" w:hAnsi="Times New Roman" w:eastAsia="宋体" w:cs="Times New Roman"/>
              </w:rPr>
              <w:t>：四川省人民医院</w:t>
            </w:r>
          </w:p>
        </w:tc>
      </w:tr>
      <w:tr w14:paraId="458D9637">
        <w:tblPrEx>
          <w:tblCellMar>
            <w:top w:w="0" w:type="dxa"/>
            <w:left w:w="0" w:type="dxa"/>
            <w:bottom w:w="0" w:type="dxa"/>
            <w:right w:w="0" w:type="dxa"/>
          </w:tblCellMar>
        </w:tblPrEx>
        <w:trPr>
          <w:jc w:val="center"/>
        </w:trPr>
        <w:tc>
          <w:tcPr>
            <w:tcW w:w="4962" w:type="dxa"/>
          </w:tcPr>
          <w:p w14:paraId="3003E5CE">
            <w:pPr>
              <w:rPr>
                <w:rFonts w:hint="default" w:ascii="Times New Roman" w:hAnsi="Times New Roman" w:eastAsia="宋体" w:cs="Times New Roman"/>
              </w:rPr>
            </w:pPr>
            <w:r>
              <w:rPr>
                <w:rFonts w:hint="default" w:ascii="Times New Roman" w:hAnsi="Times New Roman" w:eastAsia="宋体" w:cs="Times New Roman"/>
                <w:b/>
                <w:bCs/>
              </w:rPr>
              <w:t>采购人（以下简称甲方）</w:t>
            </w:r>
            <w:r>
              <w:rPr>
                <w:rFonts w:hint="default" w:ascii="Times New Roman" w:hAnsi="Times New Roman" w:eastAsia="宋体" w:cs="Times New Roman"/>
              </w:rPr>
              <w:t>：四川省人民医院</w:t>
            </w:r>
          </w:p>
          <w:p w14:paraId="2093E003">
            <w:pPr>
              <w:rPr>
                <w:rFonts w:hint="default" w:ascii="Times New Roman" w:hAnsi="Times New Roman" w:eastAsia="宋体" w:cs="Times New Roman"/>
              </w:rPr>
            </w:pPr>
            <w:r>
              <w:rPr>
                <w:rFonts w:hint="default" w:ascii="Times New Roman" w:hAnsi="Times New Roman" w:eastAsia="宋体" w:cs="Times New Roman"/>
                <w:b/>
                <w:bCs/>
              </w:rPr>
              <w:t>地址</w:t>
            </w:r>
            <w:r>
              <w:rPr>
                <w:rFonts w:hint="default" w:ascii="Times New Roman" w:hAnsi="Times New Roman" w:eastAsia="宋体" w:cs="Times New Roman"/>
              </w:rPr>
              <w:t>：四川省成都市一环路西二段32号</w:t>
            </w:r>
          </w:p>
          <w:p w14:paraId="64059433">
            <w:pPr>
              <w:rPr>
                <w:rFonts w:hint="default" w:ascii="Times New Roman" w:hAnsi="Times New Roman" w:eastAsia="宋体" w:cs="Times New Roman"/>
              </w:rPr>
            </w:pPr>
            <w:r>
              <w:rPr>
                <w:rFonts w:hint="default" w:ascii="Times New Roman" w:hAnsi="Times New Roman" w:eastAsia="宋体" w:cs="Times New Roman"/>
                <w:b/>
                <w:bCs/>
              </w:rPr>
              <w:t>项目联系人</w:t>
            </w:r>
            <w:r>
              <w:rPr>
                <w:rFonts w:hint="default" w:ascii="Times New Roman" w:hAnsi="Times New Roman" w:eastAsia="宋体" w:cs="Times New Roman"/>
              </w:rPr>
              <w:t xml:space="preserve">：*** </w:t>
            </w:r>
            <w:r>
              <w:rPr>
                <w:rFonts w:hint="default" w:ascii="Times New Roman" w:hAnsi="Times New Roman" w:eastAsia="宋体" w:cs="Times New Roman"/>
                <w:b/>
                <w:bCs/>
              </w:rPr>
              <w:t>电话</w:t>
            </w:r>
            <w:r>
              <w:rPr>
                <w:rFonts w:hint="default" w:ascii="Times New Roman" w:hAnsi="Times New Roman" w:eastAsia="宋体" w:cs="Times New Roman"/>
              </w:rPr>
              <w:t>：***</w:t>
            </w:r>
          </w:p>
        </w:tc>
        <w:tc>
          <w:tcPr>
            <w:tcW w:w="5242" w:type="dxa"/>
          </w:tcPr>
          <w:p w14:paraId="451362CF">
            <w:pPr>
              <w:rPr>
                <w:rFonts w:hint="default" w:ascii="Times New Roman" w:hAnsi="Times New Roman" w:eastAsia="宋体" w:cs="Times New Roman"/>
              </w:rPr>
            </w:pPr>
            <w:r>
              <w:rPr>
                <w:rFonts w:hint="default" w:ascii="Times New Roman" w:hAnsi="Times New Roman" w:eastAsia="宋体" w:cs="Times New Roman"/>
                <w:b/>
                <w:bCs/>
              </w:rPr>
              <w:t>供应商（以下简称乙方）</w:t>
            </w:r>
            <w:r>
              <w:rPr>
                <w:rFonts w:hint="default" w:ascii="Times New Roman" w:hAnsi="Times New Roman" w:eastAsia="宋体" w:cs="Times New Roman"/>
              </w:rPr>
              <w:t>：***</w:t>
            </w:r>
          </w:p>
          <w:p w14:paraId="13C289D3">
            <w:pPr>
              <w:rPr>
                <w:rFonts w:hint="default" w:ascii="Times New Roman" w:hAnsi="Times New Roman" w:eastAsia="宋体" w:cs="Times New Roman"/>
              </w:rPr>
            </w:pPr>
            <w:r>
              <w:rPr>
                <w:rFonts w:hint="default" w:ascii="Times New Roman" w:hAnsi="Times New Roman" w:eastAsia="宋体" w:cs="Times New Roman"/>
                <w:b/>
                <w:bCs/>
              </w:rPr>
              <w:t>地址</w:t>
            </w:r>
            <w:r>
              <w:rPr>
                <w:rFonts w:hint="default" w:ascii="Times New Roman" w:hAnsi="Times New Roman" w:eastAsia="宋体" w:cs="Times New Roman"/>
              </w:rPr>
              <w:t>：***</w:t>
            </w:r>
          </w:p>
          <w:p w14:paraId="292E2956">
            <w:pPr>
              <w:rPr>
                <w:rFonts w:hint="default" w:ascii="Times New Roman" w:hAnsi="Times New Roman" w:eastAsia="宋体" w:cs="Times New Roman"/>
              </w:rPr>
            </w:pPr>
            <w:r>
              <w:rPr>
                <w:rFonts w:hint="default" w:ascii="Times New Roman" w:hAnsi="Times New Roman" w:eastAsia="宋体" w:cs="Times New Roman"/>
                <w:b/>
                <w:bCs/>
              </w:rPr>
              <w:t>移动电话</w:t>
            </w:r>
            <w:r>
              <w:rPr>
                <w:rFonts w:hint="default" w:ascii="Times New Roman" w:hAnsi="Times New Roman" w:eastAsia="宋体" w:cs="Times New Roman"/>
              </w:rPr>
              <w:t>：***</w:t>
            </w:r>
          </w:p>
          <w:p w14:paraId="6AF49F3B">
            <w:pPr>
              <w:contextualSpacing/>
              <w:rPr>
                <w:rFonts w:hint="default" w:ascii="Times New Roman" w:hAnsi="Times New Roman" w:eastAsia="宋体" w:cs="Times New Roman"/>
              </w:rPr>
            </w:pPr>
            <w:r>
              <w:rPr>
                <w:rFonts w:hint="default" w:ascii="Times New Roman" w:hAnsi="Times New Roman" w:eastAsia="宋体" w:cs="Times New Roman"/>
                <w:b/>
                <w:bCs/>
              </w:rPr>
              <w:t>联系人</w:t>
            </w:r>
            <w:r>
              <w:rPr>
                <w:rFonts w:hint="default" w:ascii="Times New Roman" w:hAnsi="Times New Roman" w:eastAsia="宋体" w:cs="Times New Roman"/>
              </w:rPr>
              <w:t>：***</w:t>
            </w:r>
          </w:p>
        </w:tc>
      </w:tr>
    </w:tbl>
    <w:p w14:paraId="7090993C">
      <w:pPr>
        <w:contextualSpacing/>
        <w:rPr>
          <w:rFonts w:hint="default" w:ascii="Times New Roman" w:hAnsi="Times New Roman" w:eastAsia="宋体" w:cs="Times New Roman"/>
        </w:rPr>
      </w:pPr>
    </w:p>
    <w:p w14:paraId="2469C599">
      <w:pPr>
        <w:adjustRightInd w:val="0"/>
        <w:ind w:firstLine="420" w:firstLineChars="200"/>
        <w:contextualSpacing/>
        <w:jc w:val="left"/>
        <w:rPr>
          <w:rFonts w:hint="default" w:ascii="Times New Roman" w:hAnsi="Times New Roman" w:eastAsia="宋体" w:cs="Times New Roman"/>
        </w:rPr>
      </w:pPr>
      <w:r>
        <w:rPr>
          <w:rFonts w:hint="default" w:ascii="Times New Roman" w:hAnsi="Times New Roman" w:eastAsia="宋体" w:cs="Times New Roman"/>
        </w:rPr>
        <w:t>根据《中华人民共和国民法典》及甲方发布的***项目（项目编号：***）《采购文件》、乙方的《</w:t>
      </w:r>
      <w:r>
        <w:rPr>
          <w:rFonts w:ascii="Times New Roman" w:hAnsi="Times New Roman" w:eastAsia="宋体" w:cs="Times New Roman"/>
        </w:rPr>
        <w:t>响应</w:t>
      </w:r>
      <w:r>
        <w:rPr>
          <w:rFonts w:hint="default" w:ascii="Times New Roman" w:hAnsi="Times New Roman" w:eastAsia="宋体" w:cs="Times New Roman"/>
        </w:rPr>
        <w:t>文件》，甲、乙双方同意签订本合同。详细技术说明及其他有关合同项目的特定信息可由合同附件予以说明，合同附件及本项目的《采购文件》、《响应文件》等均为本合同不可分割的部分。双方同意共同遵守以下条款：</w:t>
      </w:r>
    </w:p>
    <w:p w14:paraId="5F44DA72">
      <w:pPr>
        <w:pStyle w:val="7"/>
        <w:rPr>
          <w:rFonts w:hint="default" w:ascii="Times New Roman" w:hAnsi="Times New Roman" w:eastAsia="宋体" w:cs="Times New Roman"/>
        </w:rPr>
      </w:pPr>
    </w:p>
    <w:p w14:paraId="7B6B9964">
      <w:pPr>
        <w:pStyle w:val="29"/>
        <w:numPr>
          <w:ilvl w:val="0"/>
          <w:numId w:val="13"/>
        </w:numPr>
        <w:ind w:left="0" w:firstLine="0" w:firstLineChars="0"/>
        <w:contextualSpacing/>
        <w:rPr>
          <w:rFonts w:hint="default" w:ascii="Times New Roman" w:hAnsi="Times New Roman" w:eastAsia="宋体" w:cs="Times New Roman"/>
          <w:b/>
          <w:bCs/>
          <w:color w:val="auto"/>
        </w:rPr>
      </w:pPr>
      <w:r>
        <w:rPr>
          <w:rFonts w:hint="default" w:ascii="Times New Roman" w:hAnsi="Times New Roman" w:eastAsia="宋体" w:cs="Times New Roman"/>
          <w:b/>
          <w:bCs/>
          <w:color w:val="auto"/>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14:paraId="3BA4150C">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9E885B1">
            <w:pPr>
              <w:autoSpaceDE w:val="0"/>
              <w:autoSpaceDN w:val="0"/>
              <w:contextualSpacing/>
              <w:jc w:val="center"/>
              <w:rPr>
                <w:rFonts w:hint="default" w:ascii="Times New Roman" w:hAnsi="Times New Roman" w:eastAsia="宋体" w:cs="Times New Roman"/>
                <w:b/>
                <w:bCs/>
                <w:sz w:val="18"/>
                <w:szCs w:val="24"/>
              </w:rPr>
            </w:pPr>
            <w:r>
              <w:rPr>
                <w:rFonts w:hint="default" w:ascii="Times New Roman" w:hAnsi="Times New Roman" w:eastAsia="宋体" w:cs="Times New Roman"/>
                <w:b/>
                <w:bCs/>
                <w:sz w:val="18"/>
                <w:szCs w:val="24"/>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185DB497">
            <w:pPr>
              <w:autoSpaceDE w:val="0"/>
              <w:autoSpaceDN w:val="0"/>
              <w:contextualSpacing/>
              <w:jc w:val="center"/>
              <w:rPr>
                <w:rFonts w:hint="default" w:ascii="Times New Roman" w:hAnsi="Times New Roman" w:eastAsia="宋体" w:cs="Times New Roman"/>
                <w:b/>
                <w:bCs/>
                <w:sz w:val="18"/>
                <w:szCs w:val="24"/>
              </w:rPr>
            </w:pPr>
            <w:r>
              <w:rPr>
                <w:rFonts w:ascii="Times New Roman" w:hAnsi="Times New Roman" w:eastAsia="宋体" w:cs="Times New Roman"/>
                <w:b/>
                <w:bCs/>
                <w:sz w:val="18"/>
                <w:szCs w:val="24"/>
              </w:rPr>
              <w:t>采购</w:t>
            </w:r>
            <w:r>
              <w:rPr>
                <w:rFonts w:hint="default" w:ascii="Times New Roman" w:hAnsi="Times New Roman" w:eastAsia="宋体" w:cs="Times New Roman"/>
                <w:b/>
                <w:bCs/>
                <w:sz w:val="18"/>
                <w:szCs w:val="24"/>
              </w:rPr>
              <w:t>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5DE5BDCD">
            <w:pPr>
              <w:autoSpaceDE w:val="0"/>
              <w:autoSpaceDN w:val="0"/>
              <w:contextualSpacing/>
              <w:jc w:val="center"/>
              <w:rPr>
                <w:rFonts w:hint="default" w:ascii="Times New Roman" w:hAnsi="Times New Roman" w:eastAsia="宋体" w:cs="Times New Roman"/>
                <w:b/>
                <w:bCs/>
                <w:sz w:val="18"/>
                <w:szCs w:val="24"/>
              </w:rPr>
            </w:pPr>
            <w:r>
              <w:rPr>
                <w:rFonts w:ascii="Times New Roman" w:hAnsi="Times New Roman" w:eastAsia="宋体" w:cs="Times New Roman"/>
                <w:b/>
                <w:bCs/>
                <w:sz w:val="18"/>
                <w:szCs w:val="24"/>
              </w:rPr>
              <w:t>成交</w:t>
            </w:r>
            <w:r>
              <w:rPr>
                <w:rFonts w:hint="default" w:ascii="Times New Roman" w:hAnsi="Times New Roman" w:eastAsia="宋体" w:cs="Times New Roman"/>
                <w:b/>
                <w:bCs/>
                <w:sz w:val="18"/>
                <w:szCs w:val="24"/>
              </w:rPr>
              <w:t>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51AF3D1C">
            <w:pPr>
              <w:autoSpaceDE w:val="0"/>
              <w:autoSpaceDN w:val="0"/>
              <w:contextualSpacing/>
              <w:jc w:val="center"/>
              <w:rPr>
                <w:rFonts w:hint="default" w:ascii="Times New Roman" w:hAnsi="Times New Roman" w:eastAsia="宋体" w:cs="Times New Roman"/>
                <w:b/>
                <w:bCs/>
                <w:sz w:val="18"/>
                <w:szCs w:val="24"/>
              </w:rPr>
            </w:pPr>
            <w:r>
              <w:rPr>
                <w:rFonts w:hint="default" w:ascii="Times New Roman" w:hAnsi="Times New Roman" w:eastAsia="宋体" w:cs="Times New Roman"/>
                <w:b/>
                <w:bCs/>
                <w:sz w:val="18"/>
                <w:szCs w:val="24"/>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4AC83AA1">
            <w:pPr>
              <w:autoSpaceDE w:val="0"/>
              <w:autoSpaceDN w:val="0"/>
              <w:contextualSpacing/>
              <w:jc w:val="center"/>
              <w:rPr>
                <w:rFonts w:hint="default" w:ascii="Times New Roman" w:hAnsi="Times New Roman" w:eastAsia="宋体" w:cs="Times New Roman"/>
                <w:b/>
                <w:bCs/>
                <w:sz w:val="18"/>
                <w:szCs w:val="24"/>
              </w:rPr>
            </w:pPr>
            <w:r>
              <w:rPr>
                <w:rFonts w:hint="default" w:ascii="Times New Roman" w:hAnsi="Times New Roman" w:eastAsia="宋体" w:cs="Times New Roman"/>
                <w:b/>
                <w:bCs/>
                <w:sz w:val="18"/>
                <w:szCs w:val="24"/>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7E7E1C0F">
            <w:pPr>
              <w:autoSpaceDE w:val="0"/>
              <w:autoSpaceDN w:val="0"/>
              <w:contextualSpacing/>
              <w:jc w:val="center"/>
              <w:rPr>
                <w:rFonts w:hint="default" w:ascii="Times New Roman" w:hAnsi="Times New Roman" w:eastAsia="宋体" w:cs="Times New Roman"/>
                <w:b/>
                <w:bCs/>
                <w:sz w:val="18"/>
                <w:szCs w:val="24"/>
              </w:rPr>
            </w:pPr>
            <w:r>
              <w:rPr>
                <w:rFonts w:hint="default" w:ascii="Times New Roman" w:hAnsi="Times New Roman" w:eastAsia="宋体" w:cs="Times New Roman"/>
                <w:b/>
                <w:bCs/>
                <w:sz w:val="18"/>
                <w:szCs w:val="24"/>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47076907">
            <w:pPr>
              <w:autoSpaceDE w:val="0"/>
              <w:autoSpaceDN w:val="0"/>
              <w:contextualSpacing/>
              <w:jc w:val="center"/>
              <w:rPr>
                <w:rFonts w:hint="default" w:ascii="Times New Roman" w:hAnsi="Times New Roman" w:eastAsia="宋体" w:cs="Times New Roman"/>
                <w:b/>
                <w:bCs/>
                <w:sz w:val="18"/>
                <w:szCs w:val="24"/>
              </w:rPr>
            </w:pPr>
            <w:r>
              <w:rPr>
                <w:rFonts w:hint="default" w:ascii="Times New Roman" w:hAnsi="Times New Roman" w:eastAsia="宋体" w:cs="Times New Roman"/>
                <w:b/>
                <w:bCs/>
                <w:sz w:val="18"/>
                <w:szCs w:val="24"/>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02551BDF">
            <w:pPr>
              <w:autoSpaceDE w:val="0"/>
              <w:autoSpaceDN w:val="0"/>
              <w:contextualSpacing/>
              <w:jc w:val="center"/>
              <w:rPr>
                <w:rFonts w:hint="default" w:ascii="Times New Roman" w:hAnsi="Times New Roman" w:eastAsia="宋体" w:cs="Times New Roman"/>
                <w:b/>
                <w:bCs/>
                <w:sz w:val="18"/>
                <w:szCs w:val="24"/>
              </w:rPr>
            </w:pPr>
            <w:r>
              <w:rPr>
                <w:rFonts w:hint="default" w:ascii="Times New Roman" w:hAnsi="Times New Roman" w:eastAsia="宋体" w:cs="Times New Roman"/>
                <w:b/>
                <w:bCs/>
                <w:sz w:val="18"/>
                <w:szCs w:val="24"/>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161AE3D3">
            <w:pPr>
              <w:autoSpaceDE w:val="0"/>
              <w:autoSpaceDN w:val="0"/>
              <w:contextualSpacing/>
              <w:jc w:val="center"/>
              <w:rPr>
                <w:rFonts w:hint="default" w:ascii="Times New Roman" w:hAnsi="Times New Roman" w:eastAsia="宋体" w:cs="Times New Roman"/>
                <w:b/>
                <w:bCs/>
                <w:sz w:val="18"/>
                <w:szCs w:val="24"/>
              </w:rPr>
            </w:pPr>
            <w:r>
              <w:rPr>
                <w:rFonts w:hint="default" w:ascii="Times New Roman" w:hAnsi="Times New Roman" w:eastAsia="宋体" w:cs="Times New Roman"/>
                <w:b/>
                <w:bCs/>
                <w:sz w:val="18"/>
                <w:szCs w:val="24"/>
              </w:rPr>
              <w:t>数量</w:t>
            </w:r>
          </w:p>
        </w:tc>
        <w:tc>
          <w:tcPr>
            <w:tcW w:w="437" w:type="pct"/>
            <w:tcBorders>
              <w:top w:val="single" w:color="auto" w:sz="6" w:space="0"/>
              <w:left w:val="single" w:color="auto" w:sz="6" w:space="0"/>
              <w:right w:val="single" w:color="auto" w:sz="6" w:space="0"/>
            </w:tcBorders>
            <w:vAlign w:val="center"/>
          </w:tcPr>
          <w:p w14:paraId="20A2D6C5">
            <w:pPr>
              <w:autoSpaceDE w:val="0"/>
              <w:autoSpaceDN w:val="0"/>
              <w:contextualSpacing/>
              <w:jc w:val="center"/>
              <w:rPr>
                <w:rFonts w:hint="default" w:ascii="Times New Roman" w:hAnsi="Times New Roman" w:eastAsia="宋体" w:cs="Times New Roman"/>
                <w:b/>
                <w:bCs/>
                <w:sz w:val="18"/>
                <w:szCs w:val="24"/>
              </w:rPr>
            </w:pPr>
            <w:r>
              <w:rPr>
                <w:rFonts w:hint="default" w:ascii="Times New Roman" w:hAnsi="Times New Roman" w:eastAsia="宋体" w:cs="Times New Roman"/>
                <w:b/>
                <w:bCs/>
                <w:sz w:val="18"/>
                <w:szCs w:val="24"/>
              </w:rPr>
              <w:t>单价</w:t>
            </w:r>
          </w:p>
          <w:p w14:paraId="22160821">
            <w:pPr>
              <w:autoSpaceDE w:val="0"/>
              <w:autoSpaceDN w:val="0"/>
              <w:contextualSpacing/>
              <w:jc w:val="center"/>
              <w:rPr>
                <w:rFonts w:hint="default" w:ascii="Times New Roman" w:hAnsi="Times New Roman" w:eastAsia="宋体" w:cs="Times New Roman"/>
                <w:b/>
                <w:bCs/>
                <w:sz w:val="18"/>
                <w:szCs w:val="24"/>
              </w:rPr>
            </w:pPr>
            <w:r>
              <w:rPr>
                <w:rFonts w:hint="default" w:ascii="Times New Roman" w:hAnsi="Times New Roman" w:eastAsia="宋体" w:cs="Times New Roman"/>
                <w:b/>
                <w:bCs/>
                <w:sz w:val="18"/>
                <w:szCs w:val="24"/>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4242952F">
            <w:pPr>
              <w:autoSpaceDE w:val="0"/>
              <w:autoSpaceDN w:val="0"/>
              <w:contextualSpacing/>
              <w:jc w:val="center"/>
              <w:rPr>
                <w:rFonts w:hint="default" w:ascii="Times New Roman" w:hAnsi="Times New Roman" w:eastAsia="宋体" w:cs="Times New Roman"/>
                <w:b/>
                <w:bCs/>
                <w:sz w:val="18"/>
                <w:szCs w:val="24"/>
              </w:rPr>
            </w:pPr>
            <w:r>
              <w:rPr>
                <w:rFonts w:hint="default" w:ascii="Times New Roman" w:hAnsi="Times New Roman" w:eastAsia="宋体" w:cs="Times New Roman"/>
                <w:b/>
                <w:bCs/>
                <w:sz w:val="18"/>
                <w:szCs w:val="24"/>
              </w:rPr>
              <w:t>总价</w:t>
            </w:r>
          </w:p>
          <w:p w14:paraId="0F61F296">
            <w:pPr>
              <w:autoSpaceDE w:val="0"/>
              <w:autoSpaceDN w:val="0"/>
              <w:contextualSpacing/>
              <w:jc w:val="center"/>
              <w:rPr>
                <w:rFonts w:hint="default" w:ascii="Times New Roman" w:hAnsi="Times New Roman" w:eastAsia="宋体" w:cs="Times New Roman"/>
                <w:b/>
                <w:bCs/>
                <w:sz w:val="18"/>
                <w:szCs w:val="24"/>
              </w:rPr>
            </w:pPr>
            <w:r>
              <w:rPr>
                <w:rFonts w:hint="default" w:ascii="Times New Roman" w:hAnsi="Times New Roman" w:eastAsia="宋体" w:cs="Times New Roman"/>
                <w:b/>
                <w:bCs/>
                <w:sz w:val="18"/>
                <w:szCs w:val="24"/>
              </w:rPr>
              <w:t>（万元）</w:t>
            </w:r>
          </w:p>
        </w:tc>
      </w:tr>
      <w:tr w14:paraId="45302E3D">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20C83BD0">
            <w:pPr>
              <w:autoSpaceDE w:val="0"/>
              <w:autoSpaceDN w:val="0"/>
              <w:contextualSpacing/>
              <w:jc w:val="center"/>
              <w:rPr>
                <w:rFonts w:hint="default" w:ascii="Times New Roman" w:hAnsi="Times New Roman" w:eastAsia="宋体" w:cs="Times New Roman"/>
                <w:sz w:val="18"/>
                <w:szCs w:val="24"/>
              </w:rPr>
            </w:pPr>
            <w:r>
              <w:rPr>
                <w:rFonts w:hint="default" w:ascii="Times New Roman" w:hAnsi="Times New Roman" w:eastAsia="宋体" w:cs="Times New Roman"/>
                <w:sz w:val="18"/>
                <w:szCs w:val="24"/>
              </w:rPr>
              <w:t>1</w:t>
            </w:r>
          </w:p>
        </w:tc>
        <w:tc>
          <w:tcPr>
            <w:tcW w:w="750" w:type="pct"/>
            <w:tcBorders>
              <w:top w:val="single" w:color="auto" w:sz="6" w:space="0"/>
              <w:left w:val="single" w:color="auto" w:sz="6" w:space="0"/>
              <w:bottom w:val="single" w:color="auto" w:sz="6" w:space="0"/>
              <w:right w:val="single" w:color="auto" w:sz="4" w:space="0"/>
            </w:tcBorders>
            <w:vAlign w:val="center"/>
          </w:tcPr>
          <w:p w14:paraId="3CAB54DB">
            <w:pPr>
              <w:autoSpaceDE w:val="0"/>
              <w:autoSpaceDN w:val="0"/>
              <w:contextualSpacing/>
              <w:jc w:val="left"/>
              <w:rPr>
                <w:rFonts w:hint="default" w:ascii="Times New Roman" w:hAnsi="Times New Roman" w:eastAsia="宋体" w:cs="Times New Roman"/>
                <w:sz w:val="18"/>
                <w:szCs w:val="24"/>
              </w:rPr>
            </w:pPr>
          </w:p>
        </w:tc>
        <w:tc>
          <w:tcPr>
            <w:tcW w:w="750" w:type="pct"/>
            <w:tcBorders>
              <w:top w:val="single" w:color="auto" w:sz="6" w:space="0"/>
              <w:left w:val="single" w:color="auto" w:sz="6" w:space="0"/>
              <w:bottom w:val="single" w:color="auto" w:sz="6" w:space="0"/>
              <w:right w:val="single" w:color="auto" w:sz="4" w:space="0"/>
            </w:tcBorders>
            <w:vAlign w:val="center"/>
          </w:tcPr>
          <w:p w14:paraId="13E33B8A">
            <w:pPr>
              <w:autoSpaceDE w:val="0"/>
              <w:autoSpaceDN w:val="0"/>
              <w:contextualSpacing/>
              <w:jc w:val="left"/>
              <w:rPr>
                <w:rFonts w:hint="default" w:ascii="Times New Roman" w:hAnsi="Times New Roman" w:eastAsia="宋体" w:cs="Times New Roman"/>
                <w:sz w:val="18"/>
                <w:szCs w:val="24"/>
              </w:rPr>
            </w:pPr>
          </w:p>
        </w:tc>
        <w:tc>
          <w:tcPr>
            <w:tcW w:w="562" w:type="pct"/>
            <w:tcBorders>
              <w:top w:val="single" w:color="auto" w:sz="6" w:space="0"/>
              <w:left w:val="single" w:color="auto" w:sz="4" w:space="0"/>
              <w:bottom w:val="single" w:color="auto" w:sz="6" w:space="0"/>
              <w:right w:val="single" w:color="auto" w:sz="4" w:space="0"/>
            </w:tcBorders>
            <w:vAlign w:val="center"/>
          </w:tcPr>
          <w:p w14:paraId="0F6FD8C7">
            <w:pPr>
              <w:autoSpaceDE w:val="0"/>
              <w:autoSpaceDN w:val="0"/>
              <w:contextualSpacing/>
              <w:jc w:val="center"/>
              <w:rPr>
                <w:rFonts w:hint="default" w:ascii="Times New Roman" w:hAnsi="Times New Roman" w:eastAsia="宋体" w:cs="Times New Roman"/>
                <w:sz w:val="18"/>
                <w:szCs w:val="24"/>
              </w:rPr>
            </w:pPr>
          </w:p>
        </w:tc>
        <w:tc>
          <w:tcPr>
            <w:tcW w:w="562" w:type="pct"/>
            <w:tcBorders>
              <w:top w:val="single" w:color="auto" w:sz="6" w:space="0"/>
              <w:left w:val="single" w:color="auto" w:sz="4" w:space="0"/>
              <w:bottom w:val="single" w:color="auto" w:sz="6" w:space="0"/>
              <w:right w:val="single" w:color="auto" w:sz="4" w:space="0"/>
            </w:tcBorders>
            <w:vAlign w:val="center"/>
          </w:tcPr>
          <w:p w14:paraId="50DC143F">
            <w:pPr>
              <w:autoSpaceDE w:val="0"/>
              <w:autoSpaceDN w:val="0"/>
              <w:contextualSpacing/>
              <w:jc w:val="left"/>
              <w:rPr>
                <w:rFonts w:hint="default" w:ascii="Times New Roman" w:hAnsi="Times New Roman" w:eastAsia="宋体" w:cs="Times New Roman"/>
                <w:sz w:val="18"/>
                <w:szCs w:val="24"/>
              </w:rPr>
            </w:pPr>
          </w:p>
        </w:tc>
        <w:tc>
          <w:tcPr>
            <w:tcW w:w="312" w:type="pct"/>
            <w:tcBorders>
              <w:top w:val="single" w:color="auto" w:sz="6" w:space="0"/>
              <w:left w:val="single" w:color="auto" w:sz="4" w:space="0"/>
              <w:bottom w:val="single" w:color="auto" w:sz="6" w:space="0"/>
              <w:right w:val="single" w:color="auto" w:sz="4" w:space="0"/>
            </w:tcBorders>
            <w:vAlign w:val="center"/>
          </w:tcPr>
          <w:p w14:paraId="26019971">
            <w:pPr>
              <w:autoSpaceDE w:val="0"/>
              <w:autoSpaceDN w:val="0"/>
              <w:contextualSpacing/>
              <w:jc w:val="center"/>
              <w:rPr>
                <w:rFonts w:hint="default" w:ascii="Times New Roman" w:hAnsi="Times New Roman" w:eastAsia="宋体" w:cs="Times New Roman"/>
                <w:sz w:val="18"/>
                <w:szCs w:val="24"/>
              </w:rPr>
            </w:pPr>
          </w:p>
        </w:tc>
        <w:tc>
          <w:tcPr>
            <w:tcW w:w="437" w:type="pct"/>
            <w:tcBorders>
              <w:top w:val="single" w:color="auto" w:sz="6" w:space="0"/>
              <w:left w:val="single" w:color="auto" w:sz="4" w:space="0"/>
              <w:bottom w:val="single" w:color="auto" w:sz="6" w:space="0"/>
              <w:right w:val="single" w:color="auto" w:sz="6" w:space="0"/>
            </w:tcBorders>
            <w:vAlign w:val="center"/>
          </w:tcPr>
          <w:p w14:paraId="266854C0">
            <w:pPr>
              <w:autoSpaceDE w:val="0"/>
              <w:autoSpaceDN w:val="0"/>
              <w:contextualSpacing/>
              <w:jc w:val="center"/>
              <w:rPr>
                <w:rFonts w:hint="default" w:ascii="Times New Roman" w:hAnsi="Times New Roman" w:eastAsia="宋体" w:cs="Times New Roman"/>
                <w:sz w:val="18"/>
                <w:szCs w:val="24"/>
              </w:rPr>
            </w:pPr>
          </w:p>
        </w:tc>
        <w:tc>
          <w:tcPr>
            <w:tcW w:w="249" w:type="pct"/>
            <w:tcBorders>
              <w:top w:val="single" w:color="auto" w:sz="6" w:space="0"/>
              <w:left w:val="single" w:color="auto" w:sz="6" w:space="0"/>
              <w:bottom w:val="single" w:color="auto" w:sz="6" w:space="0"/>
              <w:right w:val="single" w:color="auto" w:sz="6" w:space="0"/>
            </w:tcBorders>
            <w:vAlign w:val="center"/>
          </w:tcPr>
          <w:p w14:paraId="0B881548">
            <w:pPr>
              <w:autoSpaceDE w:val="0"/>
              <w:autoSpaceDN w:val="0"/>
              <w:contextualSpacing/>
              <w:jc w:val="center"/>
              <w:rPr>
                <w:rFonts w:hint="default" w:ascii="Times New Roman" w:hAnsi="Times New Roman" w:eastAsia="宋体" w:cs="Times New Roman"/>
                <w:sz w:val="18"/>
                <w:szCs w:val="24"/>
              </w:rPr>
            </w:pPr>
          </w:p>
        </w:tc>
        <w:tc>
          <w:tcPr>
            <w:tcW w:w="249" w:type="pct"/>
            <w:tcBorders>
              <w:top w:val="single" w:color="auto" w:sz="6" w:space="0"/>
              <w:left w:val="single" w:color="auto" w:sz="6" w:space="0"/>
              <w:bottom w:val="single" w:color="auto" w:sz="6" w:space="0"/>
              <w:right w:val="single" w:color="auto" w:sz="6" w:space="0"/>
            </w:tcBorders>
            <w:vAlign w:val="center"/>
          </w:tcPr>
          <w:p w14:paraId="7EA5223A">
            <w:pPr>
              <w:autoSpaceDE w:val="0"/>
              <w:autoSpaceDN w:val="0"/>
              <w:contextualSpacing/>
              <w:jc w:val="center"/>
              <w:rPr>
                <w:rFonts w:hint="default" w:ascii="Times New Roman" w:hAnsi="Times New Roman" w:eastAsia="宋体" w:cs="Times New Roman"/>
                <w:sz w:val="18"/>
                <w:szCs w:val="24"/>
              </w:rPr>
            </w:pPr>
          </w:p>
        </w:tc>
        <w:tc>
          <w:tcPr>
            <w:tcW w:w="437" w:type="pct"/>
            <w:tcBorders>
              <w:top w:val="single" w:color="auto" w:sz="6" w:space="0"/>
              <w:left w:val="single" w:color="auto" w:sz="6" w:space="0"/>
              <w:bottom w:val="single" w:color="auto" w:sz="6" w:space="0"/>
              <w:right w:val="single" w:color="auto" w:sz="6" w:space="0"/>
            </w:tcBorders>
            <w:vAlign w:val="center"/>
          </w:tcPr>
          <w:p w14:paraId="201EF851">
            <w:pPr>
              <w:autoSpaceDE w:val="0"/>
              <w:autoSpaceDN w:val="0"/>
              <w:contextualSpacing/>
              <w:jc w:val="center"/>
              <w:rPr>
                <w:rFonts w:hint="default" w:ascii="Times New Roman" w:hAnsi="Times New Roman" w:eastAsia="宋体" w:cs="Times New Roman"/>
                <w:sz w:val="18"/>
                <w:szCs w:val="24"/>
              </w:rPr>
            </w:pPr>
          </w:p>
        </w:tc>
        <w:tc>
          <w:tcPr>
            <w:tcW w:w="436" w:type="pct"/>
            <w:tcBorders>
              <w:top w:val="single" w:color="auto" w:sz="6" w:space="0"/>
              <w:left w:val="single" w:color="auto" w:sz="6" w:space="0"/>
              <w:bottom w:val="single" w:color="auto" w:sz="6" w:space="0"/>
              <w:right w:val="single" w:color="auto" w:sz="6" w:space="0"/>
            </w:tcBorders>
            <w:vAlign w:val="center"/>
          </w:tcPr>
          <w:p w14:paraId="5F290EF8">
            <w:pPr>
              <w:autoSpaceDE w:val="0"/>
              <w:autoSpaceDN w:val="0"/>
              <w:contextualSpacing/>
              <w:jc w:val="center"/>
              <w:rPr>
                <w:rFonts w:hint="default" w:ascii="Times New Roman" w:hAnsi="Times New Roman" w:eastAsia="宋体" w:cs="Times New Roman"/>
                <w:sz w:val="18"/>
                <w:szCs w:val="24"/>
              </w:rPr>
            </w:pPr>
          </w:p>
        </w:tc>
      </w:tr>
    </w:tbl>
    <w:p w14:paraId="6C9974E5">
      <w:pPr>
        <w:contextualSpacing/>
        <w:rPr>
          <w:rFonts w:hint="default" w:ascii="Times New Roman" w:hAnsi="Times New Roman" w:eastAsia="宋体" w:cs="Times New Roman"/>
          <w:bCs/>
        </w:rPr>
      </w:pPr>
      <w:r>
        <w:rPr>
          <w:rFonts w:hint="default" w:ascii="Times New Roman" w:hAnsi="Times New Roman" w:eastAsia="宋体" w:cs="Times New Roman"/>
          <w:bCs/>
        </w:rPr>
        <w:t>以上设备配置详见附件：《配置清单》</w:t>
      </w:r>
    </w:p>
    <w:p w14:paraId="0FFDC174">
      <w:pPr>
        <w:pStyle w:val="29"/>
        <w:numPr>
          <w:ilvl w:val="0"/>
          <w:numId w:val="13"/>
        </w:numPr>
        <w:ind w:left="0" w:firstLine="0" w:firstLineChars="0"/>
        <w:contextualSpacing/>
        <w:rPr>
          <w:rFonts w:hint="default" w:ascii="Times New Roman" w:hAnsi="Times New Roman" w:eastAsia="宋体" w:cs="Times New Roman"/>
          <w:b/>
          <w:bCs/>
          <w:color w:val="auto"/>
        </w:rPr>
      </w:pPr>
      <w:r>
        <w:rPr>
          <w:rFonts w:hint="default" w:ascii="Times New Roman" w:hAnsi="Times New Roman" w:eastAsia="宋体" w:cs="Times New Roman"/>
          <w:b/>
          <w:bCs/>
          <w:color w:val="auto"/>
        </w:rPr>
        <w:t>合同总价</w:t>
      </w:r>
    </w:p>
    <w:p w14:paraId="0192EBBA">
      <w:pPr>
        <w:ind w:firstLine="480"/>
        <w:contextualSpacing/>
        <w:rPr>
          <w:rFonts w:hint="default" w:ascii="Times New Roman" w:hAnsi="Times New Roman" w:eastAsia="宋体" w:cs="Times New Roman"/>
        </w:rPr>
      </w:pPr>
      <w:r>
        <w:rPr>
          <w:rFonts w:hint="default" w:ascii="Times New Roman" w:hAnsi="Times New Roman" w:eastAsia="宋体" w:cs="Times New Roman"/>
        </w:rPr>
        <w:t>本合同总价（含税）为人民币 *** 元，大写人民币 *** 圆整；该合</w:t>
      </w:r>
      <w:r>
        <w:rPr>
          <w:rFonts w:ascii="Times New Roman" w:hAnsi="Times New Roman" w:eastAsia="宋体" w:cs="Times New Roman"/>
        </w:rPr>
        <w:t>同</w:t>
      </w:r>
      <w:r>
        <w:rPr>
          <w:rFonts w:hint="default" w:ascii="Times New Roman" w:hAnsi="Times New Roman" w:eastAsia="宋体" w:cs="Times New Roman"/>
        </w:rPr>
        <w:t>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1AB41DCE">
      <w:pPr>
        <w:pStyle w:val="29"/>
        <w:numPr>
          <w:ilvl w:val="0"/>
          <w:numId w:val="13"/>
        </w:numPr>
        <w:ind w:left="0" w:firstLine="0" w:firstLineChars="0"/>
        <w:contextualSpacing/>
        <w:rPr>
          <w:rFonts w:hint="default" w:ascii="Times New Roman" w:hAnsi="Times New Roman" w:eastAsia="宋体" w:cs="Times New Roman"/>
          <w:b/>
          <w:bCs/>
          <w:color w:val="auto"/>
        </w:rPr>
      </w:pPr>
      <w:r>
        <w:rPr>
          <w:rFonts w:hint="default" w:ascii="Times New Roman" w:hAnsi="Times New Roman" w:eastAsia="宋体" w:cs="Times New Roman"/>
          <w:b/>
          <w:bCs/>
          <w:color w:val="auto"/>
        </w:rPr>
        <w:t>质量要求</w:t>
      </w:r>
    </w:p>
    <w:p w14:paraId="0AE8194B">
      <w:pPr>
        <w:pStyle w:val="29"/>
        <w:numPr>
          <w:ilvl w:val="0"/>
          <w:numId w:val="14"/>
        </w:numPr>
        <w:ind w:left="0" w:firstLine="0" w:firstLineChars="0"/>
        <w:rPr>
          <w:rFonts w:hint="default" w:ascii="Times New Roman" w:hAnsi="Times New Roman" w:eastAsia="宋体" w:cs="Times New Roman"/>
        </w:rPr>
      </w:pPr>
      <w:r>
        <w:rPr>
          <w:rFonts w:hint="default" w:ascii="Times New Roman" w:hAnsi="Times New Roman" w:eastAsia="宋体" w:cs="Times New Roman"/>
        </w:rPr>
        <w:t>乙方须保证向甲方提供的设备（含零部件、配件等）是完整、全新的，并在性能、质量和设计方面满足安全、可靠和高效运行与方便维护的全部要求。</w:t>
      </w:r>
    </w:p>
    <w:p w14:paraId="051F013B">
      <w:pPr>
        <w:pStyle w:val="29"/>
        <w:numPr>
          <w:ilvl w:val="0"/>
          <w:numId w:val="14"/>
        </w:numPr>
        <w:ind w:left="0" w:firstLine="0" w:firstLineChars="0"/>
        <w:rPr>
          <w:rFonts w:hint="default" w:ascii="Times New Roman" w:hAnsi="Times New Roman" w:eastAsia="宋体" w:cs="Times New Roman"/>
        </w:rPr>
      </w:pPr>
      <w:r>
        <w:rPr>
          <w:rFonts w:hint="default" w:ascii="Times New Roman" w:hAnsi="Times New Roman" w:eastAsia="宋体" w:cs="Times New Roman"/>
        </w:rPr>
        <w:t>设备必须符合或优于国家（行业）标准，以及本项目采购文件的质量要求和技术指标与出厂标准。</w:t>
      </w:r>
    </w:p>
    <w:p w14:paraId="117EE3A4">
      <w:pPr>
        <w:pStyle w:val="29"/>
        <w:numPr>
          <w:ilvl w:val="0"/>
          <w:numId w:val="14"/>
        </w:numPr>
        <w:ind w:left="0" w:firstLine="0" w:firstLineChars="0"/>
        <w:rPr>
          <w:rFonts w:hint="default" w:ascii="Times New Roman" w:hAnsi="Times New Roman" w:eastAsia="宋体" w:cs="Times New Roman"/>
        </w:rPr>
      </w:pPr>
      <w:r>
        <w:rPr>
          <w:rFonts w:hint="default" w:ascii="Times New Roman" w:hAnsi="Times New Roman" w:eastAsia="宋体" w:cs="Times New Roman"/>
        </w:rPr>
        <w:t>设备制造质量出现问题，乙方应负责按照第十条承担责任，费用由乙方负担。</w:t>
      </w:r>
    </w:p>
    <w:p w14:paraId="4BEFCEB0">
      <w:pPr>
        <w:pStyle w:val="29"/>
        <w:numPr>
          <w:ilvl w:val="0"/>
          <w:numId w:val="14"/>
        </w:numPr>
        <w:ind w:left="0" w:firstLine="0" w:firstLineChars="0"/>
        <w:rPr>
          <w:rFonts w:hint="default" w:ascii="Times New Roman" w:hAnsi="Times New Roman" w:eastAsia="宋体" w:cs="Times New Roman"/>
        </w:rPr>
      </w:pPr>
      <w:r>
        <w:rPr>
          <w:rFonts w:hint="default" w:ascii="Times New Roman" w:hAnsi="Times New Roman" w:eastAsia="宋体" w:cs="Times New Roman"/>
        </w:rPr>
        <w:t>如因设备质量问题导致甲方无法正常使用或影响使用效果，由此与患者发生纠纷而导致甲方赔偿，乙方对此承担全部责任。</w:t>
      </w:r>
    </w:p>
    <w:p w14:paraId="27E2EF98">
      <w:pPr>
        <w:pStyle w:val="29"/>
        <w:numPr>
          <w:ilvl w:val="0"/>
          <w:numId w:val="14"/>
        </w:numPr>
        <w:ind w:left="0" w:firstLine="0" w:firstLineChars="0"/>
        <w:rPr>
          <w:rFonts w:hint="default" w:ascii="Times New Roman" w:hAnsi="Times New Roman" w:eastAsia="宋体" w:cs="Times New Roman"/>
        </w:rPr>
      </w:pPr>
      <w:r>
        <w:rPr>
          <w:rFonts w:hint="default" w:ascii="Times New Roman" w:hAnsi="Times New Roman" w:eastAsia="宋体" w:cs="Times New Roman"/>
        </w:rPr>
        <w:t>甲方人员参与合同设备开箱、调试等行为均不免除乙方及厂家对合同设备质量所应负责任。</w:t>
      </w:r>
    </w:p>
    <w:p w14:paraId="480E6EE3">
      <w:pPr>
        <w:pStyle w:val="29"/>
        <w:numPr>
          <w:ilvl w:val="0"/>
          <w:numId w:val="14"/>
        </w:numPr>
        <w:ind w:left="0" w:firstLine="0" w:firstLineChars="0"/>
        <w:rPr>
          <w:rFonts w:hint="default" w:ascii="Times New Roman" w:hAnsi="Times New Roman" w:eastAsia="宋体" w:cs="Times New Roman"/>
        </w:rPr>
      </w:pPr>
      <w:r>
        <w:rPr>
          <w:rFonts w:hint="default" w:ascii="Times New Roman" w:hAnsi="Times New Roman" w:eastAsia="宋体" w:cs="Times New Roman"/>
        </w:rPr>
        <w:t>本合同采购的设备涉及成品软件的，乙方应保证以下内容（本合同另有约定除外）：</w:t>
      </w:r>
    </w:p>
    <w:p w14:paraId="6CC0DE0B">
      <w:pPr>
        <w:pStyle w:val="29"/>
        <w:numPr>
          <w:ilvl w:val="0"/>
          <w:numId w:val="15"/>
        </w:numPr>
        <w:ind w:left="525" w:hanging="525" w:hangingChars="250"/>
        <w:rPr>
          <w:rFonts w:hint="default" w:ascii="Times New Roman" w:hAnsi="Times New Roman" w:eastAsia="宋体" w:cs="Times New Roman"/>
        </w:rPr>
      </w:pPr>
      <w:r>
        <w:rPr>
          <w:rFonts w:hint="default" w:ascii="Times New Roman" w:hAnsi="Times New Roman" w:eastAsia="宋体" w:cs="Times New Roman"/>
        </w:rPr>
        <w:t>本合同中提供给甲方的软件产品是其产品原厂发布的最新版本。</w:t>
      </w:r>
    </w:p>
    <w:p w14:paraId="3E133532">
      <w:pPr>
        <w:pStyle w:val="29"/>
        <w:numPr>
          <w:ilvl w:val="0"/>
          <w:numId w:val="15"/>
        </w:numPr>
        <w:ind w:left="525" w:hanging="525" w:hangingChars="250"/>
        <w:rPr>
          <w:rFonts w:hint="default" w:ascii="Times New Roman" w:hAnsi="Times New Roman" w:eastAsia="宋体" w:cs="Times New Roman"/>
        </w:rPr>
      </w:pPr>
      <w:r>
        <w:rPr>
          <w:rFonts w:hint="default" w:ascii="Times New Roman" w:hAnsi="Times New Roman" w:eastAsia="宋体" w:cs="Times New Roman"/>
        </w:rPr>
        <w:t>负责软件功能的升级、维护和文档更新，不再收取任何费用。</w:t>
      </w:r>
    </w:p>
    <w:p w14:paraId="01EC99E8">
      <w:pPr>
        <w:pStyle w:val="29"/>
        <w:numPr>
          <w:ilvl w:val="0"/>
          <w:numId w:val="15"/>
        </w:numPr>
        <w:ind w:left="525" w:hanging="525" w:hangingChars="250"/>
        <w:rPr>
          <w:rFonts w:hint="default" w:ascii="Times New Roman" w:hAnsi="Times New Roman" w:eastAsia="宋体" w:cs="Times New Roman"/>
        </w:rPr>
      </w:pPr>
      <w:r>
        <w:rPr>
          <w:rFonts w:hint="default" w:ascii="Times New Roman" w:hAnsi="Times New Roman" w:eastAsia="宋体" w:cs="Times New Roman"/>
        </w:rPr>
        <w:t>本合同中提供给甲方的软件产品不存在定期密码输入等使用和功能上的限制。</w:t>
      </w:r>
    </w:p>
    <w:p w14:paraId="6CD90B7B">
      <w:pPr>
        <w:pStyle w:val="29"/>
        <w:numPr>
          <w:ilvl w:val="0"/>
          <w:numId w:val="15"/>
        </w:numPr>
        <w:ind w:left="525" w:hanging="525" w:hangingChars="250"/>
        <w:rPr>
          <w:rFonts w:hint="default" w:ascii="Times New Roman" w:hAnsi="Times New Roman" w:eastAsia="宋体" w:cs="Times New Roman"/>
        </w:rPr>
      </w:pPr>
      <w:r>
        <w:rPr>
          <w:rFonts w:hint="default" w:ascii="Times New Roman" w:hAnsi="Times New Roman" w:eastAsia="宋体" w:cs="Times New Roman"/>
        </w:rPr>
        <w:t>本合同中提供给甲方的软件产品不得隐含任何恶意功能，包括但不限于病毒、蠕虫和特洛伊木马等程序；在未获甲方授权的情况下，不得通过软件收集和扩散任何甲方及其相关联单位的信息。</w:t>
      </w:r>
    </w:p>
    <w:p w14:paraId="5D9A6259">
      <w:pPr>
        <w:pStyle w:val="29"/>
        <w:numPr>
          <w:ilvl w:val="0"/>
          <w:numId w:val="15"/>
        </w:numPr>
        <w:ind w:left="525" w:hanging="525" w:hangingChars="250"/>
        <w:rPr>
          <w:rFonts w:hint="default" w:ascii="Times New Roman" w:hAnsi="Times New Roman" w:eastAsia="宋体" w:cs="Times New Roman"/>
        </w:rPr>
      </w:pPr>
      <w:r>
        <w:rPr>
          <w:rFonts w:hint="default" w:ascii="Times New Roman" w:hAnsi="Times New Roman" w:eastAsia="宋体" w:cs="Times New Roman"/>
        </w:rPr>
        <w:t>本合同中提供给甲方的软件产品需要严格遵守相关网络信息安全规定。</w:t>
      </w:r>
    </w:p>
    <w:p w14:paraId="5F0F02EC">
      <w:pPr>
        <w:pStyle w:val="29"/>
        <w:numPr>
          <w:ilvl w:val="0"/>
          <w:numId w:val="15"/>
        </w:numPr>
        <w:ind w:left="525" w:hanging="525" w:hangingChars="250"/>
        <w:rPr>
          <w:rFonts w:hint="default" w:ascii="Times New Roman" w:hAnsi="Times New Roman" w:eastAsia="宋体" w:cs="Times New Roman"/>
        </w:rPr>
      </w:pPr>
      <w:r>
        <w:rPr>
          <w:rFonts w:hint="default" w:ascii="Times New Roman" w:hAnsi="Times New Roman" w:eastAsia="宋体" w:cs="Times New Roman"/>
        </w:rPr>
        <w:t>若因乙方操作不当导致本合同中提供给甲方的软件产品及相关系统出现故障或数据遗失等情况，乙方应负责调试软件至正常使用状态并恢复数据，因此造成甲方损失的，乙方须承担相应的赔偿责任。</w:t>
      </w:r>
    </w:p>
    <w:p w14:paraId="40758F11">
      <w:pPr>
        <w:pStyle w:val="29"/>
        <w:numPr>
          <w:ilvl w:val="0"/>
          <w:numId w:val="13"/>
        </w:numPr>
        <w:ind w:left="0" w:firstLine="0" w:firstLineChars="0"/>
        <w:contextualSpacing/>
        <w:rPr>
          <w:rFonts w:hint="default" w:ascii="Times New Roman" w:hAnsi="Times New Roman" w:eastAsia="宋体" w:cs="Times New Roman"/>
          <w:b/>
          <w:bCs/>
          <w:color w:val="auto"/>
        </w:rPr>
      </w:pPr>
      <w:r>
        <w:rPr>
          <w:rFonts w:hint="default" w:ascii="Times New Roman" w:hAnsi="Times New Roman" w:eastAsia="宋体" w:cs="Times New Roman"/>
          <w:b/>
          <w:bCs/>
          <w:color w:val="auto"/>
        </w:rPr>
        <w:t>交付</w:t>
      </w:r>
    </w:p>
    <w:p w14:paraId="089FF977">
      <w:pPr>
        <w:pStyle w:val="29"/>
        <w:rPr>
          <w:rFonts w:hint="default" w:ascii="Times New Roman" w:hAnsi="Times New Roman" w:eastAsia="宋体" w:cs="Times New Roman"/>
        </w:rPr>
      </w:pPr>
      <w:r>
        <w:rPr>
          <w:rFonts w:ascii="Times New Roman" w:hAnsi="Times New Roman" w:eastAsia="宋体" w:cs="Times New Roman"/>
        </w:rPr>
        <w:t>本</w:t>
      </w:r>
      <w:r>
        <w:rPr>
          <w:rFonts w:hint="default" w:ascii="Times New Roman" w:hAnsi="Times New Roman" w:eastAsia="宋体" w:cs="Times New Roman"/>
        </w:rPr>
        <w:t>合同签订</w:t>
      </w:r>
      <w:r>
        <w:rPr>
          <w:rFonts w:ascii="Times New Roman" w:hAnsi="Times New Roman" w:eastAsia="宋体" w:cs="Times New Roman"/>
        </w:rPr>
        <w:t>生效</w:t>
      </w:r>
      <w:r>
        <w:rPr>
          <w:rFonts w:hint="default" w:ascii="Times New Roman" w:hAnsi="Times New Roman" w:eastAsia="宋体" w:cs="Times New Roman"/>
        </w:rPr>
        <w:t>后</w:t>
      </w:r>
      <w:r>
        <w:rPr>
          <w:rFonts w:hint="default" w:ascii="Times New Roman" w:hAnsi="Times New Roman" w:eastAsia="宋体" w:cs="Times New Roman"/>
          <w:u w:val="single"/>
        </w:rPr>
        <w:t>***</w:t>
      </w:r>
      <w:r>
        <w:rPr>
          <w:rFonts w:hint="default" w:ascii="Times New Roman" w:hAnsi="Times New Roman" w:eastAsia="宋体" w:cs="Times New Roman"/>
        </w:rPr>
        <w:t>日内，供应商须将所有设备及相关货物运抵交付地点，完成安装、调试及试运行后，向采购人进行交付</w:t>
      </w:r>
      <w:r>
        <w:rPr>
          <w:rFonts w:ascii="Times New Roman" w:hAnsi="Times New Roman" w:eastAsia="宋体" w:cs="Times New Roman"/>
        </w:rPr>
        <w:t>。</w:t>
      </w:r>
      <w:r>
        <w:rPr>
          <w:rFonts w:hint="default" w:ascii="Times New Roman" w:hAnsi="Times New Roman" w:eastAsia="宋体" w:cs="Times New Roman"/>
        </w:rPr>
        <w:t>如安装工作涉及隐蔽部件安装的，应在隐蔽性安装前通知甲方到场清点。设备验收合格前，毁损灭失的风险由乙方承担。</w:t>
      </w:r>
    </w:p>
    <w:p w14:paraId="26DDD400">
      <w:pPr>
        <w:pStyle w:val="29"/>
        <w:numPr>
          <w:ilvl w:val="0"/>
          <w:numId w:val="13"/>
        </w:numPr>
        <w:ind w:left="0" w:firstLine="0" w:firstLineChars="0"/>
        <w:contextualSpacing/>
        <w:rPr>
          <w:rFonts w:hint="default" w:ascii="Times New Roman" w:hAnsi="Times New Roman" w:eastAsia="宋体" w:cs="Times New Roman"/>
          <w:b/>
          <w:bCs/>
          <w:color w:val="auto"/>
        </w:rPr>
      </w:pPr>
      <w:r>
        <w:rPr>
          <w:rFonts w:hint="default" w:ascii="Times New Roman" w:hAnsi="Times New Roman" w:eastAsia="宋体" w:cs="Times New Roman"/>
          <w:b/>
          <w:bCs/>
          <w:color w:val="auto"/>
        </w:rPr>
        <w:t>验收</w:t>
      </w:r>
    </w:p>
    <w:p w14:paraId="271AC62A">
      <w:pPr>
        <w:pStyle w:val="29"/>
        <w:numPr>
          <w:ilvl w:val="0"/>
          <w:numId w:val="16"/>
        </w:numPr>
        <w:ind w:left="0" w:firstLine="0" w:firstLineChars="0"/>
        <w:contextualSpacing/>
        <w:rPr>
          <w:rFonts w:hint="default" w:ascii="Times New Roman" w:hAnsi="Times New Roman" w:eastAsia="宋体" w:cs="Times New Roman"/>
        </w:rPr>
      </w:pPr>
      <w:r>
        <w:rPr>
          <w:rFonts w:hint="default" w:ascii="Times New Roman" w:hAnsi="Times New Roman" w:eastAsia="宋体" w:cs="Times New Roman"/>
        </w:rPr>
        <w:t>甲、乙双方确定，按照本合同约定的验收方案对乙方交付的设备进行验收。</w:t>
      </w:r>
    </w:p>
    <w:p w14:paraId="4930FBA5">
      <w:pPr>
        <w:pStyle w:val="29"/>
        <w:numPr>
          <w:ilvl w:val="0"/>
          <w:numId w:val="16"/>
        </w:numPr>
        <w:ind w:left="0" w:firstLine="0" w:firstLineChars="0"/>
        <w:contextualSpacing/>
        <w:rPr>
          <w:rFonts w:hint="default" w:ascii="Times New Roman" w:hAnsi="Times New Roman" w:eastAsia="宋体" w:cs="Times New Roman"/>
        </w:rPr>
      </w:pPr>
      <w:r>
        <w:rPr>
          <w:rFonts w:hint="default" w:ascii="Times New Roman" w:hAnsi="Times New Roman" w:eastAsia="宋体" w:cs="Times New Roman"/>
        </w:rPr>
        <w:t>验收方案：</w:t>
      </w:r>
    </w:p>
    <w:p w14:paraId="3BCFB476">
      <w:pPr>
        <w:pStyle w:val="29"/>
        <w:numPr>
          <w:ilvl w:val="0"/>
          <w:numId w:val="17"/>
        </w:numPr>
        <w:ind w:left="525" w:hanging="525" w:hangingChars="250"/>
        <w:contextualSpacing/>
        <w:rPr>
          <w:rFonts w:hint="default" w:ascii="Times New Roman" w:hAnsi="Times New Roman" w:eastAsia="宋体" w:cs="Times New Roman"/>
        </w:rPr>
      </w:pPr>
      <w:r>
        <w:rPr>
          <w:rFonts w:ascii="Times New Roman" w:hAnsi="Times New Roman" w:eastAsia="宋体" w:cs="Times New Roman"/>
        </w:rPr>
        <w:t>验收主体：甲方</w:t>
      </w:r>
    </w:p>
    <w:p w14:paraId="13F1C0E4">
      <w:pPr>
        <w:pStyle w:val="29"/>
        <w:numPr>
          <w:ilvl w:val="0"/>
          <w:numId w:val="17"/>
        </w:numPr>
        <w:ind w:left="525" w:hanging="525" w:hangingChars="250"/>
        <w:contextualSpacing/>
        <w:rPr>
          <w:rFonts w:hint="default" w:ascii="Times New Roman" w:hAnsi="Times New Roman" w:eastAsia="宋体" w:cs="Times New Roman"/>
        </w:rPr>
      </w:pPr>
      <w:r>
        <w:rPr>
          <w:rFonts w:ascii="Times New Roman" w:hAnsi="Times New Roman" w:eastAsia="宋体" w:cs="Times New Roman"/>
        </w:rPr>
        <w:t>验收组织方式：自行验收</w:t>
      </w:r>
    </w:p>
    <w:p w14:paraId="6143B4BA">
      <w:pPr>
        <w:pStyle w:val="29"/>
        <w:numPr>
          <w:ilvl w:val="0"/>
          <w:numId w:val="17"/>
        </w:numPr>
        <w:ind w:left="525" w:hanging="525" w:hangingChars="250"/>
        <w:contextualSpacing/>
        <w:rPr>
          <w:rFonts w:hint="default" w:ascii="Times New Roman" w:hAnsi="Times New Roman" w:eastAsia="宋体" w:cs="Times New Roman"/>
          <w:color w:val="333333"/>
          <w:kern w:val="0"/>
          <w:shd w:val="clear" w:color="auto" w:fill="FFFFFF"/>
        </w:rPr>
      </w:pPr>
      <w:r>
        <w:rPr>
          <w:rFonts w:hint="default" w:ascii="Times New Roman" w:hAnsi="Times New Roman" w:eastAsia="宋体" w:cs="Times New Roman"/>
        </w:rPr>
        <w:t>验收程序：</w:t>
      </w:r>
      <w:r>
        <w:rPr>
          <w:rFonts w:hint="default"/>
        </w:rPr>
        <w:sym w:font="Wingdings 2" w:char="F052"/>
      </w:r>
      <w:r>
        <w:rPr>
          <w:rFonts w:hint="default" w:ascii="Times New Roman" w:hAnsi="Times New Roman" w:eastAsia="宋体" w:cs="Times New Roman"/>
          <w:color w:val="auto"/>
          <w:kern w:val="0"/>
          <w:shd w:val="clear" w:color="auto" w:fill="FFFFFF"/>
        </w:rPr>
        <w:t xml:space="preserve">一次性验收   </w:t>
      </w:r>
      <w:r>
        <w:rPr>
          <w:rFonts w:hint="default"/>
          <w:color w:val="auto"/>
          <w:shd w:val="clear" w:color="auto" w:fill="FFFFFF"/>
        </w:rPr>
        <w:sym w:font="Wingdings" w:char="F0A8"/>
      </w:r>
      <w:r>
        <w:rPr>
          <w:rFonts w:hint="default" w:ascii="Times New Roman" w:hAnsi="Times New Roman" w:eastAsia="宋体" w:cs="Times New Roman"/>
          <w:color w:val="auto"/>
          <w:kern w:val="0"/>
          <w:shd w:val="clear" w:color="auto" w:fill="FFFFFF"/>
        </w:rPr>
        <w:t>分段/分期验收</w:t>
      </w:r>
    </w:p>
    <w:p w14:paraId="13DD1DAF">
      <w:pPr>
        <w:pStyle w:val="29"/>
        <w:numPr>
          <w:ilvl w:val="0"/>
          <w:numId w:val="17"/>
        </w:numPr>
        <w:ind w:left="525" w:hanging="525" w:hangingChars="250"/>
        <w:contextualSpacing/>
        <w:rPr>
          <w:rFonts w:hint="default" w:ascii="Times New Roman" w:hAnsi="Times New Roman" w:eastAsia="宋体" w:cs="Times New Roman"/>
        </w:rPr>
      </w:pPr>
      <w:r>
        <w:rPr>
          <w:rFonts w:ascii="Times New Roman" w:hAnsi="Times New Roman" w:eastAsia="宋体" w:cs="Times New Roman"/>
        </w:rPr>
        <w:t>验收方式：现场整体验收</w:t>
      </w:r>
    </w:p>
    <w:p w14:paraId="0CF71317">
      <w:pPr>
        <w:pStyle w:val="29"/>
        <w:numPr>
          <w:ilvl w:val="0"/>
          <w:numId w:val="17"/>
        </w:numPr>
        <w:ind w:left="525" w:hanging="525" w:hangingChars="250"/>
        <w:contextualSpacing/>
        <w:rPr>
          <w:rFonts w:hint="default" w:ascii="Times New Roman" w:hAnsi="Times New Roman" w:eastAsia="宋体" w:cs="Times New Roman"/>
        </w:rPr>
      </w:pPr>
      <w:r>
        <w:rPr>
          <w:rFonts w:ascii="Times New Roman" w:hAnsi="Times New Roman" w:eastAsia="宋体" w:cs="Times New Roman"/>
        </w:rPr>
        <w:t>履约</w:t>
      </w:r>
      <w:r>
        <w:rPr>
          <w:rFonts w:hint="default" w:ascii="Times New Roman" w:hAnsi="Times New Roman" w:eastAsia="宋体" w:cs="Times New Roman"/>
        </w:rPr>
        <w:t>验收内容：按照基于本项目采购需求编制的采购文件要求及</w:t>
      </w:r>
      <w:r>
        <w:rPr>
          <w:rFonts w:ascii="Times New Roman" w:hAnsi="Times New Roman" w:eastAsia="宋体" w:cs="Times New Roman"/>
        </w:rPr>
        <w:t>乙方</w:t>
      </w:r>
      <w:r>
        <w:rPr>
          <w:rFonts w:hint="default" w:ascii="Times New Roman" w:hAnsi="Times New Roman" w:eastAsia="宋体" w:cs="Times New Roman"/>
        </w:rPr>
        <w:t>响应文件情况，由</w:t>
      </w:r>
      <w:r>
        <w:rPr>
          <w:rFonts w:ascii="Times New Roman" w:hAnsi="Times New Roman" w:eastAsia="宋体" w:cs="Times New Roman"/>
        </w:rPr>
        <w:t>乙方</w:t>
      </w:r>
      <w:r>
        <w:rPr>
          <w:rFonts w:hint="default" w:ascii="Times New Roman" w:hAnsi="Times New Roman" w:eastAsia="宋体" w:cs="Times New Roman"/>
        </w:rPr>
        <w:t>向</w:t>
      </w:r>
      <w:r>
        <w:rPr>
          <w:rFonts w:ascii="Times New Roman" w:hAnsi="Times New Roman" w:eastAsia="宋体" w:cs="Times New Roman"/>
        </w:rPr>
        <w:t>甲方</w:t>
      </w:r>
      <w:r>
        <w:rPr>
          <w:rFonts w:hint="default" w:ascii="Times New Roman" w:hAnsi="Times New Roman" w:eastAsia="宋体" w:cs="Times New Roman"/>
        </w:rPr>
        <w:t>交付</w:t>
      </w:r>
      <w:r>
        <w:rPr>
          <w:rFonts w:ascii="Times New Roman" w:hAnsi="Times New Roman" w:eastAsia="宋体" w:cs="Times New Roman"/>
        </w:rPr>
        <w:t>的</w:t>
      </w:r>
      <w:r>
        <w:rPr>
          <w:rFonts w:hint="default" w:ascii="Times New Roman" w:hAnsi="Times New Roman" w:eastAsia="宋体" w:cs="Times New Roman"/>
        </w:rPr>
        <w:t>全部</w:t>
      </w:r>
      <w:r>
        <w:rPr>
          <w:rFonts w:ascii="Times New Roman" w:hAnsi="Times New Roman" w:eastAsia="宋体" w:cs="Times New Roman"/>
        </w:rPr>
        <w:t>内容</w:t>
      </w:r>
      <w:r>
        <w:rPr>
          <w:rFonts w:hint="default" w:ascii="Times New Roman" w:hAnsi="Times New Roman" w:eastAsia="宋体" w:cs="Times New Roman"/>
        </w:rPr>
        <w:t>。</w:t>
      </w:r>
    </w:p>
    <w:p w14:paraId="7C5B139F">
      <w:pPr>
        <w:pStyle w:val="29"/>
        <w:numPr>
          <w:ilvl w:val="0"/>
          <w:numId w:val="17"/>
        </w:numPr>
        <w:ind w:left="525" w:hanging="525" w:hangingChars="250"/>
        <w:contextualSpacing/>
        <w:rPr>
          <w:rFonts w:hint="default" w:ascii="Times New Roman" w:hAnsi="Times New Roman" w:eastAsia="宋体" w:cs="Times New Roman"/>
        </w:rPr>
      </w:pPr>
      <w:r>
        <w:rPr>
          <w:rFonts w:ascii="Times New Roman" w:hAnsi="Times New Roman" w:eastAsia="宋体" w:cs="Times New Roman"/>
        </w:rPr>
        <w:t>履约</w:t>
      </w:r>
      <w:r>
        <w:rPr>
          <w:rFonts w:hint="default" w:ascii="Times New Roman" w:hAnsi="Times New Roman" w:eastAsia="宋体" w:cs="Times New Roman"/>
        </w:rPr>
        <w:t>验收时间：供应商完成本项目涉及的所有设备的安装、调试并具备验收条件后</w:t>
      </w:r>
      <w:r>
        <w:rPr>
          <w:rFonts w:ascii="Times New Roman" w:hAnsi="Times New Roman" w:eastAsia="宋体" w:cs="Times New Roman"/>
        </w:rPr>
        <w:t>于</w:t>
      </w:r>
      <w:r>
        <w:rPr>
          <w:rFonts w:hint="default" w:ascii="Times New Roman" w:hAnsi="Times New Roman" w:eastAsia="宋体" w:cs="Times New Roman"/>
        </w:rPr>
        <w:t>5</w:t>
      </w:r>
      <w:r>
        <w:rPr>
          <w:rFonts w:ascii="Times New Roman" w:hAnsi="Times New Roman" w:eastAsia="宋体" w:cs="Times New Roman"/>
        </w:rPr>
        <w:t>日内通知甲方验收，甲方接乙方通知后</w:t>
      </w:r>
      <w:r>
        <w:rPr>
          <w:rFonts w:hint="default" w:ascii="Times New Roman" w:hAnsi="Times New Roman" w:eastAsia="宋体" w:cs="Times New Roman"/>
        </w:rPr>
        <w:t>10</w:t>
      </w:r>
      <w:r>
        <w:rPr>
          <w:rFonts w:ascii="Times New Roman" w:hAnsi="Times New Roman" w:eastAsia="宋体" w:cs="Times New Roman"/>
        </w:rPr>
        <w:t>日内组织验收。</w:t>
      </w:r>
    </w:p>
    <w:p w14:paraId="72494D01">
      <w:pPr>
        <w:pStyle w:val="29"/>
        <w:numPr>
          <w:ilvl w:val="0"/>
          <w:numId w:val="17"/>
        </w:numPr>
        <w:ind w:left="525" w:hanging="525" w:hangingChars="250"/>
        <w:contextualSpacing/>
        <w:rPr>
          <w:rFonts w:hint="default" w:ascii="Times New Roman" w:hAnsi="Times New Roman" w:eastAsia="宋体" w:cs="Times New Roman"/>
        </w:rPr>
      </w:pPr>
      <w:r>
        <w:rPr>
          <w:rFonts w:ascii="Times New Roman" w:hAnsi="Times New Roman" w:eastAsia="宋体" w:cs="Times New Roman"/>
        </w:rPr>
        <w:t>是否邀请本项目的其他供应商：</w:t>
      </w:r>
      <w:r>
        <w:rPr>
          <w:rFonts w:hint="default" w:ascii="Times New Roman" w:hAnsi="Times New Roman" w:eastAsia="宋体" w:cs="Times New Roman"/>
        </w:rPr>
        <w:t xml:space="preserve"> </w:t>
      </w:r>
      <w:r>
        <w:rPr>
          <w:rFonts w:hint="default" w:ascii="Times New Roman" w:hAnsi="Times New Roman" w:eastAsia="宋体" w:cs="Times New Roman"/>
        </w:rPr>
        <w:sym w:font="Wingdings" w:char="F0A8"/>
      </w:r>
      <w:r>
        <w:rPr>
          <w:rFonts w:ascii="Times New Roman" w:hAnsi="Times New Roman" w:eastAsia="宋体" w:cs="Times New Roman"/>
        </w:rPr>
        <w:t>是</w:t>
      </w:r>
      <w:r>
        <w:rPr>
          <w:rFonts w:hint="default" w:ascii="Times New Roman" w:hAnsi="Times New Roman" w:eastAsia="宋体" w:cs="Times New Roman"/>
        </w:rPr>
        <w:t xml:space="preserve">   </w:t>
      </w:r>
      <w:r>
        <w:rPr>
          <w:rFonts w:hint="default" w:ascii="Times New Roman" w:hAnsi="Times New Roman" w:eastAsia="宋体" w:cs="Times New Roman"/>
        </w:rPr>
        <w:sym w:font="Wingdings 2" w:char="F052"/>
      </w:r>
      <w:r>
        <w:rPr>
          <w:rFonts w:ascii="Times New Roman" w:hAnsi="Times New Roman" w:eastAsia="宋体" w:cs="Times New Roman"/>
        </w:rPr>
        <w:t>否</w:t>
      </w:r>
    </w:p>
    <w:p w14:paraId="011C01AD">
      <w:pPr>
        <w:pStyle w:val="29"/>
        <w:numPr>
          <w:ilvl w:val="0"/>
          <w:numId w:val="17"/>
        </w:numPr>
        <w:ind w:left="525" w:hanging="525" w:hangingChars="250"/>
        <w:contextualSpacing/>
        <w:rPr>
          <w:rFonts w:hint="default" w:ascii="Times New Roman" w:hAnsi="Times New Roman" w:eastAsia="宋体" w:cs="Times New Roman"/>
        </w:rPr>
      </w:pPr>
      <w:r>
        <w:rPr>
          <w:rFonts w:ascii="Times New Roman" w:hAnsi="Times New Roman" w:eastAsia="宋体" w:cs="Times New Roman"/>
        </w:rPr>
        <w:t>是否邀请专家：</w:t>
      </w:r>
      <w:r>
        <w:rPr>
          <w:rFonts w:hint="default" w:ascii="Times New Roman" w:hAnsi="Times New Roman" w:eastAsia="宋体" w:cs="Times New Roman"/>
        </w:rPr>
        <w:t xml:space="preserve"> </w:t>
      </w:r>
      <w:r>
        <w:rPr>
          <w:rFonts w:hint="default" w:ascii="Times New Roman" w:hAnsi="Times New Roman" w:eastAsia="宋体" w:cs="Times New Roman"/>
        </w:rPr>
        <w:sym w:font="Wingdings" w:char="F0A8"/>
      </w:r>
      <w:r>
        <w:rPr>
          <w:rFonts w:ascii="Times New Roman" w:hAnsi="Times New Roman" w:eastAsia="宋体" w:cs="Times New Roman"/>
        </w:rPr>
        <w:t>是</w:t>
      </w:r>
      <w:r>
        <w:rPr>
          <w:rFonts w:hint="default" w:ascii="Times New Roman" w:hAnsi="Times New Roman" w:eastAsia="宋体" w:cs="Times New Roman"/>
        </w:rPr>
        <w:t xml:space="preserve">   </w:t>
      </w:r>
      <w:r>
        <w:rPr>
          <w:rFonts w:hint="default" w:ascii="Times New Roman" w:hAnsi="Times New Roman" w:eastAsia="宋体" w:cs="Times New Roman"/>
        </w:rPr>
        <w:sym w:font="Wingdings 2" w:char="F052"/>
      </w:r>
      <w:r>
        <w:rPr>
          <w:rFonts w:ascii="Times New Roman" w:hAnsi="Times New Roman" w:eastAsia="宋体" w:cs="Times New Roman"/>
        </w:rPr>
        <w:t>否</w:t>
      </w:r>
    </w:p>
    <w:p w14:paraId="2A78EE7D">
      <w:pPr>
        <w:pStyle w:val="29"/>
        <w:numPr>
          <w:ilvl w:val="0"/>
          <w:numId w:val="17"/>
        </w:numPr>
        <w:ind w:left="525" w:hanging="525" w:hangingChars="250"/>
        <w:contextualSpacing/>
        <w:rPr>
          <w:rFonts w:hint="default" w:ascii="Times New Roman" w:hAnsi="Times New Roman" w:eastAsia="宋体" w:cs="Times New Roman"/>
        </w:rPr>
      </w:pPr>
      <w:r>
        <w:rPr>
          <w:rFonts w:ascii="Times New Roman" w:hAnsi="Times New Roman" w:eastAsia="宋体" w:cs="Times New Roman"/>
        </w:rPr>
        <w:t>是否邀请服务对象：</w:t>
      </w:r>
      <w:r>
        <w:rPr>
          <w:rFonts w:hint="default" w:ascii="Times New Roman" w:hAnsi="Times New Roman" w:eastAsia="宋体" w:cs="Times New Roman"/>
        </w:rPr>
        <w:t xml:space="preserve"> </w:t>
      </w:r>
      <w:r>
        <w:rPr>
          <w:rFonts w:hint="default" w:ascii="Times New Roman" w:hAnsi="Times New Roman" w:eastAsia="宋体" w:cs="Times New Roman"/>
        </w:rPr>
        <w:sym w:font="Wingdings" w:char="F0A8"/>
      </w:r>
      <w:r>
        <w:rPr>
          <w:rFonts w:ascii="Times New Roman" w:hAnsi="Times New Roman" w:eastAsia="宋体" w:cs="Times New Roman"/>
        </w:rPr>
        <w:t>是</w:t>
      </w:r>
      <w:r>
        <w:rPr>
          <w:rFonts w:hint="default" w:ascii="Times New Roman" w:hAnsi="Times New Roman" w:eastAsia="宋体" w:cs="Times New Roman"/>
        </w:rPr>
        <w:t xml:space="preserve">   </w:t>
      </w:r>
      <w:r>
        <w:rPr>
          <w:rFonts w:hint="default" w:ascii="Times New Roman" w:hAnsi="Times New Roman" w:eastAsia="宋体" w:cs="Times New Roman"/>
        </w:rPr>
        <w:sym w:font="Wingdings 2" w:char="F052"/>
      </w:r>
      <w:r>
        <w:rPr>
          <w:rFonts w:ascii="Times New Roman" w:hAnsi="Times New Roman" w:eastAsia="宋体" w:cs="Times New Roman"/>
        </w:rPr>
        <w:t>否</w:t>
      </w:r>
    </w:p>
    <w:p w14:paraId="2D3C2877">
      <w:pPr>
        <w:pStyle w:val="29"/>
        <w:numPr>
          <w:ilvl w:val="0"/>
          <w:numId w:val="17"/>
        </w:numPr>
        <w:ind w:left="945" w:leftChars="200" w:hanging="525" w:hangingChars="250"/>
        <w:contextualSpacing/>
        <w:rPr>
          <w:rFonts w:hint="default" w:ascii="Times New Roman" w:hAnsi="Times New Roman" w:eastAsia="宋体" w:cs="Times New Roman"/>
          <w:shd w:val="clear" w:color="auto" w:fill="FFFFFF"/>
        </w:rPr>
      </w:pPr>
      <w:r>
        <w:rPr>
          <w:rFonts w:ascii="Times New Roman" w:hAnsi="Times New Roman" w:eastAsia="宋体" w:cs="Times New Roman"/>
        </w:rPr>
        <w:t>是否邀请第三方检测机构：</w:t>
      </w:r>
      <w:r>
        <w:rPr>
          <w:rFonts w:hint="default" w:ascii="Times New Roman" w:hAnsi="Times New Roman" w:eastAsia="宋体" w:cs="Times New Roman"/>
          <w:kern w:val="0"/>
          <w:shd w:val="clear" w:color="auto" w:fill="FFFFFF"/>
        </w:rPr>
        <w:t xml:space="preserve"> </w:t>
      </w:r>
      <w:r>
        <w:rPr>
          <w:rFonts w:hint="default" w:ascii="Times New Roman" w:hAnsi="Times New Roman" w:eastAsia="宋体" w:cs="Times New Roman"/>
          <w:kern w:val="0"/>
          <w:shd w:val="clear" w:color="auto" w:fill="FFFFFF"/>
        </w:rPr>
        <w:sym w:font="Wingdings" w:char="F0A8"/>
      </w:r>
      <w:r>
        <w:rPr>
          <w:rFonts w:ascii="Times New Roman" w:hAnsi="Times New Roman" w:eastAsia="宋体" w:cs="Times New Roman"/>
          <w:shd w:val="clear" w:color="auto" w:fill="FFFFFF"/>
        </w:rPr>
        <w:t>是</w:t>
      </w:r>
      <w:r>
        <w:rPr>
          <w:rFonts w:hint="default" w:ascii="Times New Roman" w:hAnsi="Times New Roman" w:eastAsia="宋体" w:cs="Times New Roman"/>
          <w:shd w:val="clear" w:color="auto" w:fill="FFFFFF"/>
        </w:rPr>
        <w:t xml:space="preserve">   </w:t>
      </w:r>
      <w:r>
        <w:rPr>
          <w:rFonts w:hint="default" w:ascii="Times New Roman" w:hAnsi="Times New Roman" w:eastAsia="宋体" w:cs="Times New Roman"/>
          <w:kern w:val="0"/>
        </w:rPr>
        <w:sym w:font="Wingdings 2" w:char="F052"/>
      </w:r>
      <w:r>
        <w:rPr>
          <w:rFonts w:ascii="Times New Roman" w:hAnsi="Times New Roman" w:eastAsia="宋体" w:cs="Times New Roman"/>
          <w:shd w:val="clear" w:color="auto" w:fill="FFFFFF"/>
        </w:rPr>
        <w:t>否</w:t>
      </w:r>
    </w:p>
    <w:p w14:paraId="4913CFD0">
      <w:pPr>
        <w:pStyle w:val="29"/>
        <w:numPr>
          <w:ilvl w:val="0"/>
          <w:numId w:val="17"/>
        </w:numPr>
        <w:ind w:left="525" w:hanging="525" w:hangingChars="250"/>
        <w:contextualSpacing/>
        <w:rPr>
          <w:rFonts w:hint="default" w:ascii="Times New Roman" w:hAnsi="Times New Roman" w:eastAsia="宋体" w:cs="Times New Roman"/>
        </w:rPr>
      </w:pPr>
      <w:r>
        <w:rPr>
          <w:rFonts w:hint="default" w:ascii="Times New Roman" w:hAnsi="Times New Roman" w:eastAsia="宋体" w:cs="Times New Roman"/>
        </w:rPr>
        <w:t>验收标准：</w:t>
      </w:r>
    </w:p>
    <w:p w14:paraId="18184D02">
      <w:pPr>
        <w:pStyle w:val="16"/>
        <w:numPr>
          <w:ilvl w:val="0"/>
          <w:numId w:val="18"/>
        </w:numPr>
        <w:spacing w:line="240" w:lineRule="auto"/>
        <w:ind w:firstLineChars="0"/>
        <w:contextualSpacing/>
        <w:rPr>
          <w:rFonts w:hint="default" w:ascii="Times New Roman" w:hAnsi="Times New Roman" w:eastAsia="宋体" w:cs="Times New Roman"/>
          <w:szCs w:val="21"/>
        </w:rPr>
      </w:pPr>
      <w:r>
        <w:rPr>
          <w:rFonts w:hint="default" w:ascii="Times New Roman" w:hAnsi="Times New Roman" w:eastAsia="宋体" w:cs="Times New Roman"/>
          <w:szCs w:val="21"/>
          <w:shd w:val="clear" w:color="auto" w:fill="FFFFFF"/>
        </w:rPr>
        <w:t>国家相关法律法规、行业标准、技术规范。</w:t>
      </w:r>
    </w:p>
    <w:p w14:paraId="774F1586">
      <w:pPr>
        <w:pStyle w:val="16"/>
        <w:numPr>
          <w:ilvl w:val="0"/>
          <w:numId w:val="18"/>
        </w:numPr>
        <w:spacing w:line="240" w:lineRule="auto"/>
        <w:ind w:firstLineChars="0"/>
        <w:contextualSpacing/>
        <w:rPr>
          <w:rFonts w:hint="default" w:ascii="Times New Roman" w:hAnsi="Times New Roman" w:eastAsia="宋体" w:cs="Times New Roman"/>
          <w:szCs w:val="21"/>
        </w:rPr>
      </w:pPr>
      <w:r>
        <w:rPr>
          <w:rFonts w:ascii="Times New Roman" w:hAnsi="Times New Roman" w:eastAsia="宋体" w:cs="Times New Roman"/>
          <w:szCs w:val="21"/>
        </w:rPr>
        <w:t>甲方采购</w:t>
      </w:r>
      <w:r>
        <w:rPr>
          <w:rFonts w:hint="default" w:ascii="Times New Roman" w:hAnsi="Times New Roman" w:eastAsia="宋体" w:cs="Times New Roman"/>
          <w:szCs w:val="21"/>
        </w:rPr>
        <w:t>文件相关技术、服务要求、</w:t>
      </w:r>
      <w:r>
        <w:rPr>
          <w:rFonts w:ascii="Times New Roman" w:hAnsi="Times New Roman" w:eastAsia="宋体" w:cs="Times New Roman"/>
          <w:szCs w:val="21"/>
        </w:rPr>
        <w:t>乙方响应</w:t>
      </w:r>
      <w:r>
        <w:rPr>
          <w:rFonts w:hint="default" w:ascii="Times New Roman" w:hAnsi="Times New Roman" w:eastAsia="宋体" w:cs="Times New Roman"/>
          <w:szCs w:val="21"/>
        </w:rPr>
        <w:t>文件相关响应内容。</w:t>
      </w:r>
    </w:p>
    <w:p w14:paraId="2FF9A0AE">
      <w:pPr>
        <w:pStyle w:val="16"/>
        <w:numPr>
          <w:ilvl w:val="0"/>
          <w:numId w:val="18"/>
        </w:numPr>
        <w:spacing w:line="240" w:lineRule="auto"/>
        <w:ind w:firstLineChars="0"/>
        <w:contextualSpacing/>
        <w:rPr>
          <w:rFonts w:hint="default" w:ascii="Times New Roman" w:hAnsi="Times New Roman" w:eastAsia="宋体" w:cs="Times New Roman"/>
          <w:szCs w:val="21"/>
        </w:rPr>
      </w:pPr>
      <w:r>
        <w:rPr>
          <w:rFonts w:ascii="Times New Roman" w:hAnsi="Times New Roman" w:eastAsia="宋体" w:cs="Times New Roman"/>
          <w:szCs w:val="21"/>
        </w:rPr>
        <w:t>成交</w:t>
      </w:r>
      <w:r>
        <w:rPr>
          <w:rFonts w:hint="default" w:ascii="Times New Roman" w:hAnsi="Times New Roman" w:eastAsia="宋体" w:cs="Times New Roman"/>
          <w:szCs w:val="21"/>
        </w:rPr>
        <w:t>产品生产厂家出具的产品说明书、技术白皮书、医疗器械注册证或备案凭证等技术资料（如涉及）。</w:t>
      </w:r>
    </w:p>
    <w:p w14:paraId="45CE7137">
      <w:pPr>
        <w:pStyle w:val="16"/>
        <w:numPr>
          <w:ilvl w:val="0"/>
          <w:numId w:val="18"/>
        </w:numPr>
        <w:spacing w:line="240" w:lineRule="auto"/>
        <w:ind w:firstLineChars="0"/>
        <w:contextualSpacing/>
        <w:rPr>
          <w:rFonts w:hint="default" w:ascii="Times New Roman" w:hAnsi="Times New Roman" w:eastAsia="宋体" w:cs="Times New Roman"/>
          <w:szCs w:val="21"/>
        </w:rPr>
      </w:pPr>
      <w:r>
        <w:rPr>
          <w:rFonts w:hint="default" w:ascii="Times New Roman" w:hAnsi="Times New Roman" w:eastAsia="宋体" w:cs="Times New Roman"/>
          <w:szCs w:val="21"/>
        </w:rPr>
        <w:t>如验收时，采购人与供应商认为本项目验收标准中的技术指标、质量要求等内容存在相互抵触或对其理解存在异议，应按照其中更严格的要求、标准等进行验收。</w:t>
      </w:r>
    </w:p>
    <w:p w14:paraId="1255B09F">
      <w:pPr>
        <w:pStyle w:val="16"/>
        <w:numPr>
          <w:ilvl w:val="0"/>
          <w:numId w:val="18"/>
        </w:numPr>
        <w:spacing w:line="240" w:lineRule="auto"/>
        <w:ind w:firstLineChars="0"/>
        <w:contextualSpacing/>
        <w:rPr>
          <w:rFonts w:hint="default" w:ascii="Times New Roman" w:hAnsi="Times New Roman" w:eastAsia="宋体" w:cs="Times New Roman"/>
          <w:szCs w:val="21"/>
        </w:rPr>
      </w:pPr>
      <w:r>
        <w:rPr>
          <w:rFonts w:ascii="Times New Roman" w:hAnsi="Times New Roman" w:eastAsia="宋体" w:cs="Times New Roman"/>
          <w:szCs w:val="21"/>
        </w:rPr>
        <w:t>参照</w:t>
      </w:r>
      <w:r>
        <w:rPr>
          <w:rFonts w:hint="default" w:ascii="Times New Roman" w:hAnsi="Times New Roman" w:eastAsia="宋体" w:cs="Times New Roman"/>
          <w:szCs w:val="21"/>
        </w:rPr>
        <w:t>《财政部关于进一步加强政府采购需求和履约验收管理的指导意见》（财库〔2016〕205号）的要求进行验收。</w:t>
      </w:r>
    </w:p>
    <w:p w14:paraId="0ADA7FD3">
      <w:pPr>
        <w:pStyle w:val="16"/>
        <w:numPr>
          <w:ilvl w:val="0"/>
          <w:numId w:val="18"/>
        </w:numPr>
        <w:spacing w:line="240" w:lineRule="auto"/>
        <w:ind w:firstLineChars="0"/>
        <w:contextualSpacing/>
        <w:rPr>
          <w:rFonts w:hint="default" w:ascii="Times New Roman" w:hAnsi="Times New Roman" w:eastAsia="宋体" w:cs="Times New Roman"/>
          <w:szCs w:val="21"/>
        </w:rPr>
      </w:pPr>
      <w:r>
        <w:rPr>
          <w:rFonts w:ascii="Times New Roman" w:hAnsi="Times New Roman" w:eastAsia="宋体" w:cs="Times New Roman"/>
          <w:szCs w:val="21"/>
        </w:rPr>
        <w:t>其它标准：无。</w:t>
      </w:r>
    </w:p>
    <w:p w14:paraId="21AB58B6">
      <w:pPr>
        <w:pStyle w:val="29"/>
        <w:numPr>
          <w:ilvl w:val="0"/>
          <w:numId w:val="17"/>
        </w:numPr>
        <w:ind w:left="525" w:hanging="525" w:hangingChars="250"/>
        <w:contextualSpacing/>
        <w:rPr>
          <w:rFonts w:hint="default" w:ascii="Times New Roman" w:hAnsi="Times New Roman" w:eastAsia="宋体" w:cs="Times New Roman"/>
        </w:rPr>
      </w:pPr>
      <w:r>
        <w:rPr>
          <w:rFonts w:ascii="Times New Roman" w:hAnsi="Times New Roman" w:eastAsia="宋体" w:cs="Times New Roman"/>
        </w:rPr>
        <w:t>履约验收其它事项</w:t>
      </w:r>
      <w:r>
        <w:rPr>
          <w:rFonts w:hint="default" w:ascii="Times New Roman" w:hAnsi="Times New Roman" w:eastAsia="宋体" w:cs="Times New Roman"/>
        </w:rPr>
        <w:t>：无</w:t>
      </w:r>
      <w:r>
        <w:rPr>
          <w:rFonts w:ascii="Times New Roman" w:hAnsi="Times New Roman" w:eastAsia="宋体" w:cs="Times New Roman"/>
        </w:rPr>
        <w:t>。</w:t>
      </w:r>
      <w:r>
        <w:rPr>
          <w:rFonts w:hint="default" w:ascii="Times New Roman" w:hAnsi="Times New Roman" w:eastAsia="宋体" w:cs="Times New Roman"/>
          <w:i/>
          <w:iCs/>
          <w:highlight w:val="yellow"/>
        </w:rPr>
        <w:t>&lt;</w:t>
      </w:r>
      <w:r>
        <w:rPr>
          <w:rFonts w:ascii="Times New Roman" w:hAnsi="Times New Roman" w:eastAsia="宋体" w:cs="Times New Roman"/>
          <w:i/>
          <w:iCs/>
          <w:highlight w:val="yellow"/>
        </w:rPr>
        <w:t>如有请填写</w:t>
      </w:r>
      <w:r>
        <w:rPr>
          <w:rFonts w:hint="default" w:ascii="Times New Roman" w:hAnsi="Times New Roman" w:eastAsia="宋体" w:cs="Times New Roman"/>
          <w:i/>
          <w:iCs/>
          <w:highlight w:val="yellow"/>
        </w:rPr>
        <w:t>&gt;</w:t>
      </w:r>
    </w:p>
    <w:p w14:paraId="4C532AE4">
      <w:pPr>
        <w:pStyle w:val="29"/>
        <w:numPr>
          <w:ilvl w:val="0"/>
          <w:numId w:val="16"/>
        </w:numPr>
        <w:ind w:left="0" w:firstLine="0" w:firstLineChars="0"/>
        <w:contextualSpacing/>
        <w:rPr>
          <w:rFonts w:hint="default" w:ascii="Times New Roman" w:hAnsi="Times New Roman" w:eastAsia="宋体" w:cs="Times New Roman"/>
        </w:rPr>
      </w:pPr>
      <w:r>
        <w:rPr>
          <w:rFonts w:hint="default" w:ascii="Times New Roman" w:hAnsi="Times New Roman" w:eastAsia="宋体" w:cs="Times New Roman"/>
        </w:rPr>
        <w:t>双方验收后，如验收内容符合本合同验收标准，采购人应于5个工作日内向供应商出具验收报告，并视为验收合格，验收合格的时间以出具报告的时间为准</w:t>
      </w:r>
      <w:r>
        <w:rPr>
          <w:rFonts w:ascii="Times New Roman" w:hAnsi="Times New Roman" w:eastAsia="宋体" w:cs="Times New Roman"/>
        </w:rPr>
        <w:t>；</w:t>
      </w:r>
      <w:r>
        <w:rPr>
          <w:rFonts w:hint="default" w:ascii="Times New Roman" w:hAnsi="Times New Roman" w:eastAsia="宋体" w:cs="Times New Roman"/>
        </w:rPr>
        <w:t>如验收不合格，甲方应进行详尽的现场记录，或由甲乙双方签署备忘录，此现场记录或备忘录可用作修改和更正相关问题的有效证据，由此产生的时间延误与经济损失由乙方承担，验收期限相应顺延，且甲方有权拒绝</w:t>
      </w:r>
      <w:r>
        <w:rPr>
          <w:rFonts w:ascii="Times New Roman" w:hAnsi="Times New Roman" w:eastAsia="宋体" w:cs="Times New Roman"/>
        </w:rPr>
        <w:t>出具</w:t>
      </w:r>
      <w:r>
        <w:rPr>
          <w:rFonts w:hint="default" w:ascii="Times New Roman" w:hAnsi="Times New Roman" w:eastAsia="宋体" w:cs="Times New Roman"/>
        </w:rPr>
        <w:t>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0BEB9EA5">
      <w:pPr>
        <w:pStyle w:val="29"/>
        <w:numPr>
          <w:ilvl w:val="0"/>
          <w:numId w:val="13"/>
        </w:numPr>
        <w:ind w:left="0" w:firstLine="0" w:firstLineChars="0"/>
        <w:contextualSpacing/>
        <w:rPr>
          <w:rFonts w:hint="default" w:ascii="Times New Roman" w:hAnsi="Times New Roman" w:eastAsia="宋体" w:cs="Times New Roman"/>
          <w:b/>
          <w:bCs/>
          <w:color w:val="auto"/>
        </w:rPr>
      </w:pPr>
      <w:r>
        <w:rPr>
          <w:rFonts w:hint="default" w:ascii="Times New Roman" w:hAnsi="Times New Roman" w:eastAsia="宋体" w:cs="Times New Roman"/>
          <w:b/>
          <w:bCs/>
          <w:color w:val="auto"/>
        </w:rPr>
        <w:t>主体资格及知识产权</w:t>
      </w:r>
    </w:p>
    <w:p w14:paraId="6931D284">
      <w:pPr>
        <w:pStyle w:val="29"/>
        <w:numPr>
          <w:ilvl w:val="0"/>
          <w:numId w:val="19"/>
        </w:numPr>
        <w:ind w:left="0" w:firstLine="0" w:firstLineChars="0"/>
        <w:rPr>
          <w:rFonts w:hint="default" w:ascii="Times New Roman" w:hAnsi="Times New Roman" w:eastAsia="宋体" w:cs="Times New Roman"/>
        </w:rPr>
      </w:pPr>
      <w:r>
        <w:rPr>
          <w:rFonts w:hint="default" w:ascii="Times New Roman" w:hAnsi="Times New Roman" w:eastAsia="宋体" w:cs="Times New Roman"/>
        </w:rPr>
        <w:t>主体资格：</w:t>
      </w:r>
    </w:p>
    <w:p w14:paraId="37660318">
      <w:pPr>
        <w:ind w:firstLine="420" w:firstLineChars="200"/>
        <w:rPr>
          <w:rFonts w:hint="default" w:ascii="Times New Roman" w:hAnsi="Times New Roman" w:eastAsia="宋体" w:cs="Times New Roman"/>
        </w:rPr>
      </w:pPr>
      <w:r>
        <w:rPr>
          <w:rFonts w:hint="default" w:ascii="Times New Roman" w:hAnsi="Times New Roman" w:eastAsia="宋体" w:cs="Times New Roman"/>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F919432">
      <w:pPr>
        <w:pStyle w:val="29"/>
        <w:numPr>
          <w:ilvl w:val="0"/>
          <w:numId w:val="19"/>
        </w:numPr>
        <w:ind w:left="0" w:firstLine="0" w:firstLineChars="0"/>
        <w:rPr>
          <w:rFonts w:hint="default" w:ascii="Times New Roman" w:hAnsi="Times New Roman" w:eastAsia="宋体" w:cs="Times New Roman"/>
        </w:rPr>
      </w:pPr>
      <w:r>
        <w:rPr>
          <w:rFonts w:hint="default" w:ascii="Times New Roman" w:hAnsi="Times New Roman" w:eastAsia="宋体" w:cs="Times New Roman"/>
        </w:rPr>
        <w:t>知识产权：</w:t>
      </w:r>
    </w:p>
    <w:p w14:paraId="6EEF3241">
      <w:pPr>
        <w:pStyle w:val="29"/>
        <w:numPr>
          <w:ilvl w:val="0"/>
          <w:numId w:val="20"/>
        </w:numPr>
        <w:ind w:firstLineChars="0"/>
        <w:rPr>
          <w:rFonts w:hint="default" w:ascii="Times New Roman" w:hAnsi="Times New Roman" w:eastAsia="宋体" w:cs="Times New Roman"/>
        </w:rPr>
      </w:pPr>
      <w:r>
        <w:rPr>
          <w:rFonts w:hint="default" w:ascii="Times New Roman" w:hAnsi="Times New Roman" w:eastAsia="宋体" w:cs="Times New Roman"/>
        </w:rPr>
        <w:t>乙方必须保证，甲方在中华人民共和国境内使用设备或者设备的某一部分时，如有第三方向甲方提出侵犯其专利权、商标权或其他知识产权的主张，由此造成的一切责任由乙方承担。</w:t>
      </w:r>
    </w:p>
    <w:p w14:paraId="6967DDA0">
      <w:pPr>
        <w:pStyle w:val="29"/>
        <w:numPr>
          <w:ilvl w:val="0"/>
          <w:numId w:val="20"/>
        </w:numPr>
        <w:ind w:firstLineChars="0"/>
        <w:rPr>
          <w:rFonts w:hint="default" w:ascii="Times New Roman" w:hAnsi="Times New Roman" w:eastAsia="宋体" w:cs="Times New Roman"/>
        </w:rPr>
      </w:pPr>
      <w:r>
        <w:rPr>
          <w:rFonts w:hint="default" w:ascii="Times New Roman" w:hAnsi="Times New Roman" w:eastAsia="宋体" w:cs="Times New Roman"/>
        </w:rPr>
        <w:t>本合同费用包含向所有权人支付的专利权、商标权或其他知识产权的有关费用及税费。</w:t>
      </w:r>
    </w:p>
    <w:p w14:paraId="50AE2043">
      <w:pPr>
        <w:pStyle w:val="29"/>
        <w:numPr>
          <w:ilvl w:val="0"/>
          <w:numId w:val="20"/>
        </w:numPr>
        <w:ind w:firstLineChars="0"/>
        <w:rPr>
          <w:rFonts w:hint="default" w:ascii="Times New Roman" w:hAnsi="Times New Roman" w:eastAsia="宋体" w:cs="Times New Roman"/>
        </w:rPr>
      </w:pPr>
      <w:r>
        <w:rPr>
          <w:rFonts w:hint="default" w:ascii="Times New Roman" w:hAnsi="Times New Roman" w:eastAsia="宋体" w:cs="Times New Roman"/>
        </w:rPr>
        <w:t>乙方承诺向甲方提供的设备上安装的软件已获得软件厂商的正规授权。</w:t>
      </w:r>
    </w:p>
    <w:p w14:paraId="336639E3">
      <w:pPr>
        <w:pStyle w:val="29"/>
        <w:numPr>
          <w:ilvl w:val="0"/>
          <w:numId w:val="20"/>
        </w:numPr>
        <w:ind w:firstLineChars="0"/>
        <w:rPr>
          <w:rFonts w:hint="default" w:ascii="Times New Roman" w:hAnsi="Times New Roman" w:eastAsia="宋体" w:cs="Times New Roman"/>
        </w:rPr>
      </w:pPr>
      <w:r>
        <w:rPr>
          <w:rFonts w:hint="default" w:ascii="Times New Roman" w:hAnsi="Times New Roman" w:eastAsia="宋体" w:cs="Times New Roman"/>
        </w:rPr>
        <w:t>如涉及甲、乙双方共同研发的软件产品，知识产权归甲、乙双方共同拥有，软件所有数据归甲方所有。</w:t>
      </w:r>
    </w:p>
    <w:p w14:paraId="1D4ED900">
      <w:pPr>
        <w:pStyle w:val="29"/>
        <w:numPr>
          <w:ilvl w:val="0"/>
          <w:numId w:val="20"/>
        </w:numPr>
        <w:ind w:firstLineChars="0"/>
        <w:rPr>
          <w:rFonts w:hint="default" w:ascii="Times New Roman" w:hAnsi="Times New Roman" w:eastAsia="宋体" w:cs="Times New Roman"/>
        </w:rPr>
      </w:pPr>
      <w:r>
        <w:rPr>
          <w:rFonts w:hint="default" w:ascii="Times New Roman" w:hAnsi="Times New Roman" w:eastAsia="宋体" w:cs="Times New Roman"/>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6907DA5">
      <w:pPr>
        <w:pStyle w:val="29"/>
        <w:numPr>
          <w:ilvl w:val="0"/>
          <w:numId w:val="13"/>
        </w:numPr>
        <w:ind w:left="0" w:firstLine="0" w:firstLineChars="0"/>
        <w:contextualSpacing/>
        <w:rPr>
          <w:rFonts w:hint="default" w:ascii="Times New Roman" w:hAnsi="Times New Roman" w:eastAsia="宋体" w:cs="Times New Roman"/>
          <w:b/>
          <w:bCs/>
          <w:color w:val="auto"/>
        </w:rPr>
      </w:pPr>
      <w:r>
        <w:rPr>
          <w:rFonts w:hint="default" w:ascii="Times New Roman" w:hAnsi="Times New Roman" w:eastAsia="宋体" w:cs="Times New Roman"/>
          <w:b/>
          <w:bCs/>
          <w:color w:val="auto"/>
        </w:rPr>
        <w:t>付款方式</w:t>
      </w:r>
    </w:p>
    <w:p w14:paraId="1030F7FD">
      <w:pPr>
        <w:pStyle w:val="29"/>
        <w:numPr>
          <w:ilvl w:val="0"/>
          <w:numId w:val="21"/>
        </w:numPr>
        <w:ind w:left="0" w:firstLine="0" w:firstLineChars="0"/>
        <w:contextualSpacing/>
        <w:rPr>
          <w:rFonts w:hint="default" w:ascii="Times New Roman" w:hAnsi="Times New Roman" w:eastAsia="宋体" w:cs="Times New Roman"/>
        </w:rPr>
      </w:pPr>
      <w:r>
        <w:rPr>
          <w:rFonts w:hint="default" w:ascii="Times New Roman" w:hAnsi="Times New Roman" w:eastAsia="宋体" w:cs="Times New Roman"/>
        </w:rPr>
        <w:t>履约保证金：</w:t>
      </w:r>
    </w:p>
    <w:p w14:paraId="41A65E9B">
      <w:pPr>
        <w:pStyle w:val="16"/>
        <w:spacing w:line="240" w:lineRule="auto"/>
        <w:ind w:left="420" w:leftChars="200" w:firstLine="0" w:firstLineChars="0"/>
        <w:contextualSpacing/>
        <w:rPr>
          <w:rFonts w:hint="default" w:ascii="Times New Roman" w:hAnsi="Times New Roman" w:eastAsia="宋体" w:cs="Times New Roman"/>
          <w:szCs w:val="21"/>
        </w:rPr>
      </w:pPr>
      <w:r>
        <w:rPr>
          <w:rFonts w:hint="default" w:ascii="Times New Roman" w:hAnsi="Times New Roman" w:eastAsia="宋体" w:cs="Times New Roman"/>
          <w:szCs w:val="21"/>
        </w:rPr>
        <w:sym w:font="Wingdings 2" w:char="F052"/>
      </w:r>
      <w:r>
        <w:rPr>
          <w:rFonts w:ascii="Times New Roman" w:hAnsi="Times New Roman" w:eastAsia="宋体" w:cs="Times New Roman"/>
          <w:szCs w:val="21"/>
        </w:rPr>
        <w:t>本</w:t>
      </w:r>
      <w:r>
        <w:rPr>
          <w:rFonts w:hint="default" w:ascii="Times New Roman" w:hAnsi="Times New Roman" w:eastAsia="宋体" w:cs="Times New Roman"/>
          <w:szCs w:val="21"/>
        </w:rPr>
        <w:t>合同签订生效后7个工作日内，</w:t>
      </w:r>
      <w:r>
        <w:rPr>
          <w:rFonts w:ascii="Times New Roman" w:hAnsi="Times New Roman" w:eastAsia="宋体" w:cs="Times New Roman"/>
          <w:szCs w:val="21"/>
        </w:rPr>
        <w:t>乙方</w:t>
      </w:r>
      <w:r>
        <w:rPr>
          <w:rFonts w:hint="default" w:ascii="Times New Roman" w:hAnsi="Times New Roman" w:eastAsia="宋体" w:cs="Times New Roman"/>
          <w:szCs w:val="21"/>
        </w:rPr>
        <w:t>应当以支票、汇票、本票或者金融机构、担保机构出具的保函等非现金形式(包括网银转账，电汇等方式)</w:t>
      </w:r>
      <w:r>
        <w:rPr>
          <w:rFonts w:ascii="Times New Roman" w:hAnsi="Times New Roman" w:eastAsia="宋体" w:cs="Times New Roman"/>
          <w:szCs w:val="21"/>
        </w:rPr>
        <w:t>向甲方</w:t>
      </w:r>
      <w:r>
        <w:rPr>
          <w:rFonts w:hint="default" w:ascii="Times New Roman" w:hAnsi="Times New Roman" w:eastAsia="宋体" w:cs="Times New Roman"/>
          <w:szCs w:val="21"/>
        </w:rPr>
        <w:t>提交</w:t>
      </w:r>
      <w:r>
        <w:rPr>
          <w:rFonts w:ascii="Times New Roman" w:hAnsi="Times New Roman" w:eastAsia="宋体" w:cs="Times New Roman"/>
          <w:szCs w:val="21"/>
        </w:rPr>
        <w:t>履约保证金</w:t>
      </w:r>
      <w:r>
        <w:rPr>
          <w:rFonts w:hint="default" w:ascii="Times New Roman" w:hAnsi="Times New Roman" w:eastAsia="宋体" w:cs="Times New Roman"/>
          <w:szCs w:val="21"/>
        </w:rPr>
        <w:t>，金额为</w:t>
      </w:r>
      <w:r>
        <w:rPr>
          <w:rFonts w:ascii="Times New Roman" w:hAnsi="Times New Roman" w:eastAsia="宋体" w:cs="Times New Roman"/>
          <w:szCs w:val="21"/>
        </w:rPr>
        <w:t>本合同总金额的</w:t>
      </w:r>
      <w:r>
        <w:rPr>
          <w:rFonts w:hint="default" w:ascii="Times New Roman" w:hAnsi="Times New Roman" w:eastAsia="宋体" w:cs="Times New Roman"/>
          <w:szCs w:val="21"/>
        </w:rPr>
        <w:t>10%</w:t>
      </w:r>
      <w:r>
        <w:rPr>
          <w:rFonts w:ascii="Times New Roman" w:hAnsi="Times New Roman" w:eastAsia="宋体" w:cs="Times New Roman"/>
          <w:szCs w:val="21"/>
        </w:rPr>
        <w:t>；</w:t>
      </w:r>
      <w:r>
        <w:rPr>
          <w:rFonts w:hint="default" w:ascii="Times New Roman" w:hAnsi="Times New Roman" w:eastAsia="宋体" w:cs="Times New Roman"/>
          <w:szCs w:val="21"/>
        </w:rPr>
        <w:t>自验收合格之日</w:t>
      </w:r>
      <w:r>
        <w:rPr>
          <w:rFonts w:ascii="Times New Roman" w:hAnsi="Times New Roman" w:eastAsia="宋体" w:cs="Times New Roman"/>
          <w:szCs w:val="21"/>
        </w:rPr>
        <w:t>起</w:t>
      </w:r>
      <w:r>
        <w:rPr>
          <w:rFonts w:hint="default" w:ascii="Times New Roman" w:hAnsi="Times New Roman" w:eastAsia="宋体" w:cs="Times New Roman"/>
          <w:szCs w:val="21"/>
        </w:rPr>
        <w:t>满</w:t>
      </w:r>
      <w:r>
        <w:rPr>
          <w:rFonts w:hint="default" w:ascii="Times New Roman" w:hAnsi="Times New Roman" w:eastAsia="宋体" w:cs="Times New Roman"/>
          <w:szCs w:val="21"/>
          <w:u w:val="single"/>
        </w:rPr>
        <w:t>1</w:t>
      </w:r>
      <w:r>
        <w:rPr>
          <w:rFonts w:hint="default" w:ascii="Times New Roman" w:hAnsi="Times New Roman" w:eastAsia="宋体" w:cs="Times New Roman"/>
          <w:szCs w:val="21"/>
        </w:rPr>
        <w:t>年，甲方接到乙方</w:t>
      </w:r>
      <w:r>
        <w:rPr>
          <w:rFonts w:ascii="Times New Roman" w:hAnsi="Times New Roman" w:eastAsia="宋体" w:cs="Times New Roman"/>
          <w:szCs w:val="21"/>
        </w:rPr>
        <w:t>退</w:t>
      </w:r>
      <w:r>
        <w:rPr>
          <w:rFonts w:hint="default" w:ascii="Times New Roman" w:hAnsi="Times New Roman" w:eastAsia="宋体" w:cs="Times New Roman"/>
          <w:szCs w:val="21"/>
        </w:rPr>
        <w:t>款申请30个工作日内，甲方一次性无息退还乙方的履约保证金</w:t>
      </w:r>
      <w:r>
        <w:rPr>
          <w:rFonts w:ascii="Times New Roman" w:hAnsi="Times New Roman" w:eastAsia="宋体" w:cs="Times New Roman"/>
          <w:szCs w:val="21"/>
        </w:rPr>
        <w:t>。</w:t>
      </w:r>
      <w:r>
        <w:rPr>
          <w:rFonts w:hint="default" w:ascii="Times New Roman" w:hAnsi="Times New Roman" w:eastAsia="宋体" w:cs="Times New Roman"/>
          <w:szCs w:val="21"/>
        </w:rPr>
        <w:t>验收不合格的，履约保证金不予退还。</w:t>
      </w:r>
    </w:p>
    <w:p w14:paraId="268834E8">
      <w:pPr>
        <w:pStyle w:val="16"/>
        <w:spacing w:line="240" w:lineRule="auto"/>
        <w:ind w:left="420" w:leftChars="200" w:firstLine="0" w:firstLineChars="0"/>
        <w:contextualSpacing/>
        <w:rPr>
          <w:rFonts w:hint="default" w:ascii="Times New Roman" w:hAnsi="Times New Roman" w:eastAsia="宋体" w:cs="Times New Roman"/>
          <w:szCs w:val="21"/>
        </w:rPr>
      </w:pPr>
      <w:r>
        <w:rPr>
          <w:rFonts w:hint="default" w:ascii="Times New Roman" w:hAnsi="Times New Roman" w:eastAsia="宋体" w:cs="Times New Roman"/>
          <w:szCs w:val="21"/>
        </w:rPr>
        <w:sym w:font="Wingdings" w:char="F0A8"/>
      </w:r>
      <w:r>
        <w:rPr>
          <w:rFonts w:hint="default" w:ascii="Times New Roman" w:hAnsi="Times New Roman" w:eastAsia="宋体" w:cs="Times New Roman"/>
          <w:szCs w:val="21"/>
        </w:rPr>
        <w:t>本合同不涉及履约保证金。</w:t>
      </w:r>
    </w:p>
    <w:p w14:paraId="52625E87">
      <w:pPr>
        <w:pStyle w:val="29"/>
        <w:numPr>
          <w:ilvl w:val="0"/>
          <w:numId w:val="21"/>
        </w:numPr>
        <w:ind w:left="0" w:firstLine="0" w:firstLineChars="0"/>
        <w:contextualSpacing/>
        <w:rPr>
          <w:rFonts w:hint="default" w:ascii="Times New Roman" w:hAnsi="Times New Roman" w:eastAsia="宋体" w:cs="Times New Roman"/>
        </w:rPr>
      </w:pPr>
      <w:r>
        <w:rPr>
          <w:rFonts w:hint="default" w:ascii="Times New Roman" w:hAnsi="Times New Roman" w:eastAsia="宋体" w:cs="Times New Roman"/>
        </w:rPr>
        <w:t>本</w:t>
      </w:r>
      <w:r>
        <w:rPr>
          <w:rFonts w:ascii="Times New Roman" w:hAnsi="Times New Roman" w:eastAsia="宋体" w:cs="Times New Roman"/>
        </w:rPr>
        <w:t>合同</w:t>
      </w:r>
      <w:r>
        <w:rPr>
          <w:rFonts w:hint="default" w:ascii="Times New Roman" w:hAnsi="Times New Roman" w:eastAsia="宋体" w:cs="Times New Roman"/>
        </w:rPr>
        <w:t>价款采用以下方式支付，以人民币结算：</w:t>
      </w:r>
    </w:p>
    <w:p w14:paraId="22D14E5E">
      <w:pPr>
        <w:pStyle w:val="16"/>
        <w:spacing w:line="240" w:lineRule="auto"/>
        <w:ind w:left="420" w:leftChars="200" w:firstLine="0" w:firstLineChars="0"/>
        <w:contextualSpacing/>
        <w:rPr>
          <w:rFonts w:hint="default" w:ascii="Times New Roman" w:hAnsi="Times New Roman" w:eastAsia="宋体" w:cs="Times New Roman"/>
          <w:szCs w:val="21"/>
        </w:rPr>
      </w:pPr>
      <w:r>
        <w:rPr>
          <w:rFonts w:hint="default" w:ascii="Times New Roman" w:hAnsi="Times New Roman" w:eastAsia="宋体" w:cs="Times New Roman"/>
          <w:szCs w:val="21"/>
        </w:rPr>
        <w:sym w:font="Wingdings 2" w:char="F052"/>
      </w:r>
      <w:r>
        <w:rPr>
          <w:rFonts w:hint="default" w:ascii="Times New Roman" w:hAnsi="Times New Roman" w:eastAsia="宋体" w:cs="Times New Roman"/>
          <w:szCs w:val="21"/>
        </w:rPr>
        <w:t>一次性支付：</w:t>
      </w:r>
    </w:p>
    <w:p w14:paraId="52B82026">
      <w:pPr>
        <w:pStyle w:val="16"/>
        <w:spacing w:line="240" w:lineRule="auto"/>
        <w:ind w:left="840" w:leftChars="400"/>
        <w:contextualSpacing/>
        <w:rPr>
          <w:rFonts w:hint="default" w:ascii="Times New Roman" w:hAnsi="Times New Roman" w:eastAsia="宋体" w:cs="Times New Roman"/>
          <w:szCs w:val="21"/>
        </w:rPr>
      </w:pPr>
      <w:r>
        <w:rPr>
          <w:rFonts w:hint="default" w:ascii="Times New Roman" w:hAnsi="Times New Roman" w:eastAsia="宋体" w:cs="Times New Roman"/>
          <w:szCs w:val="21"/>
        </w:rPr>
        <w:t>验收合格后，乙方须</w:t>
      </w:r>
      <w:r>
        <w:rPr>
          <w:rFonts w:ascii="Times New Roman" w:hAnsi="Times New Roman" w:eastAsia="宋体" w:cs="Times New Roman"/>
          <w:szCs w:val="21"/>
        </w:rPr>
        <w:t>在</w:t>
      </w:r>
      <w:r>
        <w:rPr>
          <w:rFonts w:hint="default" w:ascii="Times New Roman" w:hAnsi="Times New Roman" w:eastAsia="宋体" w:cs="Times New Roman"/>
          <w:szCs w:val="21"/>
        </w:rPr>
        <w:t>5日内向甲方出具合法有效票据及其它相关请款资料，甲方自收到上述发票及凭证资料后55日内</w:t>
      </w:r>
      <w:r>
        <w:rPr>
          <w:rFonts w:ascii="Times New Roman" w:hAnsi="Times New Roman" w:eastAsia="宋体" w:cs="Times New Roman"/>
          <w:szCs w:val="21"/>
        </w:rPr>
        <w:t>向乙方</w:t>
      </w:r>
      <w:r>
        <w:rPr>
          <w:rFonts w:hint="default" w:ascii="Times New Roman" w:hAnsi="Times New Roman" w:eastAsia="宋体" w:cs="Times New Roman"/>
          <w:szCs w:val="21"/>
        </w:rPr>
        <w:t>支付</w:t>
      </w:r>
      <w:r>
        <w:rPr>
          <w:rFonts w:ascii="Times New Roman" w:hAnsi="Times New Roman" w:eastAsia="宋体" w:cs="Times New Roman"/>
          <w:szCs w:val="21"/>
        </w:rPr>
        <w:t>本</w:t>
      </w:r>
      <w:r>
        <w:rPr>
          <w:rFonts w:hint="default" w:ascii="Times New Roman" w:hAnsi="Times New Roman" w:eastAsia="宋体" w:cs="Times New Roman"/>
          <w:szCs w:val="21"/>
        </w:rPr>
        <w:t>合同</w:t>
      </w:r>
      <w:r>
        <w:rPr>
          <w:rFonts w:ascii="Times New Roman" w:hAnsi="Times New Roman" w:eastAsia="宋体" w:cs="Times New Roman"/>
          <w:szCs w:val="21"/>
        </w:rPr>
        <w:t>总金额的</w:t>
      </w:r>
      <w:r>
        <w:rPr>
          <w:rFonts w:hint="default" w:ascii="Times New Roman" w:hAnsi="Times New Roman" w:eastAsia="宋体" w:cs="Times New Roman"/>
          <w:szCs w:val="21"/>
        </w:rPr>
        <w:t>100%。</w:t>
      </w:r>
    </w:p>
    <w:p w14:paraId="7CB62DE3">
      <w:pPr>
        <w:pStyle w:val="16"/>
        <w:spacing w:line="240" w:lineRule="auto"/>
        <w:ind w:left="420" w:leftChars="200" w:firstLine="0" w:firstLineChars="0"/>
        <w:contextualSpacing/>
        <w:rPr>
          <w:rFonts w:hint="default" w:ascii="Times New Roman" w:hAnsi="Times New Roman" w:eastAsia="宋体" w:cs="Times New Roman"/>
          <w:szCs w:val="21"/>
        </w:rPr>
      </w:pPr>
      <w:r>
        <w:rPr>
          <w:rFonts w:hint="default" w:ascii="Times New Roman" w:hAnsi="Times New Roman" w:eastAsia="宋体" w:cs="Times New Roman"/>
          <w:szCs w:val="21"/>
        </w:rPr>
        <w:sym w:font="Wingdings" w:char="F0A8"/>
      </w:r>
      <w:r>
        <w:rPr>
          <w:rFonts w:hint="default" w:ascii="Times New Roman" w:hAnsi="Times New Roman" w:eastAsia="宋体" w:cs="Times New Roman"/>
          <w:szCs w:val="21"/>
        </w:rPr>
        <w:t>分阶段支付，支付期限及额度如下：</w:t>
      </w:r>
    </w:p>
    <w:p w14:paraId="740B66BB">
      <w:pPr>
        <w:pStyle w:val="16"/>
        <w:spacing w:line="240" w:lineRule="auto"/>
        <w:ind w:left="840" w:leftChars="400" w:firstLine="0" w:firstLineChars="0"/>
        <w:contextualSpacing/>
        <w:jc w:val="left"/>
        <w:rPr>
          <w:rFonts w:hint="default" w:ascii="Times New Roman" w:hAnsi="Times New Roman" w:eastAsia="宋体" w:cs="Times New Roman"/>
          <w:szCs w:val="21"/>
        </w:rPr>
      </w:pPr>
      <w:r>
        <w:rPr>
          <w:rFonts w:hint="default" w:ascii="Times New Roman" w:hAnsi="Times New Roman" w:eastAsia="宋体" w:cs="Times New Roman"/>
          <w:szCs w:val="21"/>
        </w:rPr>
        <w:t>（1）预付款：本合同生效后***个工作日内，甲方预付</w:t>
      </w:r>
      <w:r>
        <w:rPr>
          <w:rFonts w:ascii="Times New Roman" w:hAnsi="Times New Roman" w:eastAsia="宋体" w:cs="Times New Roman"/>
          <w:szCs w:val="21"/>
        </w:rPr>
        <w:t>合同总金额</w:t>
      </w:r>
      <w:r>
        <w:rPr>
          <w:rFonts w:hint="default" w:ascii="Times New Roman" w:hAnsi="Times New Roman" w:eastAsia="宋体" w:cs="Times New Roman"/>
          <w:szCs w:val="21"/>
        </w:rPr>
        <w:t>的***%，即人民币（大写） *** 圆整（RMB *** 元）。</w:t>
      </w:r>
    </w:p>
    <w:p w14:paraId="74710B24">
      <w:pPr>
        <w:pStyle w:val="16"/>
        <w:spacing w:line="240" w:lineRule="auto"/>
        <w:ind w:left="840" w:leftChars="400" w:firstLine="0" w:firstLineChars="0"/>
        <w:contextualSpacing/>
        <w:jc w:val="left"/>
        <w:rPr>
          <w:rFonts w:hint="default" w:ascii="Times New Roman" w:hAnsi="Times New Roman" w:eastAsia="宋体" w:cs="Times New Roman"/>
          <w:szCs w:val="21"/>
        </w:rPr>
      </w:pPr>
      <w:r>
        <w:rPr>
          <w:rFonts w:hint="default" w:ascii="Times New Roman" w:hAnsi="Times New Roman" w:eastAsia="宋体" w:cs="Times New Roman"/>
          <w:szCs w:val="21"/>
        </w:rPr>
        <w:t>（2）进度款，甲方应当按照下列方式支付进度款：</w:t>
      </w:r>
    </w:p>
    <w:p w14:paraId="2FC563FB">
      <w:pPr>
        <w:pStyle w:val="16"/>
        <w:spacing w:line="240" w:lineRule="auto"/>
        <w:ind w:left="1260" w:leftChars="600" w:firstLine="0" w:firstLineChars="0"/>
        <w:contextualSpacing/>
        <w:jc w:val="left"/>
        <w:rPr>
          <w:rFonts w:hint="default" w:ascii="Times New Roman" w:hAnsi="Times New Roman" w:eastAsia="宋体" w:cs="Times New Roman"/>
          <w:szCs w:val="21"/>
        </w:rPr>
      </w:pPr>
      <w:r>
        <w:rPr>
          <w:rFonts w:hint="default" w:ascii="Times New Roman" w:hAnsi="Times New Roman" w:eastAsia="宋体" w:cs="Times New Roman"/>
          <w:szCs w:val="21"/>
        </w:rPr>
        <w:sym w:font="Wingdings" w:char="F0A8"/>
      </w:r>
      <w:r>
        <w:rPr>
          <w:rFonts w:hint="default" w:ascii="Times New Roman" w:hAnsi="Times New Roman" w:eastAsia="宋体" w:cs="Times New Roman"/>
          <w:szCs w:val="21"/>
        </w:rPr>
        <w:t>乙方按照本合同约定完成阶段性工作后，甲方应于每一阶段性工作成果验收合格之日起***个工作日内，向乙方支付</w:t>
      </w:r>
      <w:r>
        <w:rPr>
          <w:rFonts w:ascii="Times New Roman" w:hAnsi="Times New Roman" w:eastAsia="宋体" w:cs="Times New Roman"/>
          <w:szCs w:val="21"/>
        </w:rPr>
        <w:t>***</w:t>
      </w:r>
      <w:r>
        <w:rPr>
          <w:rFonts w:hint="default" w:ascii="Times New Roman" w:hAnsi="Times New Roman" w:eastAsia="宋体" w:cs="Times New Roman"/>
          <w:szCs w:val="21"/>
        </w:rPr>
        <w:t>。</w:t>
      </w:r>
    </w:p>
    <w:p w14:paraId="4299706C">
      <w:pPr>
        <w:pStyle w:val="16"/>
        <w:spacing w:line="240" w:lineRule="auto"/>
        <w:ind w:left="1260" w:leftChars="600" w:firstLine="0" w:firstLineChars="0"/>
        <w:contextualSpacing/>
        <w:jc w:val="left"/>
        <w:rPr>
          <w:rFonts w:hint="default" w:ascii="Times New Roman" w:hAnsi="Times New Roman" w:eastAsia="宋体" w:cs="Times New Roman"/>
          <w:szCs w:val="21"/>
        </w:rPr>
      </w:pPr>
      <w:r>
        <w:rPr>
          <w:rFonts w:hint="default" w:ascii="Times New Roman" w:hAnsi="Times New Roman" w:eastAsia="宋体" w:cs="Times New Roman"/>
          <w:szCs w:val="21"/>
        </w:rPr>
        <w:sym w:font="Wingdings" w:char="F0A8"/>
      </w:r>
      <w:r>
        <w:rPr>
          <w:rFonts w:hint="default" w:ascii="Times New Roman" w:hAnsi="Times New Roman" w:eastAsia="宋体" w:cs="Times New Roman"/>
          <w:szCs w:val="21"/>
        </w:rPr>
        <w:t>乙方完成***，甲方支付项目费用总额的***%，即 人民币（大写）*** 圆整（RMB *** 元）。</w:t>
      </w:r>
    </w:p>
    <w:p w14:paraId="0B999E1F">
      <w:pPr>
        <w:pStyle w:val="16"/>
        <w:spacing w:line="240" w:lineRule="auto"/>
        <w:ind w:left="840" w:leftChars="400" w:firstLine="0" w:firstLineChars="0"/>
        <w:contextualSpacing/>
        <w:jc w:val="left"/>
        <w:rPr>
          <w:rFonts w:hint="default" w:ascii="Times New Roman" w:hAnsi="Times New Roman" w:eastAsia="宋体" w:cs="Times New Roman"/>
          <w:szCs w:val="21"/>
        </w:rPr>
      </w:pPr>
      <w:r>
        <w:rPr>
          <w:rFonts w:hint="default" w:ascii="Times New Roman" w:hAnsi="Times New Roman" w:eastAsia="宋体" w:cs="Times New Roman"/>
          <w:szCs w:val="21"/>
        </w:rPr>
        <w:t>（3）结算款：本项目竣工验收合格后***个工作日内，甲方向乙方支付剩余价款人民币（大写）*** 圆整（RMB *** 元）。</w:t>
      </w:r>
    </w:p>
    <w:p w14:paraId="245B9CD8">
      <w:pPr>
        <w:pStyle w:val="29"/>
        <w:numPr>
          <w:ilvl w:val="0"/>
          <w:numId w:val="21"/>
        </w:numPr>
        <w:ind w:left="0" w:firstLine="0" w:firstLineChars="0"/>
        <w:contextualSpacing/>
        <w:rPr>
          <w:rFonts w:hint="default" w:ascii="Times New Roman" w:hAnsi="Times New Roman" w:eastAsia="宋体" w:cs="Times New Roman"/>
        </w:rPr>
      </w:pPr>
      <w:r>
        <w:rPr>
          <w:rFonts w:hint="default" w:ascii="Times New Roman" w:hAnsi="Times New Roman" w:eastAsia="宋体" w:cs="Times New Roman"/>
        </w:rPr>
        <w:t>甲方付款前，乙方需</w:t>
      </w:r>
      <w:r>
        <w:rPr>
          <w:rFonts w:ascii="Times New Roman" w:hAnsi="Times New Roman" w:eastAsia="宋体" w:cs="Times New Roman"/>
        </w:rPr>
        <w:t>按本合同约定</w:t>
      </w:r>
      <w:r>
        <w:rPr>
          <w:rFonts w:hint="default" w:ascii="Times New Roman" w:hAnsi="Times New Roman" w:eastAsia="宋体" w:cs="Times New Roman"/>
        </w:rPr>
        <w:t>出具合法有效票据及其它相关请款资料，否则甲方有权拒绝支付且不承担任何违约责任，且乙方不得因此停止履约。</w:t>
      </w:r>
    </w:p>
    <w:p w14:paraId="699CE2F5">
      <w:pPr>
        <w:pStyle w:val="29"/>
        <w:numPr>
          <w:ilvl w:val="0"/>
          <w:numId w:val="21"/>
        </w:numPr>
        <w:ind w:left="0" w:firstLine="0" w:firstLineChars="0"/>
        <w:contextualSpacing/>
        <w:rPr>
          <w:rFonts w:hint="default" w:ascii="Times New Roman" w:hAnsi="Times New Roman" w:eastAsia="宋体" w:cs="Times New Roman"/>
        </w:rPr>
      </w:pPr>
      <w:r>
        <w:rPr>
          <w:rFonts w:hint="default" w:ascii="Times New Roman" w:hAnsi="Times New Roman" w:eastAsia="宋体" w:cs="Times New Roman"/>
        </w:rPr>
        <w:t>乙方</w:t>
      </w:r>
      <w:r>
        <w:rPr>
          <w:rFonts w:ascii="Times New Roman" w:hAnsi="Times New Roman" w:eastAsia="宋体" w:cs="Times New Roman"/>
        </w:rPr>
        <w:t>票据</w:t>
      </w:r>
      <w:r>
        <w:rPr>
          <w:rFonts w:hint="default" w:ascii="Times New Roman" w:hAnsi="Times New Roman" w:eastAsia="宋体" w:cs="Times New Roman"/>
        </w:rPr>
        <w:t>信息中的</w:t>
      </w:r>
      <w:r>
        <w:rPr>
          <w:rFonts w:ascii="Times New Roman" w:hAnsi="Times New Roman" w:eastAsia="宋体" w:cs="Times New Roman"/>
        </w:rPr>
        <w:t>产品</w:t>
      </w:r>
      <w:r>
        <w:rPr>
          <w:rFonts w:hint="default" w:ascii="Times New Roman" w:hAnsi="Times New Roman" w:eastAsia="宋体" w:cs="Times New Roman"/>
        </w:rPr>
        <w:t>名称应与本合同</w:t>
      </w:r>
      <w:r>
        <w:rPr>
          <w:rFonts w:ascii="Times New Roman" w:hAnsi="Times New Roman" w:eastAsia="宋体" w:cs="Times New Roman"/>
        </w:rPr>
        <w:t>成交</w:t>
      </w:r>
      <w:r>
        <w:rPr>
          <w:rFonts w:hint="default" w:ascii="Times New Roman" w:hAnsi="Times New Roman" w:eastAsia="宋体" w:cs="Times New Roman"/>
        </w:rPr>
        <w:t>产品名称一致。</w:t>
      </w:r>
    </w:p>
    <w:p w14:paraId="1650CBE7">
      <w:pPr>
        <w:pStyle w:val="29"/>
        <w:numPr>
          <w:ilvl w:val="0"/>
          <w:numId w:val="21"/>
        </w:numPr>
        <w:ind w:left="0" w:firstLine="0" w:firstLineChars="0"/>
        <w:contextualSpacing/>
        <w:rPr>
          <w:rFonts w:hint="default" w:ascii="Times New Roman" w:hAnsi="Times New Roman" w:eastAsia="宋体" w:cs="Times New Roman"/>
        </w:rPr>
      </w:pPr>
      <w:r>
        <w:rPr>
          <w:rFonts w:hint="default" w:ascii="Times New Roman" w:hAnsi="Times New Roman" w:eastAsia="宋体" w:cs="Times New Roman"/>
        </w:rPr>
        <w:t>乙方开票信息应与合同预留账户信息一致，如有变更，乙方应当在变更后3日内通知甲方，否则，由此造成的损失由乙方自行承担。</w:t>
      </w:r>
    </w:p>
    <w:p w14:paraId="28C8BA33">
      <w:pPr>
        <w:pStyle w:val="29"/>
        <w:numPr>
          <w:ilvl w:val="0"/>
          <w:numId w:val="13"/>
        </w:numPr>
        <w:ind w:left="0" w:firstLine="0" w:firstLineChars="0"/>
        <w:contextualSpacing/>
        <w:rPr>
          <w:rFonts w:hint="default" w:ascii="Times New Roman" w:hAnsi="Times New Roman" w:eastAsia="宋体" w:cs="Times New Roman"/>
          <w:b/>
          <w:bCs/>
          <w:color w:val="auto"/>
        </w:rPr>
      </w:pPr>
      <w:r>
        <w:rPr>
          <w:rFonts w:hint="default" w:ascii="Times New Roman" w:hAnsi="Times New Roman" w:eastAsia="宋体" w:cs="Times New Roman"/>
          <w:b/>
          <w:bCs/>
          <w:color w:val="auto"/>
        </w:rPr>
        <w:t>售后服务</w:t>
      </w:r>
    </w:p>
    <w:p w14:paraId="379BF1CC">
      <w:pPr>
        <w:pStyle w:val="29"/>
        <w:numPr>
          <w:ilvl w:val="0"/>
          <w:numId w:val="22"/>
        </w:numPr>
        <w:ind w:firstLineChars="0"/>
        <w:rPr>
          <w:rFonts w:hint="default" w:ascii="Times New Roman" w:hAnsi="Times New Roman" w:eastAsia="宋体" w:cs="Times New Roman"/>
        </w:rPr>
      </w:pPr>
      <w:r>
        <w:rPr>
          <w:rFonts w:hint="default" w:ascii="Times New Roman" w:hAnsi="Times New Roman" w:eastAsia="宋体" w:cs="Times New Roman"/>
        </w:rPr>
        <w:t>乙方</w:t>
      </w:r>
      <w:r>
        <w:rPr>
          <w:rFonts w:ascii="Times New Roman" w:hAnsi="Times New Roman" w:eastAsia="宋体" w:cs="Times New Roman"/>
        </w:rPr>
        <w:t>应</w:t>
      </w:r>
      <w:r>
        <w:rPr>
          <w:rFonts w:hint="default" w:ascii="Times New Roman" w:hAnsi="Times New Roman" w:eastAsia="宋体" w:cs="Times New Roman"/>
        </w:rPr>
        <w:t>为</w:t>
      </w:r>
      <w:r>
        <w:rPr>
          <w:rFonts w:ascii="Times New Roman" w:hAnsi="Times New Roman" w:eastAsia="宋体" w:cs="Times New Roman"/>
        </w:rPr>
        <w:t>甲方</w:t>
      </w:r>
      <w:r>
        <w:rPr>
          <w:rFonts w:hint="default" w:ascii="Times New Roman" w:hAnsi="Times New Roman" w:eastAsia="宋体" w:cs="Times New Roman"/>
        </w:rPr>
        <w:t>提供使用操作培训，保证受训人员能对设备进行熟练操作及日常维护；为</w:t>
      </w:r>
      <w:r>
        <w:rPr>
          <w:rFonts w:ascii="Times New Roman" w:hAnsi="Times New Roman" w:eastAsia="宋体" w:cs="Times New Roman"/>
        </w:rPr>
        <w:t>甲方维</w:t>
      </w:r>
      <w:r>
        <w:rPr>
          <w:rFonts w:hint="default" w:ascii="Times New Roman" w:hAnsi="Times New Roman" w:eastAsia="宋体" w:cs="Times New Roman"/>
        </w:rPr>
        <w:t>修工程师提供技术培训，直至其具备保障设备正常运行和排除一般性故障的能力。如未达到上述要求，采购人有权延后支付</w:t>
      </w:r>
      <w:r>
        <w:rPr>
          <w:rFonts w:ascii="Times New Roman" w:hAnsi="Times New Roman" w:eastAsia="宋体" w:cs="Times New Roman"/>
        </w:rPr>
        <w:t>本</w:t>
      </w:r>
      <w:r>
        <w:rPr>
          <w:rFonts w:hint="default" w:ascii="Times New Roman" w:hAnsi="Times New Roman" w:eastAsia="宋体" w:cs="Times New Roman"/>
        </w:rPr>
        <w:t>合同</w:t>
      </w:r>
      <w:r>
        <w:rPr>
          <w:rFonts w:ascii="Times New Roman" w:hAnsi="Times New Roman" w:eastAsia="宋体" w:cs="Times New Roman"/>
        </w:rPr>
        <w:t>款项</w:t>
      </w:r>
      <w:r>
        <w:rPr>
          <w:rFonts w:hint="default" w:ascii="Times New Roman" w:hAnsi="Times New Roman" w:eastAsia="宋体" w:cs="Times New Roman"/>
        </w:rPr>
        <w:t>。</w:t>
      </w:r>
    </w:p>
    <w:p w14:paraId="7497EC95">
      <w:pPr>
        <w:pStyle w:val="29"/>
        <w:numPr>
          <w:ilvl w:val="0"/>
          <w:numId w:val="22"/>
        </w:numPr>
        <w:ind w:firstLineChars="0"/>
        <w:rPr>
          <w:rFonts w:hint="default" w:ascii="Times New Roman" w:hAnsi="Times New Roman" w:eastAsia="宋体" w:cs="Times New Roman"/>
        </w:rPr>
      </w:pPr>
      <w:r>
        <w:rPr>
          <w:rFonts w:hint="default" w:ascii="Times New Roman" w:hAnsi="Times New Roman" w:eastAsia="宋体" w:cs="Times New Roman"/>
        </w:rPr>
        <w:t xml:space="preserve">质保期为验收合格后 </w:t>
      </w:r>
      <w:r>
        <w:rPr>
          <w:rFonts w:hint="default" w:ascii="Times New Roman" w:hAnsi="Times New Roman" w:eastAsia="宋体" w:cs="Times New Roman"/>
          <w:u w:val="single"/>
        </w:rPr>
        <w:t>***</w:t>
      </w:r>
      <w:r>
        <w:rPr>
          <w:rFonts w:hint="default" w:ascii="Times New Roman" w:hAnsi="Times New Roman" w:eastAsia="宋体" w:cs="Times New Roman"/>
        </w:rPr>
        <w:t xml:space="preserve"> 年。</w:t>
      </w:r>
      <w:r>
        <w:rPr>
          <w:rFonts w:hint="default" w:ascii="Times New Roman" w:hAnsi="Times New Roman" w:eastAsia="宋体" w:cs="Times New Roman"/>
          <w:i/>
          <w:iCs/>
          <w:highlight w:val="yellow"/>
        </w:rPr>
        <w:t>&lt;具体培训内容可根据项目具体情况编制</w:t>
      </w:r>
      <w:r>
        <w:rPr>
          <w:rFonts w:ascii="Times New Roman" w:hAnsi="Times New Roman" w:eastAsia="宋体" w:cs="Times New Roman"/>
          <w:i/>
          <w:iCs/>
        </w:rPr>
        <w:t>&gt;</w:t>
      </w:r>
    </w:p>
    <w:p w14:paraId="0D09AD96">
      <w:pPr>
        <w:pStyle w:val="29"/>
        <w:numPr>
          <w:ilvl w:val="0"/>
          <w:numId w:val="22"/>
        </w:numPr>
        <w:ind w:firstLineChars="0"/>
        <w:rPr>
          <w:rFonts w:hint="default" w:ascii="Times New Roman" w:hAnsi="Times New Roman" w:eastAsia="宋体" w:cs="Times New Roman"/>
        </w:rPr>
      </w:pPr>
      <w:r>
        <w:rPr>
          <w:rFonts w:hint="default" w:ascii="Times New Roman" w:hAnsi="Times New Roman" w:eastAsia="宋体" w:cs="Times New Roman"/>
        </w:rPr>
        <w:t>质保范围：整机含所有部件（质保期内涉及维修,产品更换,人工费用等一切费用包含在本合同总价中</w:t>
      </w:r>
      <w:r>
        <w:rPr>
          <w:rFonts w:ascii="Times New Roman" w:hAnsi="Times New Roman" w:eastAsia="宋体" w:cs="Times New Roman"/>
        </w:rPr>
        <w:t>）</w:t>
      </w:r>
      <w:r>
        <w:rPr>
          <w:rFonts w:hint="default" w:ascii="Times New Roman" w:hAnsi="Times New Roman" w:eastAsia="宋体" w:cs="Times New Roman"/>
        </w:rPr>
        <w:t>。</w:t>
      </w:r>
    </w:p>
    <w:p w14:paraId="06BD9DB1">
      <w:pPr>
        <w:pStyle w:val="29"/>
        <w:numPr>
          <w:ilvl w:val="0"/>
          <w:numId w:val="22"/>
        </w:numPr>
        <w:ind w:firstLineChars="0"/>
        <w:rPr>
          <w:rFonts w:hint="default" w:ascii="Times New Roman" w:hAnsi="Times New Roman" w:eastAsia="宋体" w:cs="Times New Roman"/>
        </w:rPr>
      </w:pPr>
      <w:r>
        <w:rPr>
          <w:rFonts w:hint="default" w:ascii="Times New Roman" w:hAnsi="Times New Roman" w:eastAsia="宋体" w:cs="Times New Roman"/>
        </w:rPr>
        <w:t>质保期内出现质量问题，乙方在接到甲方通知后</w:t>
      </w:r>
      <w:r>
        <w:rPr>
          <w:rFonts w:ascii="Times New Roman" w:hAnsi="Times New Roman" w:eastAsia="宋体" w:cs="Times New Roman"/>
        </w:rPr>
        <w:t>2</w:t>
      </w:r>
      <w:r>
        <w:rPr>
          <w:rFonts w:hint="default" w:ascii="Times New Roman" w:hAnsi="Times New Roman" w:eastAsia="宋体" w:cs="Times New Roman"/>
        </w:rPr>
        <w:t>小时内响应，</w:t>
      </w:r>
      <w:r>
        <w:rPr>
          <w:rFonts w:ascii="Times New Roman" w:hAnsi="Times New Roman" w:eastAsia="宋体" w:cs="Times New Roman"/>
        </w:rPr>
        <w:t>24</w:t>
      </w:r>
      <w:r>
        <w:rPr>
          <w:rFonts w:hint="default" w:ascii="Times New Roman" w:hAnsi="Times New Roman" w:eastAsia="宋体" w:cs="Times New Roman"/>
        </w:rPr>
        <w:t>小时内到场维修</w:t>
      </w:r>
      <w:r>
        <w:rPr>
          <w:rFonts w:ascii="Times New Roman" w:hAnsi="Times New Roman" w:eastAsia="宋体" w:cs="Times New Roman"/>
        </w:rPr>
        <w:t>，</w:t>
      </w:r>
      <w:r>
        <w:rPr>
          <w:rFonts w:hint="default" w:ascii="Times New Roman" w:hAnsi="Times New Roman" w:eastAsia="宋体" w:cs="Times New Roman"/>
        </w:rPr>
        <w:t>并承担</w:t>
      </w:r>
      <w:r>
        <w:rPr>
          <w:rFonts w:ascii="Times New Roman" w:hAnsi="Times New Roman" w:eastAsia="宋体" w:cs="Times New Roman"/>
        </w:rPr>
        <w:t>相关</w:t>
      </w:r>
      <w:r>
        <w:rPr>
          <w:rFonts w:hint="default" w:ascii="Times New Roman" w:hAnsi="Times New Roman" w:eastAsia="宋体" w:cs="Times New Roman"/>
        </w:rPr>
        <w:t>费用。</w:t>
      </w:r>
    </w:p>
    <w:p w14:paraId="0ABAECBF">
      <w:pPr>
        <w:pStyle w:val="29"/>
        <w:numPr>
          <w:ilvl w:val="0"/>
          <w:numId w:val="22"/>
        </w:numPr>
        <w:ind w:firstLineChars="0"/>
        <w:rPr>
          <w:rFonts w:hint="default" w:ascii="Times New Roman" w:hAnsi="Times New Roman" w:eastAsia="宋体" w:cs="Times New Roman"/>
        </w:rPr>
      </w:pPr>
      <w:r>
        <w:rPr>
          <w:rFonts w:ascii="Times New Roman" w:hAnsi="Times New Roman" w:eastAsia="宋体" w:cs="Times New Roman"/>
        </w:rPr>
        <w:t>如本合同设备在质保期内因同一故障</w:t>
      </w:r>
      <w:r>
        <w:rPr>
          <w:rFonts w:hint="default" w:ascii="Times New Roman" w:hAnsi="Times New Roman" w:eastAsia="宋体" w:cs="Times New Roman"/>
        </w:rPr>
        <w:t>经乙方两次维修仍不能达到本合同约定的</w:t>
      </w:r>
      <w:r>
        <w:rPr>
          <w:rFonts w:ascii="Times New Roman" w:hAnsi="Times New Roman" w:eastAsia="宋体" w:cs="Times New Roman"/>
        </w:rPr>
        <w:t>技术要求及国家法律法规规定的</w:t>
      </w:r>
      <w:r>
        <w:rPr>
          <w:rFonts w:hint="default" w:ascii="Times New Roman" w:hAnsi="Times New Roman" w:eastAsia="宋体" w:cs="Times New Roman"/>
        </w:rPr>
        <w:t>质量标准，甲方有权采取要求乙方更换全新设备</w:t>
      </w:r>
      <w:r>
        <w:rPr>
          <w:rFonts w:ascii="Times New Roman" w:hAnsi="Times New Roman" w:eastAsia="宋体" w:cs="Times New Roman"/>
        </w:rPr>
        <w:t>或</w:t>
      </w:r>
      <w:r>
        <w:rPr>
          <w:rFonts w:hint="default" w:ascii="Times New Roman" w:hAnsi="Times New Roman" w:eastAsia="宋体" w:cs="Times New Roman"/>
        </w:rPr>
        <w:t>退货</w:t>
      </w:r>
      <w:r>
        <w:rPr>
          <w:rFonts w:ascii="Times New Roman" w:hAnsi="Times New Roman" w:eastAsia="宋体" w:cs="Times New Roman"/>
        </w:rPr>
        <w:t>，</w:t>
      </w:r>
      <w:r>
        <w:rPr>
          <w:rFonts w:hint="default" w:ascii="Times New Roman" w:hAnsi="Times New Roman" w:eastAsia="宋体" w:cs="Times New Roman"/>
        </w:rPr>
        <w:t>并追究乙方违约责任等。</w:t>
      </w:r>
    </w:p>
    <w:p w14:paraId="035C094B">
      <w:pPr>
        <w:pStyle w:val="29"/>
        <w:numPr>
          <w:ilvl w:val="0"/>
          <w:numId w:val="22"/>
        </w:numPr>
        <w:ind w:firstLineChars="0"/>
        <w:rPr>
          <w:rFonts w:hint="default" w:ascii="Times New Roman" w:hAnsi="Times New Roman" w:eastAsia="宋体" w:cs="Times New Roman"/>
        </w:rPr>
      </w:pPr>
      <w:r>
        <w:rPr>
          <w:rFonts w:hint="default" w:ascii="Times New Roman" w:hAnsi="Times New Roman" w:eastAsia="宋体" w:cs="Times New Roman"/>
        </w:rPr>
        <w:t>质保期内，如需更换零配件，乙方应保证所更换的零配件与原设备相同规格和品质。</w:t>
      </w:r>
    </w:p>
    <w:p w14:paraId="7CDD2AC7">
      <w:pPr>
        <w:pStyle w:val="29"/>
        <w:numPr>
          <w:ilvl w:val="0"/>
          <w:numId w:val="22"/>
        </w:numPr>
        <w:ind w:firstLineChars="0"/>
        <w:rPr>
          <w:rFonts w:hint="default" w:ascii="Times New Roman" w:hAnsi="Times New Roman" w:eastAsia="宋体" w:cs="Times New Roman"/>
        </w:rPr>
      </w:pPr>
      <w:r>
        <w:rPr>
          <w:rFonts w:hint="default" w:ascii="Times New Roman" w:hAnsi="Times New Roman" w:eastAsia="宋体" w:cs="Times New Roman"/>
        </w:rPr>
        <w:t>乙方须指派专人负责与甲方联系售后服务事宜，联系人：***，联系电话：***。</w:t>
      </w:r>
    </w:p>
    <w:p w14:paraId="4BBF1EC3">
      <w:pPr>
        <w:pStyle w:val="29"/>
        <w:numPr>
          <w:ilvl w:val="0"/>
          <w:numId w:val="22"/>
        </w:numPr>
        <w:ind w:firstLineChars="0"/>
        <w:rPr>
          <w:rFonts w:hint="default" w:ascii="Times New Roman" w:hAnsi="Times New Roman" w:eastAsia="宋体" w:cs="Times New Roman"/>
        </w:rPr>
      </w:pPr>
      <w:r>
        <w:rPr>
          <w:rFonts w:ascii="Times New Roman" w:hAnsi="Times New Roman" w:eastAsia="Songti SC" w:cs="Times New Roman"/>
        </w:rPr>
        <w:t>质保期内，设备因自身故障导致的停机率不应超过</w:t>
      </w:r>
      <w:r>
        <w:rPr>
          <w:rFonts w:hint="default" w:ascii="Times New Roman" w:hAnsi="Times New Roman" w:eastAsia="Songti SC" w:cs="Times New Roman"/>
        </w:rPr>
        <w:t>5%</w:t>
      </w:r>
      <w:r>
        <w:rPr>
          <w:rFonts w:ascii="Times New Roman" w:hAnsi="Times New Roman" w:eastAsia="Songti SC" w:cs="Times New Roman"/>
        </w:rPr>
        <w:t>（一年按</w:t>
      </w:r>
      <w:r>
        <w:rPr>
          <w:rFonts w:hint="default" w:ascii="Times New Roman" w:hAnsi="Times New Roman" w:eastAsia="Songti SC" w:cs="Times New Roman"/>
        </w:rPr>
        <w:t>365</w:t>
      </w:r>
      <w:r>
        <w:rPr>
          <w:rFonts w:ascii="Times New Roman" w:hAnsi="Times New Roman" w:eastAsia="Songti SC" w:cs="Times New Roman"/>
        </w:rPr>
        <w:t>天计算），否则乙方应就超出部分（乙方已提供备用机并保障甲方正常使用的时间，不计算为停机时间）按天数向甲方赔偿经济损失</w:t>
      </w:r>
      <w:r>
        <w:rPr>
          <w:rFonts w:hint="default" w:ascii="Times New Roman" w:hAnsi="Times New Roman" w:eastAsia="宋体" w:cs="Times New Roman"/>
        </w:rPr>
        <w:t>。</w:t>
      </w:r>
    </w:p>
    <w:p w14:paraId="7E0BEC16">
      <w:pPr>
        <w:pStyle w:val="29"/>
        <w:numPr>
          <w:ilvl w:val="0"/>
          <w:numId w:val="22"/>
        </w:numPr>
        <w:ind w:firstLineChars="0"/>
        <w:rPr>
          <w:rFonts w:hint="default" w:ascii="Times New Roman" w:hAnsi="Times New Roman" w:eastAsia="宋体" w:cs="Times New Roman"/>
        </w:rPr>
      </w:pPr>
      <w:r>
        <w:rPr>
          <w:rFonts w:hint="default" w:ascii="Times New Roman" w:hAnsi="Times New Roman" w:eastAsia="宋体" w:cs="Times New Roman"/>
        </w:rPr>
        <w:t>若</w:t>
      </w:r>
      <w:r>
        <w:rPr>
          <w:rFonts w:ascii="Times New Roman" w:hAnsi="Times New Roman" w:eastAsia="宋体" w:cs="Times New Roman"/>
        </w:rPr>
        <w:t>本合同</w:t>
      </w:r>
      <w:r>
        <w:rPr>
          <w:rFonts w:hint="default" w:ascii="Times New Roman" w:hAnsi="Times New Roman" w:eastAsia="宋体" w:cs="Times New Roman"/>
        </w:rPr>
        <w:t>设备涉及计算机软件系统的，乙方有义务为甲方此后对设备完全的使用（含维护）提供便利及支持，包括但不限于源代码、密码的提供，乙方不得拒绝或收取额外费用。</w:t>
      </w:r>
    </w:p>
    <w:p w14:paraId="7A49BEE0">
      <w:pPr>
        <w:pStyle w:val="29"/>
        <w:numPr>
          <w:ilvl w:val="0"/>
          <w:numId w:val="22"/>
        </w:numPr>
        <w:ind w:firstLineChars="0"/>
        <w:rPr>
          <w:rFonts w:hint="default" w:ascii="Times New Roman" w:hAnsi="Times New Roman" w:eastAsia="宋体" w:cs="Times New Roman"/>
        </w:rPr>
      </w:pPr>
      <w:r>
        <w:rPr>
          <w:rFonts w:hint="default" w:ascii="Times New Roman" w:hAnsi="Times New Roman" w:eastAsia="宋体" w:cs="Times New Roman"/>
        </w:rPr>
        <w:t>质保期内，如设备因维修无法使用，</w:t>
      </w:r>
      <w:r>
        <w:rPr>
          <w:rFonts w:ascii="Times New Roman" w:hAnsi="Times New Roman" w:eastAsia="宋体" w:cs="Times New Roman"/>
        </w:rPr>
        <w:t>乙方</w:t>
      </w:r>
      <w:r>
        <w:rPr>
          <w:rFonts w:hint="default" w:ascii="Times New Roman" w:hAnsi="Times New Roman" w:eastAsia="宋体" w:cs="Times New Roman"/>
        </w:rPr>
        <w:t>应根据</w:t>
      </w:r>
      <w:r>
        <w:rPr>
          <w:rFonts w:ascii="Times New Roman" w:hAnsi="Times New Roman" w:eastAsia="宋体" w:cs="Times New Roman"/>
        </w:rPr>
        <w:t>甲方</w:t>
      </w:r>
      <w:r>
        <w:rPr>
          <w:rFonts w:hint="default" w:ascii="Times New Roman" w:hAnsi="Times New Roman" w:eastAsia="宋体" w:cs="Times New Roman"/>
        </w:rPr>
        <w:t>需要向</w:t>
      </w:r>
      <w:r>
        <w:rPr>
          <w:rFonts w:ascii="Times New Roman" w:hAnsi="Times New Roman" w:eastAsia="宋体" w:cs="Times New Roman"/>
        </w:rPr>
        <w:t>甲方</w:t>
      </w:r>
      <w:r>
        <w:rPr>
          <w:rFonts w:hint="default" w:ascii="Times New Roman" w:hAnsi="Times New Roman" w:eastAsia="宋体" w:cs="Times New Roman"/>
        </w:rPr>
        <w:t>提供替用设备。</w:t>
      </w:r>
    </w:p>
    <w:p w14:paraId="2A6D129C">
      <w:pPr>
        <w:pStyle w:val="29"/>
        <w:numPr>
          <w:ilvl w:val="0"/>
          <w:numId w:val="22"/>
        </w:numPr>
        <w:ind w:firstLineChars="0"/>
        <w:rPr>
          <w:rFonts w:hint="default" w:ascii="Times New Roman" w:hAnsi="Times New Roman" w:eastAsia="宋体" w:cs="Times New Roman"/>
        </w:rPr>
      </w:pPr>
      <w:r>
        <w:rPr>
          <w:rFonts w:hint="default" w:ascii="Times New Roman" w:hAnsi="Times New Roman" w:eastAsia="宋体" w:cs="Times New Roman"/>
        </w:rPr>
        <w:t>设备验收前，乙方应事先申明设备专用耗材和易损件，并将专用耗材和易损件的品名、规格、使用寿命等相关技术资料移交甲方</w:t>
      </w:r>
      <w:r>
        <w:rPr>
          <w:rFonts w:ascii="Times New Roman" w:hAnsi="Times New Roman" w:eastAsia="宋体" w:cs="Times New Roman"/>
        </w:rPr>
        <w:t>，</w:t>
      </w:r>
      <w:r>
        <w:rPr>
          <w:rFonts w:hint="default" w:ascii="Times New Roman" w:hAnsi="Times New Roman" w:eastAsia="宋体" w:cs="Times New Roman"/>
        </w:rPr>
        <w:t>未经事先申明的耗材和易损件将被纳入质保范围。</w:t>
      </w:r>
    </w:p>
    <w:p w14:paraId="356FC603">
      <w:pPr>
        <w:pStyle w:val="29"/>
        <w:numPr>
          <w:ilvl w:val="0"/>
          <w:numId w:val="22"/>
        </w:numPr>
        <w:ind w:firstLineChars="0"/>
        <w:rPr>
          <w:rFonts w:hint="default" w:ascii="Times New Roman" w:hAnsi="Times New Roman" w:eastAsia="宋体" w:cs="Times New Roman"/>
        </w:rPr>
      </w:pPr>
      <w:r>
        <w:rPr>
          <w:rFonts w:hint="default" w:ascii="Times New Roman" w:hAnsi="Times New Roman" w:eastAsia="宋体" w:cs="Times New Roman"/>
        </w:rPr>
        <w:t>售后服务涉及费用均包含在合同总价中。</w:t>
      </w:r>
    </w:p>
    <w:p w14:paraId="1C0C24AD">
      <w:pPr>
        <w:pStyle w:val="29"/>
        <w:numPr>
          <w:ilvl w:val="0"/>
          <w:numId w:val="22"/>
        </w:numPr>
        <w:ind w:firstLineChars="0"/>
        <w:rPr>
          <w:rFonts w:hint="default" w:ascii="Times New Roman" w:hAnsi="Times New Roman" w:eastAsia="宋体" w:cs="Times New Roman"/>
        </w:rPr>
      </w:pPr>
      <w:r>
        <w:rPr>
          <w:rFonts w:hint="default" w:ascii="Times New Roman" w:hAnsi="Times New Roman" w:eastAsia="宋体" w:cs="Times New Roman"/>
        </w:rPr>
        <w:t>质保期外，若出现停机或不能使用等故障，乙方应按维修响应要求提供相应的技术支持提供，如乙方未能按上述约定及时履行维修义务，甲方有权按实际经济损失要求赔偿并追究相应的法律责任。</w:t>
      </w:r>
    </w:p>
    <w:p w14:paraId="6D7B7C54">
      <w:pPr>
        <w:pStyle w:val="29"/>
        <w:numPr>
          <w:ilvl w:val="0"/>
          <w:numId w:val="22"/>
        </w:numPr>
        <w:ind w:firstLineChars="0"/>
        <w:rPr>
          <w:rFonts w:hint="default" w:ascii="Times New Roman" w:hAnsi="Times New Roman" w:eastAsia="宋体" w:cs="Times New Roman"/>
        </w:rPr>
      </w:pPr>
      <w:r>
        <w:rPr>
          <w:rFonts w:hint="default" w:ascii="Times New Roman" w:hAnsi="Times New Roman" w:eastAsia="宋体" w:cs="Times New Roman"/>
        </w:rPr>
        <w:tab/>
      </w:r>
      <w:r>
        <w:rPr>
          <w:rFonts w:hint="default" w:ascii="Times New Roman" w:hAnsi="Times New Roman" w:eastAsia="宋体" w:cs="Times New Roman"/>
        </w:rPr>
        <w:t>因乙方原因不能够达到上述设备质保及售后服务的约定，按甲方实际无法使用设备的天数自动延长其质保期,甲方有权延后履约保证金的退还时间，并追究乙方因此引发的相应的法律责任。</w:t>
      </w:r>
    </w:p>
    <w:p w14:paraId="1A042068">
      <w:pPr>
        <w:pStyle w:val="29"/>
        <w:numPr>
          <w:ilvl w:val="0"/>
          <w:numId w:val="13"/>
        </w:numPr>
        <w:ind w:left="0" w:firstLine="0" w:firstLineChars="0"/>
        <w:contextualSpacing/>
        <w:rPr>
          <w:rFonts w:hint="default" w:ascii="Times New Roman" w:hAnsi="Times New Roman" w:eastAsia="宋体" w:cs="Times New Roman"/>
          <w:b/>
          <w:bCs/>
          <w:color w:val="auto"/>
        </w:rPr>
      </w:pPr>
      <w:r>
        <w:rPr>
          <w:rFonts w:hint="default" w:ascii="Times New Roman" w:hAnsi="Times New Roman" w:eastAsia="宋体" w:cs="Times New Roman"/>
          <w:b/>
          <w:bCs/>
          <w:color w:val="auto"/>
        </w:rPr>
        <w:t>双方的权利和义务</w:t>
      </w:r>
    </w:p>
    <w:p w14:paraId="2B5BF612">
      <w:pPr>
        <w:pStyle w:val="29"/>
        <w:numPr>
          <w:ilvl w:val="0"/>
          <w:numId w:val="23"/>
        </w:numPr>
        <w:ind w:firstLineChars="0"/>
        <w:rPr>
          <w:rFonts w:hint="default" w:ascii="Times New Roman" w:hAnsi="Times New Roman" w:eastAsia="宋体" w:cs="Times New Roman"/>
        </w:rPr>
      </w:pPr>
      <w:r>
        <w:rPr>
          <w:rFonts w:hint="default" w:ascii="Times New Roman" w:hAnsi="Times New Roman" w:eastAsia="宋体" w:cs="Times New Roman"/>
        </w:rPr>
        <w:t>甲方的权利和义务：</w:t>
      </w:r>
    </w:p>
    <w:p w14:paraId="01FBE48A">
      <w:pPr>
        <w:pStyle w:val="29"/>
        <w:numPr>
          <w:ilvl w:val="0"/>
          <w:numId w:val="24"/>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甲方有权获得乙方所提供的设备、服务及相关知识产权。</w:t>
      </w:r>
    </w:p>
    <w:p w14:paraId="377B2700">
      <w:pPr>
        <w:pStyle w:val="29"/>
        <w:numPr>
          <w:ilvl w:val="0"/>
          <w:numId w:val="24"/>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甲方有权及时了解和监督乙方备货的进展情况。</w:t>
      </w:r>
    </w:p>
    <w:p w14:paraId="0A93EC91">
      <w:pPr>
        <w:pStyle w:val="29"/>
        <w:numPr>
          <w:ilvl w:val="0"/>
          <w:numId w:val="24"/>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甲方应向乙方提供完成设备安装、调试等所必需的资料和工作条件。</w:t>
      </w:r>
    </w:p>
    <w:p w14:paraId="67E73EAE">
      <w:pPr>
        <w:pStyle w:val="29"/>
        <w:numPr>
          <w:ilvl w:val="0"/>
          <w:numId w:val="24"/>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甲方应按照合同约定向乙方支付合同价款。</w:t>
      </w:r>
    </w:p>
    <w:p w14:paraId="2D5C8868">
      <w:pPr>
        <w:pStyle w:val="29"/>
        <w:numPr>
          <w:ilvl w:val="0"/>
          <w:numId w:val="23"/>
        </w:numPr>
        <w:ind w:firstLineChars="0"/>
        <w:rPr>
          <w:rFonts w:hint="default" w:ascii="Times New Roman" w:hAnsi="Times New Roman" w:eastAsia="宋体" w:cs="Times New Roman"/>
        </w:rPr>
      </w:pPr>
      <w:r>
        <w:rPr>
          <w:rFonts w:hint="default" w:ascii="Times New Roman" w:hAnsi="Times New Roman" w:eastAsia="宋体" w:cs="Times New Roman"/>
        </w:rPr>
        <w:t>乙方的权利和义务：</w:t>
      </w:r>
    </w:p>
    <w:p w14:paraId="51E9C689">
      <w:pPr>
        <w:pStyle w:val="29"/>
        <w:numPr>
          <w:ilvl w:val="0"/>
          <w:numId w:val="25"/>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乙方有权按照本合同约定收取合同价款。</w:t>
      </w:r>
    </w:p>
    <w:p w14:paraId="10725DEC">
      <w:pPr>
        <w:pStyle w:val="29"/>
        <w:numPr>
          <w:ilvl w:val="0"/>
          <w:numId w:val="25"/>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乙方有权要求甲方提供设备安装、调试所必需的资料和工作条件。</w:t>
      </w:r>
    </w:p>
    <w:p w14:paraId="0E89ECA5">
      <w:pPr>
        <w:pStyle w:val="29"/>
        <w:numPr>
          <w:ilvl w:val="0"/>
          <w:numId w:val="25"/>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乙方应派遣身体健康、有相关工作经验和相应技能的技术人员到甲方现场并提供安装、调试、测试、试运行、维护及培训等技术服务，该技术服务费用包括在本合同总价内。</w:t>
      </w:r>
    </w:p>
    <w:p w14:paraId="5C483B79">
      <w:pPr>
        <w:pStyle w:val="29"/>
        <w:numPr>
          <w:ilvl w:val="0"/>
          <w:numId w:val="25"/>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5A1E8060">
      <w:pPr>
        <w:pStyle w:val="29"/>
        <w:numPr>
          <w:ilvl w:val="0"/>
          <w:numId w:val="25"/>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5F2FC089">
      <w:pPr>
        <w:pStyle w:val="29"/>
        <w:numPr>
          <w:ilvl w:val="0"/>
          <w:numId w:val="25"/>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乙方保证其所交付的设备不存在任何权利瑕疵，如任何第三方就乙方交付的设备向甲方提起侵权索赔，乙方应负责与第三方交涉，并承担由此引起的一切法律责任，相关费用由乙方承担。</w:t>
      </w:r>
    </w:p>
    <w:p w14:paraId="45FA238F">
      <w:pPr>
        <w:pStyle w:val="29"/>
        <w:numPr>
          <w:ilvl w:val="0"/>
          <w:numId w:val="25"/>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2832EBFC">
      <w:pPr>
        <w:pStyle w:val="29"/>
        <w:numPr>
          <w:ilvl w:val="0"/>
          <w:numId w:val="25"/>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乙方对依照本合同向甲方提供的设备在安装、调试、使用、维修、保养等过程中所获得的所有数据及甲方商业秘密或其它技术及经营信息均负有保密义务，不得向任何第三方透露或泄露。</w:t>
      </w:r>
    </w:p>
    <w:p w14:paraId="4C6F1224">
      <w:pPr>
        <w:pStyle w:val="29"/>
        <w:numPr>
          <w:ilvl w:val="0"/>
          <w:numId w:val="13"/>
        </w:numPr>
        <w:ind w:left="0" w:firstLine="0" w:firstLineChars="0"/>
        <w:contextualSpacing/>
        <w:rPr>
          <w:rFonts w:hint="default" w:ascii="Times New Roman" w:hAnsi="Times New Roman" w:eastAsia="宋体" w:cs="Times New Roman"/>
        </w:rPr>
      </w:pPr>
      <w:r>
        <w:rPr>
          <w:rFonts w:hint="default" w:ascii="Times New Roman" w:hAnsi="Times New Roman" w:eastAsia="宋体" w:cs="Times New Roman"/>
          <w:b/>
          <w:bCs/>
          <w:color w:val="auto"/>
        </w:rPr>
        <w:t>违约责任</w:t>
      </w:r>
      <w:r>
        <w:rPr>
          <w:rFonts w:hint="default" w:ascii="Times New Roman" w:hAnsi="Times New Roman" w:eastAsia="宋体" w:cs="Times New Roman"/>
          <w:b/>
          <w:bCs/>
          <w:i/>
          <w:iCs/>
          <w:color w:val="auto"/>
          <w:highlight w:val="yellow"/>
        </w:rPr>
        <w:t>&lt;本条款中违约金比例</w:t>
      </w:r>
      <w:r>
        <w:rPr>
          <w:rFonts w:ascii="Times New Roman" w:hAnsi="Times New Roman" w:eastAsia="宋体" w:cs="Times New Roman"/>
          <w:b/>
          <w:bCs/>
          <w:i/>
          <w:iCs/>
          <w:color w:val="auto"/>
          <w:highlight w:val="yellow"/>
        </w:rPr>
        <w:t>为参考，编制合同时请根据采购项目实</w:t>
      </w:r>
      <w:r>
        <w:rPr>
          <w:rFonts w:hint="default" w:ascii="Times New Roman" w:hAnsi="Times New Roman" w:eastAsia="宋体" w:cs="Times New Roman"/>
          <w:b/>
          <w:bCs/>
          <w:i/>
          <w:iCs/>
          <w:color w:val="auto"/>
          <w:highlight w:val="yellow"/>
        </w:rPr>
        <w:t>际情况</w:t>
      </w:r>
      <w:r>
        <w:rPr>
          <w:rFonts w:ascii="Times New Roman" w:hAnsi="Times New Roman" w:eastAsia="宋体" w:cs="Times New Roman"/>
          <w:b/>
          <w:bCs/>
          <w:i/>
          <w:iCs/>
          <w:color w:val="auto"/>
          <w:highlight w:val="yellow"/>
        </w:rPr>
        <w:t>修改</w:t>
      </w:r>
      <w:r>
        <w:rPr>
          <w:rFonts w:hint="default" w:ascii="Times New Roman" w:hAnsi="Times New Roman" w:eastAsia="宋体" w:cs="Times New Roman"/>
          <w:b/>
          <w:bCs/>
          <w:i/>
          <w:iCs/>
          <w:color w:val="auto"/>
          <w:highlight w:val="yellow"/>
        </w:rPr>
        <w:t>&gt;</w:t>
      </w:r>
    </w:p>
    <w:p w14:paraId="77A5E8EA">
      <w:pPr>
        <w:pStyle w:val="29"/>
        <w:ind w:firstLine="0" w:firstLineChars="0"/>
        <w:contextualSpacing/>
        <w:rPr>
          <w:rFonts w:hint="default" w:ascii="Times New Roman" w:hAnsi="Times New Roman" w:eastAsia="宋体" w:cs="Times New Roman"/>
        </w:rPr>
      </w:pPr>
      <w:r>
        <w:rPr>
          <w:rFonts w:hint="default" w:ascii="Times New Roman" w:hAnsi="Times New Roman" w:eastAsia="宋体" w:cs="Times New Roman"/>
        </w:rPr>
        <w:t>1.甲方违约责任：甲方无正当理由拒收设备的，甲方应偿付合同总</w:t>
      </w:r>
      <w:r>
        <w:rPr>
          <w:rFonts w:ascii="Times New Roman" w:hAnsi="Times New Roman" w:eastAsia="宋体" w:cs="Times New Roman"/>
        </w:rPr>
        <w:t>金额的</w:t>
      </w:r>
      <w:r>
        <w:rPr>
          <w:rFonts w:hint="default" w:ascii="Times New Roman" w:hAnsi="Times New Roman" w:eastAsia="宋体" w:cs="Times New Roman"/>
          <w:u w:val="single"/>
        </w:rPr>
        <w:t>10</w:t>
      </w:r>
      <w:r>
        <w:rPr>
          <w:rFonts w:hint="default" w:ascii="Times New Roman" w:hAnsi="Times New Roman" w:eastAsia="宋体" w:cs="Times New Roman"/>
        </w:rPr>
        <w:t>%</w:t>
      </w:r>
      <w:r>
        <w:rPr>
          <w:rFonts w:ascii="Times New Roman" w:hAnsi="Times New Roman" w:eastAsia="宋体" w:cs="Times New Roman"/>
        </w:rPr>
        <w:t>作为</w:t>
      </w:r>
      <w:r>
        <w:rPr>
          <w:rFonts w:hint="default" w:ascii="Times New Roman" w:hAnsi="Times New Roman" w:eastAsia="宋体" w:cs="Times New Roman"/>
        </w:rPr>
        <w:t>违约金。</w:t>
      </w:r>
    </w:p>
    <w:p w14:paraId="32E562A7">
      <w:pPr>
        <w:pStyle w:val="29"/>
        <w:ind w:firstLine="0" w:firstLineChars="0"/>
        <w:rPr>
          <w:rFonts w:hint="default" w:ascii="Times New Roman" w:hAnsi="Times New Roman" w:eastAsia="宋体" w:cs="Times New Roman"/>
        </w:rPr>
      </w:pPr>
      <w:r>
        <w:rPr>
          <w:rFonts w:hint="default" w:ascii="Times New Roman" w:hAnsi="Times New Roman" w:eastAsia="宋体" w:cs="Times New Roman"/>
        </w:rPr>
        <w:t>2.乙方违约责任：</w:t>
      </w:r>
    </w:p>
    <w:p w14:paraId="25066E12">
      <w:pPr>
        <w:pStyle w:val="29"/>
        <w:numPr>
          <w:ilvl w:val="0"/>
          <w:numId w:val="26"/>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乙方拒绝交付设备，</w:t>
      </w:r>
      <w:r>
        <w:rPr>
          <w:rFonts w:ascii="Times New Roman" w:hAnsi="Times New Roman" w:eastAsia="宋体" w:cs="Times New Roman"/>
        </w:rPr>
        <w:t>或交付的设备无法达到本合同约定的验收标准，</w:t>
      </w:r>
      <w:r>
        <w:rPr>
          <w:rFonts w:hint="default" w:ascii="Times New Roman" w:hAnsi="Times New Roman" w:eastAsia="宋体" w:cs="Times New Roman"/>
        </w:rPr>
        <w:t>甲方有权</w:t>
      </w:r>
      <w:r>
        <w:rPr>
          <w:rFonts w:ascii="Times New Roman" w:hAnsi="Times New Roman" w:eastAsia="宋体" w:cs="Times New Roman"/>
        </w:rPr>
        <w:t>单方面</w:t>
      </w:r>
      <w:r>
        <w:rPr>
          <w:rFonts w:hint="default" w:ascii="Times New Roman" w:hAnsi="Times New Roman" w:eastAsia="宋体" w:cs="Times New Roman"/>
        </w:rPr>
        <w:t>解除合同，乙方须向甲方支付合同总金额</w:t>
      </w:r>
      <w:r>
        <w:rPr>
          <w:rFonts w:ascii="Times New Roman" w:hAnsi="Times New Roman" w:eastAsia="宋体" w:cs="Times New Roman"/>
        </w:rPr>
        <w:t>的</w:t>
      </w:r>
      <w:r>
        <w:rPr>
          <w:rFonts w:hint="default" w:ascii="Times New Roman" w:hAnsi="Times New Roman" w:eastAsia="宋体" w:cs="Times New Roman"/>
          <w:u w:val="single"/>
        </w:rPr>
        <w:t>10</w:t>
      </w:r>
      <w:r>
        <w:rPr>
          <w:rFonts w:hint="default" w:ascii="Times New Roman" w:hAnsi="Times New Roman" w:eastAsia="宋体" w:cs="Times New Roman"/>
        </w:rPr>
        <w:t>%</w:t>
      </w:r>
      <w:r>
        <w:rPr>
          <w:rFonts w:ascii="Times New Roman" w:hAnsi="Times New Roman" w:eastAsia="宋体" w:cs="Times New Roman"/>
        </w:rPr>
        <w:t>作为</w:t>
      </w:r>
      <w:r>
        <w:rPr>
          <w:rFonts w:hint="default" w:ascii="Times New Roman" w:hAnsi="Times New Roman" w:eastAsia="宋体" w:cs="Times New Roman"/>
        </w:rPr>
        <w:t>违约金，并承担其它相应的经济损失。</w:t>
      </w:r>
    </w:p>
    <w:p w14:paraId="02B9745F">
      <w:pPr>
        <w:pStyle w:val="29"/>
        <w:numPr>
          <w:ilvl w:val="0"/>
          <w:numId w:val="26"/>
        </w:numPr>
        <w:snapToGrid w:val="0"/>
        <w:ind w:left="525" w:hanging="525" w:hangingChars="250"/>
        <w:rPr>
          <w:rFonts w:hint="default" w:ascii="Times New Roman" w:hAnsi="Times New Roman" w:eastAsia="宋体" w:cs="Times New Roman"/>
        </w:rPr>
      </w:pPr>
      <w:r>
        <w:rPr>
          <w:rFonts w:ascii="Times New Roman" w:hAnsi="Times New Roman" w:eastAsia="宋体" w:cs="Times New Roman"/>
        </w:rPr>
        <w:t>本合同设备在</w:t>
      </w:r>
      <w:r>
        <w:rPr>
          <w:rFonts w:hint="default" w:ascii="Times New Roman" w:hAnsi="Times New Roman" w:eastAsia="宋体" w:cs="Times New Roman"/>
        </w:rPr>
        <w:t>质保期内出现质量问题，因同一故障经乙方两次维修仍不能达到合同约定的功能要求和技术指标，甲方有权解除合同并要求退货，乙方按照合同总</w:t>
      </w:r>
      <w:r>
        <w:rPr>
          <w:rFonts w:ascii="Times New Roman" w:hAnsi="Times New Roman" w:eastAsia="宋体" w:cs="Times New Roman"/>
        </w:rPr>
        <w:t>金额</w:t>
      </w:r>
      <w:r>
        <w:rPr>
          <w:rFonts w:hint="default" w:ascii="Times New Roman" w:hAnsi="Times New Roman" w:eastAsia="宋体" w:cs="Times New Roman"/>
        </w:rPr>
        <w:t>的</w:t>
      </w:r>
      <w:r>
        <w:rPr>
          <w:rFonts w:ascii="Times New Roman" w:hAnsi="Times New Roman" w:eastAsia="宋体" w:cs="Times New Roman"/>
        </w:rPr>
        <w:t>10</w:t>
      </w:r>
      <w:r>
        <w:rPr>
          <w:rFonts w:hint="default" w:ascii="Times New Roman" w:hAnsi="Times New Roman" w:eastAsia="宋体" w:cs="Times New Roman"/>
        </w:rPr>
        <w:t>%向甲方支付违约金，如乙方已缴纳履约保证金的，履约保证金不予退还。</w:t>
      </w:r>
    </w:p>
    <w:p w14:paraId="1FB20D19">
      <w:pPr>
        <w:pStyle w:val="29"/>
        <w:numPr>
          <w:ilvl w:val="0"/>
          <w:numId w:val="26"/>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因乙方原因逾期交付，每逾期一天，须向甲方支付合同总</w:t>
      </w:r>
      <w:r>
        <w:rPr>
          <w:rFonts w:ascii="Times New Roman" w:hAnsi="Times New Roman" w:eastAsia="宋体" w:cs="Times New Roman"/>
        </w:rPr>
        <w:t>金额的</w:t>
      </w:r>
      <w:r>
        <w:rPr>
          <w:rFonts w:hint="default" w:ascii="Times New Roman" w:hAnsi="Times New Roman" w:eastAsia="宋体" w:cs="Times New Roman"/>
          <w:u w:val="single"/>
        </w:rPr>
        <w:t>***</w:t>
      </w:r>
      <w:r>
        <w:rPr>
          <w:rFonts w:hint="default" w:ascii="Times New Roman" w:hAnsi="Times New Roman" w:eastAsia="宋体" w:cs="Times New Roman"/>
        </w:rPr>
        <w:t>‰</w:t>
      </w:r>
      <w:r>
        <w:rPr>
          <w:rFonts w:ascii="Times New Roman" w:hAnsi="Times New Roman" w:eastAsia="宋体" w:cs="Times New Roman"/>
        </w:rPr>
        <w:t>作为</w:t>
      </w:r>
      <w:r>
        <w:rPr>
          <w:rFonts w:hint="default" w:ascii="Times New Roman" w:hAnsi="Times New Roman" w:eastAsia="宋体" w:cs="Times New Roman"/>
        </w:rPr>
        <w:t>违约金。因乙方原因逾期交货超过</w:t>
      </w:r>
      <w:r>
        <w:rPr>
          <w:rFonts w:ascii="Times New Roman" w:hAnsi="Times New Roman" w:eastAsia="宋体" w:cs="Times New Roman"/>
        </w:rPr>
        <w:t>10</w:t>
      </w:r>
      <w:r>
        <w:rPr>
          <w:rFonts w:hint="default" w:ascii="Times New Roman" w:hAnsi="Times New Roman" w:eastAsia="宋体" w:cs="Times New Roman"/>
        </w:rPr>
        <w:t>天，甲方有权</w:t>
      </w:r>
      <w:r>
        <w:rPr>
          <w:rFonts w:ascii="Times New Roman" w:hAnsi="Times New Roman" w:eastAsia="宋体" w:cs="Times New Roman"/>
        </w:rPr>
        <w:t>单方面解除</w:t>
      </w:r>
      <w:r>
        <w:rPr>
          <w:rFonts w:hint="default" w:ascii="Times New Roman" w:hAnsi="Times New Roman" w:eastAsia="宋体" w:cs="Times New Roman"/>
        </w:rPr>
        <w:t>合同，乙方须按合同</w:t>
      </w:r>
      <w:r>
        <w:rPr>
          <w:rFonts w:ascii="Times New Roman" w:hAnsi="Times New Roman" w:eastAsia="宋体" w:cs="Times New Roman"/>
        </w:rPr>
        <w:t>总金额</w:t>
      </w:r>
      <w:r>
        <w:rPr>
          <w:rFonts w:hint="default" w:ascii="Times New Roman" w:hAnsi="Times New Roman" w:eastAsia="宋体" w:cs="Times New Roman"/>
        </w:rPr>
        <w:t>的</w:t>
      </w:r>
      <w:r>
        <w:rPr>
          <w:rFonts w:ascii="Times New Roman" w:hAnsi="Times New Roman" w:eastAsia="宋体" w:cs="Times New Roman"/>
        </w:rPr>
        <w:t>10</w:t>
      </w:r>
      <w:r>
        <w:rPr>
          <w:rFonts w:hint="default" w:ascii="Times New Roman" w:hAnsi="Times New Roman" w:eastAsia="宋体" w:cs="Times New Roman"/>
        </w:rPr>
        <w:t>%向甲方支付违约金，如乙方已缴纳履约保证金的，履约保证金不予退还。</w:t>
      </w:r>
    </w:p>
    <w:p w14:paraId="0CAD2E7C">
      <w:pPr>
        <w:pStyle w:val="29"/>
        <w:numPr>
          <w:ilvl w:val="0"/>
          <w:numId w:val="26"/>
        </w:numPr>
        <w:snapToGrid w:val="0"/>
        <w:ind w:left="525" w:hanging="525" w:hangingChars="250"/>
        <w:rPr>
          <w:rFonts w:hint="default" w:ascii="Times New Roman" w:hAnsi="Times New Roman" w:eastAsia="宋体" w:cs="Times New Roman"/>
        </w:rPr>
      </w:pPr>
      <w:bookmarkStart w:id="126" w:name="OLE_LINK18"/>
      <w:bookmarkStart w:id="127" w:name="OLE_LINK17"/>
      <w:r>
        <w:rPr>
          <w:rFonts w:hint="default" w:ascii="Times New Roman" w:hAnsi="Times New Roman" w:eastAsia="宋体" w:cs="Times New Roman"/>
        </w:rPr>
        <w:t>乙方未按合同约定及时履行培训及维护义务时，乙方应按</w:t>
      </w:r>
      <w:r>
        <w:rPr>
          <w:rFonts w:ascii="Times New Roman" w:hAnsi="Times New Roman" w:eastAsia="宋体" w:cs="Times New Roman"/>
        </w:rPr>
        <w:t>合同总金额</w:t>
      </w:r>
      <w:r>
        <w:rPr>
          <w:rFonts w:hint="default" w:ascii="Times New Roman" w:hAnsi="Times New Roman" w:eastAsia="宋体" w:cs="Times New Roman"/>
        </w:rPr>
        <w:t>的</w:t>
      </w:r>
      <w:r>
        <w:rPr>
          <w:rFonts w:ascii="Times New Roman" w:hAnsi="Times New Roman" w:eastAsia="宋体" w:cs="Times New Roman"/>
        </w:rPr>
        <w:t>5</w:t>
      </w:r>
      <w:r>
        <w:rPr>
          <w:rFonts w:hint="default" w:ascii="Times New Roman" w:hAnsi="Times New Roman" w:eastAsia="宋体" w:cs="Times New Roman"/>
        </w:rPr>
        <w:t>%向甲方支付违约金，乙方支付违约金的同时，仍有义务对甲方进行培训及对设备进行维护。</w:t>
      </w:r>
    </w:p>
    <w:p w14:paraId="6ADD1094">
      <w:pPr>
        <w:pStyle w:val="29"/>
        <w:numPr>
          <w:ilvl w:val="0"/>
          <w:numId w:val="26"/>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乙方违反保密义务，甲方有权单方解除合同，乙方应按甲方实际损失向甲方进行赔偿并向甲方支付</w:t>
      </w:r>
      <w:r>
        <w:rPr>
          <w:rFonts w:ascii="Times New Roman" w:hAnsi="Times New Roman" w:eastAsia="宋体" w:cs="Times New Roman"/>
        </w:rPr>
        <w:t>合同总金额的10</w:t>
      </w:r>
      <w:r>
        <w:rPr>
          <w:rFonts w:hint="default" w:ascii="Times New Roman" w:hAnsi="Times New Roman" w:eastAsia="宋体" w:cs="Times New Roman"/>
        </w:rPr>
        <w:t>%</w:t>
      </w:r>
      <w:r>
        <w:rPr>
          <w:rFonts w:ascii="Times New Roman" w:hAnsi="Times New Roman" w:eastAsia="宋体" w:cs="Times New Roman"/>
        </w:rPr>
        <w:t>作为</w:t>
      </w:r>
      <w:r>
        <w:rPr>
          <w:rFonts w:hint="default" w:ascii="Times New Roman" w:hAnsi="Times New Roman" w:eastAsia="宋体" w:cs="Times New Roman"/>
        </w:rPr>
        <w:t>违约金。</w:t>
      </w:r>
    </w:p>
    <w:bookmarkEnd w:id="126"/>
    <w:bookmarkEnd w:id="127"/>
    <w:p w14:paraId="3DD1ED2F">
      <w:pPr>
        <w:pStyle w:val="29"/>
        <w:numPr>
          <w:ilvl w:val="0"/>
          <w:numId w:val="26"/>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乙方偿付的违约金不足以弥补甲方损失的，还应按甲方损失尚未弥补的部分，</w:t>
      </w:r>
      <w:r>
        <w:rPr>
          <w:rFonts w:ascii="Times New Roman" w:hAnsi="Times New Roman" w:eastAsia="宋体" w:cs="Times New Roman"/>
        </w:rPr>
        <w:t>向甲方</w:t>
      </w:r>
      <w:r>
        <w:rPr>
          <w:rFonts w:hint="default" w:ascii="Times New Roman" w:hAnsi="Times New Roman" w:eastAsia="宋体" w:cs="Times New Roman"/>
        </w:rPr>
        <w:t>支付赔偿金。</w:t>
      </w:r>
    </w:p>
    <w:p w14:paraId="398501CF">
      <w:pPr>
        <w:pStyle w:val="29"/>
        <w:numPr>
          <w:ilvl w:val="0"/>
          <w:numId w:val="26"/>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乙方交付设备因质量问题导致甲方及第三方人身、财产损失的，乙方承担由此造成的全部法律责任。</w:t>
      </w:r>
    </w:p>
    <w:p w14:paraId="3EA344F5">
      <w:pPr>
        <w:pStyle w:val="29"/>
        <w:numPr>
          <w:ilvl w:val="0"/>
          <w:numId w:val="26"/>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乙方未按照本合同约定的时限提供合法发票或提供发票瑕疵（包括但不限于发票种类有误、发票金额有误等），甲方付款时限相应顺延并不承担任何延期支付的违约责任。</w:t>
      </w:r>
    </w:p>
    <w:p w14:paraId="18992DEB">
      <w:pPr>
        <w:pStyle w:val="29"/>
        <w:numPr>
          <w:ilvl w:val="0"/>
          <w:numId w:val="26"/>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乙方在安装、调试及售后服务过程中，因未按规程操作、未采取必要的安全防范措施等原因直接或间接造成甲方及第三方人身、财产损失的，由乙方承担由此造成的全部法律责任。</w:t>
      </w:r>
    </w:p>
    <w:p w14:paraId="284E4D6A">
      <w:pPr>
        <w:pStyle w:val="29"/>
        <w:numPr>
          <w:ilvl w:val="0"/>
          <w:numId w:val="26"/>
        </w:numPr>
        <w:snapToGrid w:val="0"/>
        <w:ind w:left="525" w:hanging="525" w:hangingChars="250"/>
        <w:rPr>
          <w:rFonts w:hint="default" w:ascii="Times New Roman" w:hAnsi="Times New Roman"/>
        </w:rPr>
      </w:pPr>
      <w:r>
        <w:rPr>
          <w:rFonts w:ascii="Times New Roman" w:hAnsi="Times New Roman"/>
        </w:rPr>
        <w:t>如本</w:t>
      </w:r>
      <w:r>
        <w:rPr>
          <w:rFonts w:ascii="宋体" w:hAnsi="宋体" w:eastAsia="宋体" w:cs="微软雅黑"/>
        </w:rPr>
        <w:t>合同</w:t>
      </w:r>
      <w:r>
        <w:rPr>
          <w:rFonts w:ascii="宋体" w:hAnsi="宋体" w:eastAsia="宋体"/>
        </w:rPr>
        <w:t>要</w:t>
      </w:r>
      <w:r>
        <w:rPr>
          <w:rFonts w:ascii="Times New Roman" w:hAnsi="Times New Roman"/>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834BB7">
      <w:pPr>
        <w:snapToGrid w:val="0"/>
        <w:rPr>
          <w:rFonts w:hint="default" w:ascii="Times New Roman" w:hAnsi="Times New Roman" w:eastAsia="宋体" w:cs="Times New Roman"/>
        </w:rPr>
      </w:pPr>
      <w:r>
        <w:rPr>
          <w:rFonts w:hint="default" w:ascii="Times New Roman" w:hAnsi="Times New Roman" w:eastAsia="宋体" w:cs="Times New Roman"/>
        </w:rPr>
        <w:t>3.</w:t>
      </w:r>
      <w:r>
        <w:rPr>
          <w:rFonts w:ascii="Times New Roman" w:hAnsi="Times New Roman" w:eastAsia="宋体" w:cs="Times New Roman"/>
        </w:rPr>
        <w:t>本合同履行中如有任何一方违约，那么守约方为保障自己合法权益而产生的律师费、诉讼费、差旅费、公告费等，均由违约方承担。</w:t>
      </w:r>
    </w:p>
    <w:p w14:paraId="12FC7FED">
      <w:pPr>
        <w:pStyle w:val="29"/>
        <w:numPr>
          <w:ilvl w:val="0"/>
          <w:numId w:val="13"/>
        </w:numPr>
        <w:ind w:left="0" w:firstLine="0" w:firstLineChars="0"/>
        <w:contextualSpacing/>
        <w:rPr>
          <w:rFonts w:hint="default" w:ascii="Times New Roman" w:hAnsi="Times New Roman" w:eastAsia="宋体" w:cs="Times New Roman"/>
          <w:b/>
          <w:bCs/>
          <w:color w:val="auto"/>
        </w:rPr>
      </w:pPr>
      <w:r>
        <w:rPr>
          <w:rFonts w:hint="default" w:ascii="Times New Roman" w:hAnsi="Times New Roman" w:eastAsia="宋体" w:cs="Times New Roman"/>
          <w:b/>
          <w:bCs/>
          <w:color w:val="auto"/>
        </w:rPr>
        <w:t>不可抗力</w:t>
      </w:r>
    </w:p>
    <w:p w14:paraId="7BC475C5">
      <w:pPr>
        <w:pStyle w:val="29"/>
        <w:snapToGrid w:val="0"/>
        <w:rPr>
          <w:rFonts w:hint="default" w:ascii="Times New Roman" w:hAnsi="Times New Roman" w:eastAsia="宋体" w:cs="Times New Roman"/>
          <w:bCs/>
        </w:rPr>
      </w:pPr>
      <w:r>
        <w:rPr>
          <w:rFonts w:hint="default" w:ascii="Times New Roman" w:hAnsi="Times New Roman" w:eastAsia="宋体" w:cs="Times New Roman"/>
          <w:bCs/>
        </w:rPr>
        <w:t>如果遇到自然灾害和灾难及其他不可抗力事件而影响合同履行时，乙方应在三个工作日内以书面形式通知甲方。若不可抗力原因影响本合同执行时间超过***</w:t>
      </w:r>
      <w:r>
        <w:rPr>
          <w:rFonts w:ascii="Times New Roman" w:hAnsi="Times New Roman" w:eastAsia="宋体" w:cs="Times New Roman"/>
          <w:bCs/>
        </w:rPr>
        <w:t>日</w:t>
      </w:r>
      <w:r>
        <w:rPr>
          <w:rFonts w:hint="default" w:ascii="Times New Roman" w:hAnsi="Times New Roman" w:eastAsia="宋体" w:cs="Times New Roman"/>
          <w:bCs/>
        </w:rPr>
        <w:t>，甲方有权解除合同，双方互不承担违约责任。</w:t>
      </w:r>
    </w:p>
    <w:p w14:paraId="3AE6FC21">
      <w:pPr>
        <w:pStyle w:val="29"/>
        <w:numPr>
          <w:ilvl w:val="0"/>
          <w:numId w:val="13"/>
        </w:numPr>
        <w:ind w:left="0" w:firstLine="0" w:firstLineChars="0"/>
        <w:contextualSpacing/>
        <w:rPr>
          <w:rFonts w:hint="default" w:ascii="Times New Roman" w:hAnsi="Times New Roman" w:eastAsia="宋体" w:cs="Times New Roman"/>
          <w:b/>
          <w:bCs/>
          <w:color w:val="auto"/>
        </w:rPr>
      </w:pPr>
      <w:r>
        <w:rPr>
          <w:rFonts w:hint="default" w:ascii="Times New Roman" w:hAnsi="Times New Roman" w:eastAsia="宋体" w:cs="Times New Roman"/>
          <w:b/>
          <w:bCs/>
          <w:color w:val="auto"/>
        </w:rPr>
        <w:t>合同终止及解除</w:t>
      </w:r>
    </w:p>
    <w:p w14:paraId="4A6357AD">
      <w:pPr>
        <w:pStyle w:val="29"/>
        <w:numPr>
          <w:ilvl w:val="0"/>
          <w:numId w:val="27"/>
        </w:numPr>
        <w:ind w:left="0" w:firstLine="0" w:firstLineChars="0"/>
        <w:rPr>
          <w:rFonts w:hint="default" w:ascii="Times New Roman" w:hAnsi="Times New Roman" w:eastAsia="宋体" w:cs="Times New Roman"/>
        </w:rPr>
      </w:pPr>
      <w:r>
        <w:rPr>
          <w:rFonts w:hint="default" w:ascii="Times New Roman" w:hAnsi="Times New Roman" w:eastAsia="宋体" w:cs="Times New Roman"/>
        </w:rPr>
        <w:t>合同一方发现可能致使本合同无法按约定继续履行的情形时，应当及时通知另一方并采取适当措施减少损失；没有及时通知并采取适当措施，致使损失扩大的，应当就扩大的损失承担责任。</w:t>
      </w:r>
    </w:p>
    <w:p w14:paraId="602771F2">
      <w:pPr>
        <w:pStyle w:val="29"/>
        <w:numPr>
          <w:ilvl w:val="0"/>
          <w:numId w:val="27"/>
        </w:numPr>
        <w:ind w:left="0" w:firstLine="0" w:firstLineChars="0"/>
        <w:rPr>
          <w:rFonts w:hint="default" w:ascii="Times New Roman" w:hAnsi="Times New Roman" w:eastAsia="宋体" w:cs="Times New Roman"/>
        </w:rPr>
      </w:pPr>
      <w:r>
        <w:rPr>
          <w:rFonts w:hint="default" w:ascii="Times New Roman" w:hAnsi="Times New Roman" w:eastAsia="宋体" w:cs="Times New Roman"/>
        </w:rPr>
        <w:t>在甲、乙任何一方有严重违约行为时，另一方有权单方解除合同。</w:t>
      </w:r>
    </w:p>
    <w:p w14:paraId="644B328B">
      <w:pPr>
        <w:pStyle w:val="29"/>
        <w:numPr>
          <w:ilvl w:val="0"/>
          <w:numId w:val="13"/>
        </w:numPr>
        <w:ind w:left="0" w:firstLine="0" w:firstLineChars="0"/>
        <w:contextualSpacing/>
        <w:rPr>
          <w:rFonts w:hint="default" w:ascii="Times New Roman" w:hAnsi="Times New Roman" w:eastAsia="宋体" w:cs="Times New Roman"/>
          <w:b/>
          <w:bCs/>
          <w:color w:val="auto"/>
        </w:rPr>
      </w:pPr>
      <w:r>
        <w:rPr>
          <w:rFonts w:hint="default" w:ascii="Times New Roman" w:hAnsi="Times New Roman" w:eastAsia="宋体" w:cs="Times New Roman"/>
          <w:b/>
          <w:bCs/>
          <w:color w:val="auto"/>
        </w:rPr>
        <w:t>争议解决办法</w:t>
      </w:r>
    </w:p>
    <w:p w14:paraId="33DEF256">
      <w:pPr>
        <w:pStyle w:val="29"/>
        <w:numPr>
          <w:ilvl w:val="0"/>
          <w:numId w:val="27"/>
        </w:numPr>
        <w:ind w:left="0" w:firstLine="0" w:firstLineChars="0"/>
        <w:rPr>
          <w:rFonts w:hint="default" w:ascii="Times New Roman" w:hAnsi="Times New Roman" w:eastAsia="宋体" w:cs="Times New Roman"/>
        </w:rPr>
      </w:pPr>
      <w:r>
        <w:rPr>
          <w:rFonts w:hint="default" w:ascii="Times New Roman" w:hAnsi="Times New Roman" w:eastAsia="宋体" w:cs="Times New Roman"/>
        </w:rPr>
        <w:t>因设备的质量问题发生争议，由质量技术监督部门或其指定的质量鉴定机构进行质量鉴定。设备符合标准的，鉴定费由甲方承担；设备不符合质量标准的，鉴定费由乙方承担。</w:t>
      </w:r>
    </w:p>
    <w:p w14:paraId="0B03A00B">
      <w:pPr>
        <w:pStyle w:val="29"/>
        <w:numPr>
          <w:ilvl w:val="0"/>
          <w:numId w:val="27"/>
        </w:numPr>
        <w:ind w:left="0" w:firstLine="0" w:firstLineChars="0"/>
        <w:rPr>
          <w:rFonts w:hint="default" w:ascii="Times New Roman" w:hAnsi="Times New Roman" w:eastAsia="宋体" w:cs="Times New Roman"/>
        </w:rPr>
      </w:pPr>
      <w:r>
        <w:rPr>
          <w:rFonts w:hint="default" w:ascii="Times New Roman" w:hAnsi="Times New Roman" w:eastAsia="宋体" w:cs="Times New Roman"/>
        </w:rPr>
        <w:t>合同履行期间,若双方发生争议，可协商或由有关部门调解解决，协商或调解不成的，任何一方均有权向甲方所在地具有管辖权的人民法院起诉。</w:t>
      </w:r>
    </w:p>
    <w:p w14:paraId="251F6E76">
      <w:pPr>
        <w:pStyle w:val="29"/>
        <w:numPr>
          <w:ilvl w:val="0"/>
          <w:numId w:val="13"/>
        </w:numPr>
        <w:ind w:left="0" w:firstLine="0" w:firstLineChars="0"/>
        <w:contextualSpacing/>
        <w:rPr>
          <w:rFonts w:hint="default" w:ascii="Times New Roman" w:hAnsi="Times New Roman" w:eastAsia="宋体" w:cs="Times New Roman"/>
          <w:b/>
          <w:bCs/>
          <w:color w:val="auto"/>
        </w:rPr>
      </w:pPr>
      <w:r>
        <w:rPr>
          <w:rFonts w:hint="default" w:ascii="Times New Roman" w:hAnsi="Times New Roman" w:eastAsia="宋体" w:cs="Times New Roman"/>
          <w:b/>
          <w:bCs/>
          <w:color w:val="auto"/>
        </w:rPr>
        <w:t>送达（送达地址是司法机关、执法机关和仲裁机关将法律文书送达给当事人的收件地址）</w:t>
      </w:r>
    </w:p>
    <w:p w14:paraId="41DD5BA4">
      <w:pPr>
        <w:pStyle w:val="34"/>
        <w:numPr>
          <w:ilvl w:val="0"/>
          <w:numId w:val="28"/>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641173F3">
      <w:pPr>
        <w:pStyle w:val="34"/>
        <w:numPr>
          <w:ilvl w:val="0"/>
          <w:numId w:val="28"/>
        </w:numPr>
        <w:ind w:left="0" w:firstLine="0"/>
        <w:rPr>
          <w:rFonts w:hAnsi="Times New Roman" w:eastAsia="宋体" w:cs="Times New Roman"/>
          <w:color w:val="auto"/>
        </w:rPr>
      </w:pPr>
      <w:r>
        <w:rPr>
          <w:rFonts w:hAnsi="Times New Roman" w:eastAsia="宋体" w:cs="Times New Roman"/>
          <w:color w:val="auto"/>
        </w:rPr>
        <w:t>乙方送达地址：***</w:t>
      </w:r>
    </w:p>
    <w:p w14:paraId="0C9A1529">
      <w:pPr>
        <w:pStyle w:val="34"/>
        <w:numPr>
          <w:ilvl w:val="0"/>
          <w:numId w:val="28"/>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E2A7E3E">
      <w:pPr>
        <w:pStyle w:val="29"/>
        <w:numPr>
          <w:ilvl w:val="0"/>
          <w:numId w:val="13"/>
        </w:numPr>
        <w:ind w:left="0" w:firstLine="0" w:firstLineChars="0"/>
        <w:contextualSpacing/>
        <w:rPr>
          <w:rFonts w:hint="default" w:ascii="Times New Roman" w:hAnsi="Times New Roman" w:eastAsia="宋体" w:cs="Times New Roman"/>
          <w:b/>
          <w:bCs/>
          <w:color w:val="auto"/>
        </w:rPr>
      </w:pPr>
      <w:r>
        <w:rPr>
          <w:rFonts w:hint="default" w:ascii="Times New Roman" w:hAnsi="Times New Roman" w:eastAsia="宋体" w:cs="Times New Roman"/>
          <w:b/>
          <w:bCs/>
          <w:color w:val="auto"/>
        </w:rPr>
        <w:t>其他</w:t>
      </w:r>
    </w:p>
    <w:p w14:paraId="0F39DAC8">
      <w:pPr>
        <w:pStyle w:val="29"/>
        <w:numPr>
          <w:ilvl w:val="0"/>
          <w:numId w:val="29"/>
        </w:numPr>
        <w:ind w:left="0" w:firstLine="0" w:firstLineChars="0"/>
        <w:rPr>
          <w:rFonts w:hint="default" w:ascii="Times New Roman" w:hAnsi="Times New Roman" w:eastAsia="宋体" w:cs="Times New Roman"/>
        </w:rPr>
      </w:pPr>
      <w:r>
        <w:rPr>
          <w:rFonts w:hint="default" w:ascii="Times New Roman" w:hAnsi="Times New Roman" w:eastAsia="宋体" w:cs="Times New Roman"/>
        </w:rPr>
        <w:t>如有未尽事宜，由双方依法订立补充合同。补充合同及本合同附件均为本合同的组成部分，与本合同具有同等法律效力。</w:t>
      </w:r>
    </w:p>
    <w:p w14:paraId="2E533E9D">
      <w:pPr>
        <w:pStyle w:val="29"/>
        <w:numPr>
          <w:ilvl w:val="0"/>
          <w:numId w:val="29"/>
        </w:numPr>
        <w:ind w:left="0" w:firstLine="0" w:firstLineChars="0"/>
        <w:rPr>
          <w:rFonts w:hint="default" w:ascii="Times New Roman" w:hAnsi="Times New Roman" w:eastAsia="宋体" w:cs="Times New Roman"/>
          <w:bCs/>
        </w:rPr>
      </w:pPr>
      <w:r>
        <w:rPr>
          <w:rFonts w:hint="default" w:ascii="Times New Roman" w:hAnsi="Times New Roman" w:eastAsia="宋体" w:cs="Times New Roman"/>
          <w:bCs/>
        </w:rPr>
        <w:t>双方需要说明的其他事项：***（如有）</w:t>
      </w:r>
    </w:p>
    <w:p w14:paraId="7EDACBF3">
      <w:pPr>
        <w:pStyle w:val="29"/>
        <w:numPr>
          <w:ilvl w:val="0"/>
          <w:numId w:val="29"/>
        </w:numPr>
        <w:ind w:left="0" w:firstLine="0" w:firstLineChars="0"/>
        <w:rPr>
          <w:rFonts w:hint="default" w:ascii="Times New Roman" w:hAnsi="Times New Roman" w:eastAsia="宋体" w:cs="Times New Roman"/>
        </w:rPr>
      </w:pPr>
      <w:r>
        <w:rPr>
          <w:rFonts w:hint="default" w:ascii="Times New Roman" w:hAnsi="Times New Roman" w:eastAsia="宋体" w:cs="Times New Roman"/>
        </w:rPr>
        <w:t>本合同一式四份，自双方</w:t>
      </w:r>
      <w:r>
        <w:rPr>
          <w:rFonts w:ascii="Times New Roman" w:hAnsi="Times New Roman"/>
        </w:rPr>
        <w:t>签字且盖章</w:t>
      </w:r>
      <w:r>
        <w:rPr>
          <w:rFonts w:hint="default" w:ascii="Times New Roman" w:hAnsi="Times New Roman" w:eastAsia="宋体" w:cs="Times New Roman"/>
        </w:rPr>
        <w:t>之日起生效。甲方三份，乙方一份。</w:t>
      </w:r>
    </w:p>
    <w:p w14:paraId="2ACF1DB8">
      <w:pPr>
        <w:pStyle w:val="29"/>
        <w:numPr>
          <w:ilvl w:val="0"/>
          <w:numId w:val="13"/>
        </w:numPr>
        <w:ind w:left="0" w:firstLine="0" w:firstLineChars="0"/>
        <w:contextualSpacing/>
        <w:rPr>
          <w:rFonts w:hint="default" w:ascii="Times New Roman" w:hAnsi="Times New Roman" w:eastAsia="宋体" w:cs="Times New Roman"/>
          <w:b/>
          <w:bCs/>
          <w:color w:val="auto"/>
        </w:rPr>
      </w:pPr>
      <w:r>
        <w:rPr>
          <w:rFonts w:hint="default" w:ascii="Times New Roman" w:hAnsi="Times New Roman" w:eastAsia="宋体" w:cs="Times New Roman"/>
          <w:b/>
          <w:bCs/>
          <w:color w:val="auto"/>
        </w:rPr>
        <w:t>合同附件</w:t>
      </w:r>
    </w:p>
    <w:p w14:paraId="66B3D9CF">
      <w:pPr>
        <w:pStyle w:val="29"/>
        <w:numPr>
          <w:ilvl w:val="0"/>
          <w:numId w:val="30"/>
        </w:numPr>
        <w:ind w:left="0" w:firstLine="0" w:firstLineChars="0"/>
        <w:contextualSpacing/>
        <w:rPr>
          <w:rFonts w:hint="default" w:ascii="Times New Roman" w:hAnsi="Times New Roman" w:eastAsia="宋体" w:cs="Times New Roman"/>
        </w:rPr>
      </w:pPr>
      <w:r>
        <w:rPr>
          <w:rFonts w:hint="default" w:ascii="Times New Roman" w:hAnsi="Times New Roman" w:eastAsia="宋体" w:cs="Times New Roman"/>
        </w:rPr>
        <w:t>本合同包含附件，下列附件是构成本合同不可分割的部分：</w:t>
      </w:r>
    </w:p>
    <w:p w14:paraId="1CB7BC5C">
      <w:pPr>
        <w:contextualSpacing/>
        <w:rPr>
          <w:rFonts w:hint="default" w:ascii="Times New Roman" w:hAnsi="Times New Roman" w:eastAsia="宋体" w:cs="Times New Roman"/>
        </w:rPr>
      </w:pPr>
      <w:r>
        <w:rPr>
          <w:rFonts w:hint="default" w:ascii="Times New Roman" w:hAnsi="Times New Roman" w:eastAsia="宋体" w:cs="Times New Roman"/>
        </w:rPr>
        <w:t>附件：设备配置清单</w:t>
      </w:r>
    </w:p>
    <w:p w14:paraId="4FC1C6F3">
      <w:pPr>
        <w:pStyle w:val="29"/>
        <w:numPr>
          <w:ilvl w:val="0"/>
          <w:numId w:val="30"/>
        </w:numPr>
        <w:ind w:left="0" w:firstLine="0" w:firstLineChars="0"/>
        <w:contextualSpacing/>
        <w:rPr>
          <w:rFonts w:hint="default" w:ascii="Times New Roman" w:hAnsi="Times New Roman" w:eastAsia="宋体" w:cs="Times New Roman"/>
        </w:rPr>
      </w:pPr>
      <w:r>
        <w:rPr>
          <w:rFonts w:hint="default" w:ascii="Times New Roman" w:hAnsi="Times New Roman" w:eastAsia="宋体" w:cs="Times New Roman"/>
        </w:rPr>
        <w:t>本合同附件与合同具有同等法律效力。</w:t>
      </w:r>
    </w:p>
    <w:p w14:paraId="28EEF991">
      <w:pPr>
        <w:pStyle w:val="29"/>
        <w:numPr>
          <w:ilvl w:val="0"/>
          <w:numId w:val="30"/>
        </w:numPr>
        <w:ind w:firstLineChars="0"/>
        <w:jc w:val="center"/>
        <w:rPr>
          <w:rFonts w:hint="default" w:ascii="Times New Roman" w:hAnsi="Times New Roman" w:eastAsia="宋体" w:cs="Times New Roman"/>
        </w:rPr>
      </w:pPr>
      <w:r>
        <w:rPr>
          <w:rFonts w:hint="default" w:ascii="Times New Roman" w:hAnsi="Times New Roman" w:eastAsia="宋体" w:cs="Times New Roman"/>
        </w:rPr>
        <w:t>——</w:t>
      </w:r>
      <w:r>
        <w:rPr>
          <w:rFonts w:hint="default" w:ascii="Times New Roman" w:hAnsi="Times New Roman" w:eastAsia="宋体" w:cs="Times New Roman"/>
          <w:sz w:val="18"/>
          <w:szCs w:val="18"/>
        </w:rPr>
        <w:t>以下无正文</w:t>
      </w:r>
      <w:r>
        <w:rPr>
          <w:rFonts w:hint="default" w:ascii="Times New Roman" w:hAnsi="Times New Roman" w:eastAsia="宋体" w:cs="Times New Roman"/>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5BFEC59">
        <w:tblPrEx>
          <w:tblCellMar>
            <w:top w:w="0" w:type="dxa"/>
            <w:left w:w="0" w:type="dxa"/>
            <w:bottom w:w="0" w:type="dxa"/>
            <w:right w:w="0" w:type="dxa"/>
          </w:tblCellMar>
        </w:tblPrEx>
        <w:trPr>
          <w:trHeight w:val="519" w:hRule="atLeast"/>
          <w:jc w:val="center"/>
        </w:trPr>
        <w:tc>
          <w:tcPr>
            <w:tcW w:w="10204" w:type="dxa"/>
            <w:gridSpan w:val="2"/>
          </w:tcPr>
          <w:p w14:paraId="21F52CAF">
            <w:pPr>
              <w:rPr>
                <w:rFonts w:hint="default" w:ascii="Times New Roman" w:hAnsi="Times New Roman" w:eastAsia="宋体" w:cs="Times New Roman"/>
              </w:rPr>
            </w:pPr>
            <w:r>
              <w:rPr>
                <w:rFonts w:hint="default" w:ascii="Times New Roman" w:hAnsi="Times New Roman" w:eastAsia="宋体" w:cs="Times New Roman"/>
              </w:rPr>
              <w:t>签订时间：202*年***月***日</w:t>
            </w:r>
          </w:p>
        </w:tc>
      </w:tr>
      <w:tr w14:paraId="5311A330">
        <w:tblPrEx>
          <w:tblCellMar>
            <w:top w:w="0" w:type="dxa"/>
            <w:left w:w="0" w:type="dxa"/>
            <w:bottom w:w="0" w:type="dxa"/>
            <w:right w:w="0" w:type="dxa"/>
          </w:tblCellMar>
        </w:tblPrEx>
        <w:trPr>
          <w:jc w:val="center"/>
        </w:trPr>
        <w:tc>
          <w:tcPr>
            <w:tcW w:w="4962" w:type="dxa"/>
          </w:tcPr>
          <w:p w14:paraId="3EDAE3B4">
            <w:pPr>
              <w:rPr>
                <w:rFonts w:hint="default" w:ascii="Times New Roman" w:hAnsi="Times New Roman" w:eastAsia="宋体" w:cs="Times New Roman"/>
              </w:rPr>
            </w:pPr>
            <w:r>
              <w:rPr>
                <w:rFonts w:hint="default" w:ascii="Times New Roman" w:hAnsi="Times New Roman" w:eastAsia="宋体" w:cs="Times New Roman"/>
              </w:rPr>
              <w:t>甲方：四川省人民医院（盖章）</w:t>
            </w:r>
          </w:p>
          <w:p w14:paraId="6E5E5444">
            <w:pPr>
              <w:rPr>
                <w:rFonts w:hint="default" w:ascii="Times New Roman" w:hAnsi="Times New Roman" w:eastAsia="宋体" w:cs="Times New Roman"/>
              </w:rPr>
            </w:pPr>
            <w:r>
              <w:rPr>
                <w:rFonts w:hint="default" w:ascii="Times New Roman" w:hAnsi="Times New Roman" w:eastAsia="宋体" w:cs="Times New Roman"/>
              </w:rPr>
              <w:t>法定代表人（授权代表签字）：</w:t>
            </w:r>
          </w:p>
          <w:p w14:paraId="33D3B9C7">
            <w:pPr>
              <w:rPr>
                <w:rFonts w:hint="default" w:ascii="Times New Roman" w:hAnsi="Times New Roman" w:eastAsia="宋体" w:cs="Times New Roman"/>
              </w:rPr>
            </w:pPr>
            <w:r>
              <w:rPr>
                <w:rFonts w:hint="default" w:ascii="Times New Roman" w:hAnsi="Times New Roman" w:eastAsia="宋体" w:cs="Times New Roman"/>
              </w:rPr>
              <w:t>地    址：四川省成都市一环路西二段32号</w:t>
            </w:r>
          </w:p>
          <w:p w14:paraId="5C8AD18C">
            <w:pPr>
              <w:rPr>
                <w:rFonts w:hint="default" w:ascii="Times New Roman" w:hAnsi="Times New Roman" w:eastAsia="宋体" w:cs="Times New Roman"/>
              </w:rPr>
            </w:pPr>
            <w:r>
              <w:rPr>
                <w:rFonts w:hint="default" w:ascii="Times New Roman" w:hAnsi="Times New Roman" w:eastAsia="宋体" w:cs="Times New Roman"/>
              </w:rPr>
              <w:t>开户银行：建设银行成都青羊支行</w:t>
            </w:r>
          </w:p>
          <w:p w14:paraId="5495C1EC">
            <w:pPr>
              <w:rPr>
                <w:rFonts w:hint="default" w:ascii="Times New Roman" w:hAnsi="Times New Roman" w:eastAsia="宋体" w:cs="Times New Roman"/>
              </w:rPr>
            </w:pPr>
            <w:r>
              <w:rPr>
                <w:rFonts w:hint="default" w:ascii="Times New Roman" w:hAnsi="Times New Roman" w:eastAsia="宋体" w:cs="Times New Roman"/>
              </w:rPr>
              <w:t>账号：5100 1446 4360 5037 4282</w:t>
            </w:r>
          </w:p>
        </w:tc>
        <w:tc>
          <w:tcPr>
            <w:tcW w:w="5242" w:type="dxa"/>
          </w:tcPr>
          <w:p w14:paraId="103D6150">
            <w:pPr>
              <w:rPr>
                <w:rFonts w:hint="default" w:ascii="Times New Roman" w:hAnsi="Times New Roman" w:eastAsia="宋体" w:cs="Times New Roman"/>
              </w:rPr>
            </w:pPr>
            <w:r>
              <w:rPr>
                <w:rFonts w:hint="default" w:ascii="Times New Roman" w:hAnsi="Times New Roman" w:eastAsia="宋体" w:cs="Times New Roman"/>
              </w:rPr>
              <w:t>乙方：***（盖章）</w:t>
            </w:r>
          </w:p>
          <w:p w14:paraId="1DCB0717">
            <w:pPr>
              <w:rPr>
                <w:rFonts w:hint="default" w:ascii="Times New Roman" w:hAnsi="Times New Roman" w:eastAsia="宋体" w:cs="Times New Roman"/>
              </w:rPr>
            </w:pPr>
            <w:r>
              <w:rPr>
                <w:rFonts w:hint="default" w:ascii="Times New Roman" w:hAnsi="Times New Roman" w:eastAsia="宋体" w:cs="Times New Roman"/>
              </w:rPr>
              <w:t>法定代表人（授权代表签字）：</w:t>
            </w:r>
          </w:p>
          <w:p w14:paraId="10DBCCB5">
            <w:pPr>
              <w:rPr>
                <w:rFonts w:hint="default" w:ascii="Times New Roman" w:hAnsi="Times New Roman" w:eastAsia="宋体" w:cs="Times New Roman"/>
              </w:rPr>
            </w:pPr>
            <w:r>
              <w:rPr>
                <w:rFonts w:hint="default" w:ascii="Times New Roman" w:hAnsi="Times New Roman" w:eastAsia="宋体" w:cs="Times New Roman"/>
              </w:rPr>
              <w:t>地址：***</w:t>
            </w:r>
          </w:p>
          <w:p w14:paraId="5B48FCF1">
            <w:pPr>
              <w:rPr>
                <w:rFonts w:hint="default" w:ascii="Times New Roman" w:hAnsi="Times New Roman" w:eastAsia="宋体" w:cs="Times New Roman"/>
              </w:rPr>
            </w:pPr>
            <w:r>
              <w:rPr>
                <w:rFonts w:hint="default" w:ascii="Times New Roman" w:hAnsi="Times New Roman" w:eastAsia="宋体" w:cs="Times New Roman"/>
              </w:rPr>
              <w:t>开户银行：***</w:t>
            </w:r>
          </w:p>
          <w:p w14:paraId="1A1C8471">
            <w:pPr>
              <w:widowControl/>
              <w:jc w:val="left"/>
              <w:rPr>
                <w:rFonts w:hint="default" w:ascii="Times New Roman" w:hAnsi="Times New Roman" w:eastAsia="宋体" w:cs="Times New Roman"/>
              </w:rPr>
            </w:pPr>
            <w:r>
              <w:rPr>
                <w:rFonts w:hint="default" w:ascii="Times New Roman" w:hAnsi="Times New Roman" w:eastAsia="宋体" w:cs="Times New Roman"/>
              </w:rPr>
              <w:t>账号：***</w:t>
            </w:r>
          </w:p>
        </w:tc>
      </w:tr>
    </w:tbl>
    <w:p w14:paraId="1229A459">
      <w:pPr>
        <w:contextualSpacing/>
        <w:rPr>
          <w:rFonts w:hint="default" w:ascii="Times New Roman" w:hAnsi="Times New Roman" w:eastAsia="宋体" w:cs="Times New Roman"/>
        </w:rPr>
      </w:pPr>
    </w:p>
    <w:p w14:paraId="5D125A39">
      <w:pPr>
        <w:spacing w:line="288" w:lineRule="auto"/>
        <w:outlineLvl w:val="0"/>
        <w:rPr>
          <w:rFonts w:hint="default" w:ascii="Times New Roman" w:hAnsi="Times New Roman" w:eastAsia="宋体" w:cs="Times New Roman"/>
          <w:b/>
          <w:bCs/>
        </w:rPr>
        <w:sectPr>
          <w:headerReference r:id="rId7" w:type="default"/>
          <w:footerReference r:id="rId8" w:type="even"/>
          <w:pgSz w:w="11906" w:h="16838"/>
          <w:pgMar w:top="1134" w:right="851" w:bottom="1134" w:left="851" w:header="850" w:footer="567" w:gutter="0"/>
          <w:pgNumType w:fmt="decimal"/>
          <w:cols w:space="425" w:num="1"/>
          <w:docGrid w:linePitch="312" w:charSpace="0"/>
        </w:sectPr>
      </w:pPr>
    </w:p>
    <w:p w14:paraId="6946D76B">
      <w:pPr>
        <w:spacing w:line="460" w:lineRule="exact"/>
        <w:outlineLvl w:val="9"/>
        <w:rPr>
          <w:rFonts w:hint="default" w:ascii="Times New Roman" w:hAnsi="Times New Roman" w:eastAsia="宋体" w:cs="Times New Roman"/>
          <w:b/>
          <w:bCs/>
        </w:rPr>
      </w:pPr>
      <w:r>
        <w:rPr>
          <w:rFonts w:hint="default" w:ascii="Times New Roman" w:hAnsi="Times New Roman" w:eastAsia="宋体" w:cs="Times New Roman"/>
          <w:b/>
          <w:bCs/>
        </w:rPr>
        <w:t>附件：配置清单</w:t>
      </w:r>
    </w:p>
    <w:p w14:paraId="47C43C37">
      <w:pPr>
        <w:pStyle w:val="29"/>
        <w:numPr>
          <w:ilvl w:val="0"/>
          <w:numId w:val="31"/>
        </w:numPr>
        <w:ind w:firstLineChars="0"/>
        <w:contextualSpacing/>
        <w:jc w:val="left"/>
        <w:rPr>
          <w:rFonts w:hint="default" w:ascii="Times New Roman" w:hAnsi="Times New Roman" w:eastAsia="宋体" w:cs="Times New Roman"/>
        </w:rPr>
      </w:pPr>
      <w:r>
        <w:rPr>
          <w:rFonts w:hint="default" w:ascii="Times New Roman" w:hAnsi="Times New Roman" w:eastAsia="宋体" w:cs="Times New Roman"/>
        </w:rPr>
        <w:t>本合同第一条中写明的各设备须分别填写单独的配置清单。</w:t>
      </w:r>
    </w:p>
    <w:p w14:paraId="3FE384E1">
      <w:pPr>
        <w:pStyle w:val="29"/>
        <w:numPr>
          <w:ilvl w:val="0"/>
          <w:numId w:val="31"/>
        </w:numPr>
        <w:ind w:firstLineChars="0"/>
        <w:contextualSpacing/>
        <w:jc w:val="left"/>
        <w:outlineLvl w:val="9"/>
        <w:rPr>
          <w:rFonts w:hint="default" w:ascii="Times New Roman" w:hAnsi="Times New Roman" w:eastAsia="宋体" w:cs="Times New Roman"/>
        </w:rPr>
      </w:pPr>
      <w:r>
        <w:rPr>
          <w:rFonts w:ascii="Times New Roman" w:hAnsi="Times New Roman" w:eastAsia="宋体" w:cs="Times New Roman"/>
        </w:rPr>
        <w:t>成交</w:t>
      </w:r>
      <w:r>
        <w:rPr>
          <w:rFonts w:hint="default" w:ascii="Times New Roman" w:hAnsi="Times New Roman" w:eastAsia="宋体" w:cs="Times New Roman"/>
        </w:rPr>
        <w:t>产品名称和前面设备信息中</w:t>
      </w:r>
      <w:r>
        <w:rPr>
          <w:rFonts w:ascii="Times New Roman" w:hAnsi="Times New Roman" w:eastAsia="宋体" w:cs="Times New Roman"/>
        </w:rPr>
        <w:t>成交</w:t>
      </w:r>
      <w:r>
        <w:rPr>
          <w:rFonts w:hint="default" w:ascii="Times New Roman" w:hAnsi="Times New Roman" w:eastAsia="宋体" w:cs="Times New Roman"/>
        </w:rPr>
        <w:t>产品一致。</w:t>
      </w:r>
    </w:p>
    <w:p w14:paraId="66778FA1">
      <w:pPr>
        <w:spacing w:line="460" w:lineRule="exact"/>
        <w:outlineLvl w:val="9"/>
        <w:rPr>
          <w:rFonts w:hint="default" w:ascii="Times New Roman" w:hAnsi="Times New Roman" w:eastAsia="宋体" w:cs="Times New Roman"/>
        </w:rPr>
      </w:pPr>
      <w:r>
        <w:rPr>
          <w:rFonts w:hint="default" w:ascii="Times New Roman" w:hAnsi="Times New Roman" w:eastAsia="宋体" w:cs="Times New Roman"/>
        </w:rPr>
        <w:t>以下配置为</w:t>
      </w:r>
      <w:r>
        <w:rPr>
          <w:rFonts w:ascii="Times New Roman" w:hAnsi="Times New Roman" w:eastAsia="宋体" w:cs="Times New Roman"/>
          <w:b/>
          <w:bCs/>
          <w:u w:val="single"/>
        </w:rPr>
        <w:t>单台</w:t>
      </w:r>
      <w:r>
        <w:rPr>
          <w:rFonts w:hint="default" w:ascii="Times New Roman" w:hAnsi="Times New Roman" w:eastAsia="宋体" w:cs="Times New Roman"/>
        </w:rPr>
        <w:t>设备配置</w:t>
      </w:r>
      <w:r>
        <w:rPr>
          <w:rFonts w:hint="default" w:ascii="Times New Roman" w:hAnsi="Times New Roman" w:eastAsia="宋体" w:cs="Times New Roman"/>
          <w:i/>
          <w:iCs/>
          <w:highlight w:val="yellow"/>
          <w:lang w:val="zh-CN"/>
        </w:rPr>
        <w:t>&lt;根据项目实际情况编制&gt;</w:t>
      </w:r>
    </w:p>
    <w:p w14:paraId="2BB40160">
      <w:pPr>
        <w:pStyle w:val="29"/>
        <w:numPr>
          <w:ilvl w:val="0"/>
          <w:numId w:val="32"/>
        </w:numPr>
        <w:ind w:firstLineChars="0"/>
        <w:contextualSpacing/>
        <w:jc w:val="left"/>
        <w:outlineLvl w:val="9"/>
        <w:rPr>
          <w:rFonts w:hint="default" w:ascii="Times New Roman" w:hAnsi="Times New Roman" w:eastAsia="宋体" w:cs="Times New Roman"/>
        </w:rPr>
      </w:pPr>
      <w:r>
        <w:rPr>
          <w:rFonts w:ascii="Times New Roman" w:hAnsi="Times New Roman" w:eastAsia="宋体" w:cs="Times New Roman"/>
        </w:rPr>
        <w:t>成交</w:t>
      </w:r>
      <w:r>
        <w:rPr>
          <w:rFonts w:hint="default" w:ascii="Times New Roman" w:hAnsi="Times New Roman" w:eastAsia="宋体" w:cs="Times New Roman"/>
        </w:rPr>
        <w:t>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2BCD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13CDF3C6">
            <w:pPr>
              <w:contextualSpacing/>
              <w:jc w:val="center"/>
              <w:outlineLvl w:val="9"/>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序号</w:t>
            </w:r>
          </w:p>
        </w:tc>
        <w:tc>
          <w:tcPr>
            <w:tcW w:w="3412" w:type="dxa"/>
            <w:vAlign w:val="center"/>
          </w:tcPr>
          <w:p w14:paraId="5F0DB610">
            <w:pPr>
              <w:contextualSpacing/>
              <w:jc w:val="center"/>
              <w:outlineLvl w:val="9"/>
              <w:rPr>
                <w:rFonts w:hint="default" w:ascii="Times New Roman" w:hAnsi="Times New Roman" w:eastAsia="宋体" w:cs="Times New Roman"/>
                <w:b/>
                <w:sz w:val="18"/>
                <w:szCs w:val="18"/>
              </w:rPr>
            </w:pPr>
            <w:r>
              <w:rPr>
                <w:rFonts w:ascii="Times New Roman" w:hAnsi="Times New Roman" w:eastAsia="宋体" w:cs="Times New Roman"/>
                <w:b/>
                <w:sz w:val="18"/>
                <w:szCs w:val="18"/>
              </w:rPr>
              <w:t>配置</w:t>
            </w:r>
            <w:r>
              <w:rPr>
                <w:rFonts w:hint="default" w:ascii="Times New Roman" w:hAnsi="Times New Roman" w:eastAsia="宋体" w:cs="Times New Roman"/>
                <w:b/>
                <w:sz w:val="18"/>
                <w:szCs w:val="18"/>
              </w:rPr>
              <w:t>名称</w:t>
            </w:r>
          </w:p>
        </w:tc>
        <w:tc>
          <w:tcPr>
            <w:tcW w:w="2988" w:type="dxa"/>
            <w:vAlign w:val="center"/>
          </w:tcPr>
          <w:p w14:paraId="2C0E7A6D">
            <w:pPr>
              <w:contextualSpacing/>
              <w:jc w:val="center"/>
              <w:outlineLvl w:val="9"/>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型号/规格（如有）</w:t>
            </w:r>
          </w:p>
        </w:tc>
        <w:tc>
          <w:tcPr>
            <w:tcW w:w="426" w:type="dxa"/>
            <w:vAlign w:val="center"/>
          </w:tcPr>
          <w:p w14:paraId="341F2C05">
            <w:pPr>
              <w:contextualSpacing/>
              <w:jc w:val="center"/>
              <w:outlineLvl w:val="9"/>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单位</w:t>
            </w:r>
          </w:p>
        </w:tc>
        <w:tc>
          <w:tcPr>
            <w:tcW w:w="429" w:type="dxa"/>
            <w:vAlign w:val="center"/>
          </w:tcPr>
          <w:p w14:paraId="427B6FAE">
            <w:pPr>
              <w:contextualSpacing/>
              <w:jc w:val="center"/>
              <w:outlineLvl w:val="9"/>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数量</w:t>
            </w:r>
          </w:p>
        </w:tc>
        <w:tc>
          <w:tcPr>
            <w:tcW w:w="1978" w:type="dxa"/>
            <w:vAlign w:val="center"/>
          </w:tcPr>
          <w:p w14:paraId="14783603">
            <w:pPr>
              <w:contextualSpacing/>
              <w:jc w:val="center"/>
              <w:outlineLvl w:val="9"/>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备注</w:t>
            </w:r>
          </w:p>
        </w:tc>
      </w:tr>
      <w:tr w14:paraId="5CF24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016002BC">
            <w:pPr>
              <w:contextualSpacing/>
              <w:jc w:val="center"/>
              <w:outlineLvl w:val="9"/>
              <w:rPr>
                <w:rFonts w:hint="default" w:ascii="Times New Roman" w:hAnsi="Times New Roman" w:eastAsia="宋体" w:cs="Times New Roman"/>
                <w:sz w:val="18"/>
                <w:szCs w:val="18"/>
              </w:rPr>
            </w:pPr>
          </w:p>
        </w:tc>
        <w:tc>
          <w:tcPr>
            <w:tcW w:w="3412" w:type="dxa"/>
            <w:vAlign w:val="center"/>
          </w:tcPr>
          <w:p w14:paraId="5B55A8AF">
            <w:pPr>
              <w:contextualSpacing/>
              <w:jc w:val="left"/>
              <w:outlineLvl w:val="9"/>
              <w:rPr>
                <w:rFonts w:hint="default" w:ascii="Times New Roman" w:hAnsi="Times New Roman" w:eastAsia="宋体" w:cs="Times New Roman"/>
                <w:sz w:val="18"/>
                <w:szCs w:val="18"/>
              </w:rPr>
            </w:pPr>
          </w:p>
        </w:tc>
        <w:tc>
          <w:tcPr>
            <w:tcW w:w="2988" w:type="dxa"/>
            <w:vAlign w:val="center"/>
          </w:tcPr>
          <w:p w14:paraId="003518DF">
            <w:pPr>
              <w:contextualSpacing/>
              <w:jc w:val="center"/>
              <w:outlineLvl w:val="9"/>
              <w:rPr>
                <w:rFonts w:hint="default" w:ascii="Times New Roman" w:hAnsi="Times New Roman" w:eastAsia="宋体" w:cs="Times New Roman"/>
                <w:sz w:val="18"/>
                <w:szCs w:val="18"/>
              </w:rPr>
            </w:pPr>
          </w:p>
        </w:tc>
        <w:tc>
          <w:tcPr>
            <w:tcW w:w="426" w:type="dxa"/>
            <w:vAlign w:val="center"/>
          </w:tcPr>
          <w:p w14:paraId="34FEFF85">
            <w:pPr>
              <w:contextualSpacing/>
              <w:jc w:val="center"/>
              <w:outlineLvl w:val="9"/>
              <w:rPr>
                <w:rFonts w:hint="default" w:ascii="Times New Roman" w:hAnsi="Times New Roman" w:eastAsia="宋体" w:cs="Times New Roman"/>
                <w:b/>
                <w:sz w:val="18"/>
                <w:szCs w:val="18"/>
              </w:rPr>
            </w:pPr>
          </w:p>
        </w:tc>
        <w:tc>
          <w:tcPr>
            <w:tcW w:w="429" w:type="dxa"/>
            <w:vAlign w:val="center"/>
          </w:tcPr>
          <w:p w14:paraId="1007D30B">
            <w:pPr>
              <w:contextualSpacing/>
              <w:jc w:val="center"/>
              <w:outlineLvl w:val="9"/>
              <w:rPr>
                <w:rFonts w:hint="default" w:ascii="Times New Roman" w:hAnsi="Times New Roman" w:eastAsia="宋体" w:cs="Times New Roman"/>
                <w:sz w:val="18"/>
                <w:szCs w:val="18"/>
              </w:rPr>
            </w:pPr>
          </w:p>
        </w:tc>
        <w:tc>
          <w:tcPr>
            <w:tcW w:w="1978" w:type="dxa"/>
            <w:vAlign w:val="center"/>
          </w:tcPr>
          <w:p w14:paraId="17381109">
            <w:pPr>
              <w:contextualSpacing/>
              <w:jc w:val="left"/>
              <w:outlineLvl w:val="9"/>
              <w:rPr>
                <w:rFonts w:hint="default" w:ascii="Times New Roman" w:hAnsi="Times New Roman" w:eastAsia="宋体" w:cs="Times New Roman"/>
                <w:sz w:val="18"/>
                <w:szCs w:val="18"/>
              </w:rPr>
            </w:pPr>
          </w:p>
        </w:tc>
      </w:tr>
    </w:tbl>
    <w:p w14:paraId="522117E1">
      <w:pPr>
        <w:outlineLvl w:val="9"/>
        <w:rPr>
          <w:rFonts w:hint="default" w:ascii="Times New Roman" w:hAnsi="Times New Roman" w:eastAsia="宋体" w:cs="Times New Roman"/>
        </w:rPr>
      </w:pPr>
    </w:p>
    <w:p w14:paraId="31EA1566">
      <w:pPr>
        <w:pStyle w:val="29"/>
        <w:numPr>
          <w:ilvl w:val="0"/>
          <w:numId w:val="32"/>
        </w:numPr>
        <w:ind w:firstLineChars="0"/>
        <w:contextualSpacing/>
        <w:jc w:val="left"/>
        <w:outlineLvl w:val="9"/>
        <w:rPr>
          <w:rFonts w:hint="default" w:ascii="Times New Roman" w:hAnsi="Times New Roman" w:eastAsia="宋体" w:cs="Times New Roman"/>
        </w:rPr>
      </w:pPr>
      <w:r>
        <w:rPr>
          <w:rFonts w:ascii="Times New Roman" w:hAnsi="Times New Roman" w:eastAsia="宋体" w:cs="Times New Roman"/>
        </w:rPr>
        <w:t>成交</w:t>
      </w:r>
      <w:r>
        <w:rPr>
          <w:rFonts w:hint="default" w:ascii="Times New Roman" w:hAnsi="Times New Roman" w:eastAsia="宋体" w:cs="Times New Roman"/>
        </w:rPr>
        <w:t>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0297A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7C43AEFC">
            <w:pPr>
              <w:contextualSpacing/>
              <w:jc w:val="center"/>
              <w:outlineLvl w:val="9"/>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序号</w:t>
            </w:r>
          </w:p>
        </w:tc>
        <w:tc>
          <w:tcPr>
            <w:tcW w:w="3412" w:type="dxa"/>
            <w:vAlign w:val="center"/>
          </w:tcPr>
          <w:p w14:paraId="4B9CFDF2">
            <w:pPr>
              <w:contextualSpacing/>
              <w:jc w:val="center"/>
              <w:outlineLvl w:val="9"/>
              <w:rPr>
                <w:rFonts w:hint="default" w:ascii="Times New Roman" w:hAnsi="Times New Roman" w:eastAsia="宋体" w:cs="Times New Roman"/>
                <w:b/>
                <w:sz w:val="18"/>
                <w:szCs w:val="18"/>
              </w:rPr>
            </w:pPr>
            <w:r>
              <w:rPr>
                <w:rFonts w:ascii="Times New Roman" w:hAnsi="Times New Roman" w:eastAsia="宋体" w:cs="Times New Roman"/>
                <w:b/>
                <w:sz w:val="18"/>
                <w:szCs w:val="18"/>
              </w:rPr>
              <w:t>配置</w:t>
            </w:r>
            <w:r>
              <w:rPr>
                <w:rFonts w:hint="default" w:ascii="Times New Roman" w:hAnsi="Times New Roman" w:eastAsia="宋体" w:cs="Times New Roman"/>
                <w:b/>
                <w:sz w:val="18"/>
                <w:szCs w:val="18"/>
              </w:rPr>
              <w:t>名称</w:t>
            </w:r>
          </w:p>
        </w:tc>
        <w:tc>
          <w:tcPr>
            <w:tcW w:w="2988" w:type="dxa"/>
            <w:vAlign w:val="center"/>
          </w:tcPr>
          <w:p w14:paraId="60C70541">
            <w:pPr>
              <w:contextualSpacing/>
              <w:jc w:val="center"/>
              <w:outlineLvl w:val="9"/>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型号/规格（如有）</w:t>
            </w:r>
          </w:p>
        </w:tc>
        <w:tc>
          <w:tcPr>
            <w:tcW w:w="426" w:type="dxa"/>
            <w:vAlign w:val="center"/>
          </w:tcPr>
          <w:p w14:paraId="4E216E5F">
            <w:pPr>
              <w:contextualSpacing/>
              <w:jc w:val="center"/>
              <w:outlineLvl w:val="9"/>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单位</w:t>
            </w:r>
          </w:p>
        </w:tc>
        <w:tc>
          <w:tcPr>
            <w:tcW w:w="429" w:type="dxa"/>
            <w:vAlign w:val="center"/>
          </w:tcPr>
          <w:p w14:paraId="73941198">
            <w:pPr>
              <w:contextualSpacing/>
              <w:jc w:val="center"/>
              <w:outlineLvl w:val="9"/>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数量</w:t>
            </w:r>
          </w:p>
        </w:tc>
        <w:tc>
          <w:tcPr>
            <w:tcW w:w="1978" w:type="dxa"/>
            <w:vAlign w:val="center"/>
          </w:tcPr>
          <w:p w14:paraId="1273E151">
            <w:pPr>
              <w:contextualSpacing/>
              <w:jc w:val="center"/>
              <w:outlineLvl w:val="9"/>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备注</w:t>
            </w:r>
          </w:p>
        </w:tc>
      </w:tr>
      <w:tr w14:paraId="1B17F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0EC3B78E">
            <w:pPr>
              <w:contextualSpacing/>
              <w:jc w:val="center"/>
              <w:outlineLvl w:val="9"/>
              <w:rPr>
                <w:rFonts w:hint="default" w:ascii="Times New Roman" w:hAnsi="Times New Roman" w:eastAsia="宋体" w:cs="Times New Roman"/>
                <w:sz w:val="18"/>
                <w:szCs w:val="18"/>
              </w:rPr>
            </w:pPr>
          </w:p>
        </w:tc>
        <w:tc>
          <w:tcPr>
            <w:tcW w:w="3412" w:type="dxa"/>
            <w:vAlign w:val="center"/>
          </w:tcPr>
          <w:p w14:paraId="05657E03">
            <w:pPr>
              <w:contextualSpacing/>
              <w:jc w:val="left"/>
              <w:outlineLvl w:val="9"/>
              <w:rPr>
                <w:rFonts w:hint="default" w:ascii="Times New Roman" w:hAnsi="Times New Roman" w:eastAsia="宋体" w:cs="Times New Roman"/>
                <w:sz w:val="18"/>
                <w:szCs w:val="18"/>
              </w:rPr>
            </w:pPr>
          </w:p>
        </w:tc>
        <w:tc>
          <w:tcPr>
            <w:tcW w:w="2988" w:type="dxa"/>
            <w:vAlign w:val="center"/>
          </w:tcPr>
          <w:p w14:paraId="219FDEC8">
            <w:pPr>
              <w:contextualSpacing/>
              <w:jc w:val="center"/>
              <w:outlineLvl w:val="9"/>
              <w:rPr>
                <w:rFonts w:hint="default" w:ascii="Times New Roman" w:hAnsi="Times New Roman" w:eastAsia="宋体" w:cs="Times New Roman"/>
                <w:sz w:val="18"/>
                <w:szCs w:val="18"/>
              </w:rPr>
            </w:pPr>
          </w:p>
        </w:tc>
        <w:tc>
          <w:tcPr>
            <w:tcW w:w="426" w:type="dxa"/>
            <w:vAlign w:val="center"/>
          </w:tcPr>
          <w:p w14:paraId="0D326026">
            <w:pPr>
              <w:contextualSpacing/>
              <w:jc w:val="center"/>
              <w:outlineLvl w:val="9"/>
              <w:rPr>
                <w:rFonts w:hint="default" w:ascii="Times New Roman" w:hAnsi="Times New Roman" w:eastAsia="宋体" w:cs="Times New Roman"/>
                <w:b/>
                <w:sz w:val="18"/>
                <w:szCs w:val="18"/>
              </w:rPr>
            </w:pPr>
          </w:p>
        </w:tc>
        <w:tc>
          <w:tcPr>
            <w:tcW w:w="429" w:type="dxa"/>
            <w:vAlign w:val="center"/>
          </w:tcPr>
          <w:p w14:paraId="609F3BD6">
            <w:pPr>
              <w:contextualSpacing/>
              <w:jc w:val="center"/>
              <w:outlineLvl w:val="9"/>
              <w:rPr>
                <w:rFonts w:hint="default" w:ascii="Times New Roman" w:hAnsi="Times New Roman" w:eastAsia="宋体" w:cs="Times New Roman"/>
                <w:sz w:val="18"/>
                <w:szCs w:val="18"/>
              </w:rPr>
            </w:pPr>
          </w:p>
        </w:tc>
        <w:tc>
          <w:tcPr>
            <w:tcW w:w="1978" w:type="dxa"/>
            <w:vAlign w:val="center"/>
          </w:tcPr>
          <w:p w14:paraId="57C77D1F">
            <w:pPr>
              <w:contextualSpacing/>
              <w:jc w:val="left"/>
              <w:outlineLvl w:val="9"/>
              <w:rPr>
                <w:rFonts w:hint="default" w:ascii="Times New Roman" w:hAnsi="Times New Roman" w:eastAsia="宋体" w:cs="Times New Roman"/>
                <w:sz w:val="18"/>
                <w:szCs w:val="18"/>
              </w:rPr>
            </w:pPr>
          </w:p>
        </w:tc>
      </w:tr>
    </w:tbl>
    <w:p w14:paraId="1295FB2D">
      <w:pPr>
        <w:pStyle w:val="7"/>
        <w:outlineLvl w:val="9"/>
        <w:rPr>
          <w:rFonts w:hint="default" w:ascii="Times New Roman" w:hAnsi="Times New Roman" w:eastAsia="宋体" w:cs="Times New Roman"/>
        </w:rPr>
      </w:pPr>
    </w:p>
    <w:p w14:paraId="1BEBAD90">
      <w:pPr>
        <w:pStyle w:val="29"/>
        <w:numPr>
          <w:ilvl w:val="0"/>
          <w:numId w:val="32"/>
        </w:numPr>
        <w:ind w:firstLineChars="0"/>
        <w:contextualSpacing/>
        <w:jc w:val="left"/>
        <w:outlineLvl w:val="9"/>
        <w:rPr>
          <w:rFonts w:hint="default" w:ascii="Times New Roman" w:hAnsi="Times New Roman" w:eastAsia="宋体" w:cs="Times New Roman"/>
        </w:rPr>
      </w:pPr>
      <w:r>
        <w:rPr>
          <w:rFonts w:hint="default" w:ascii="Times New Roman" w:hAnsi="Times New Roman" w:eastAsia="宋体" w:cs="Times New Roman"/>
        </w:rPr>
        <w:t>***</w:t>
      </w:r>
    </w:p>
    <w:p w14:paraId="3650DF39">
      <w:pPr>
        <w:outlineLvl w:val="9"/>
        <w:rPr>
          <w:rFonts w:ascii="Times New Roman" w:hAnsi="Times New Roman" w:cs="Times New Roman"/>
          <w:b/>
          <w:bCs/>
          <w:sz w:val="44"/>
          <w:szCs w:val="52"/>
        </w:rPr>
      </w:pPr>
      <w:r>
        <w:rPr>
          <w:rFonts w:ascii="Times New Roman" w:hAnsi="Times New Roman" w:cs="Times New Roman"/>
          <w:b/>
          <w:bCs/>
          <w:sz w:val="44"/>
          <w:szCs w:val="52"/>
        </w:rPr>
        <w:br w:type="page"/>
      </w:r>
    </w:p>
    <w:p w14:paraId="57906FDD">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5B20492D">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00A41FAA">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335F67D8">
      <w:pPr>
        <w:ind w:firstLine="560" w:firstLineChars="200"/>
        <w:rPr>
          <w:rFonts w:ascii="Times New Roman" w:hAnsi="Times New Roman" w:eastAsia="仿宋" w:cs="Times New Roman"/>
          <w:sz w:val="28"/>
          <w:szCs w:val="28"/>
        </w:rPr>
      </w:pPr>
    </w:p>
    <w:p w14:paraId="6E1F8DF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为进一步加强廉政建设,预防医药购销领域不正之风,我院与供应商签订如下协议,共同遵守:</w:t>
      </w:r>
    </w:p>
    <w:p w14:paraId="4B95AFB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一、甲方工作人员不得利用职务和招投标等工作之便,暗示、索要和收受供应商任何形式的财物、提成、回扣等一切不正当利益。</w:t>
      </w:r>
    </w:p>
    <w:p w14:paraId="4883722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二、甲方工作人员严格执行国家及我院的采购管理制度，如有违反,一经查实,按有关规定严肃处理并追究相关人员责任。</w:t>
      </w:r>
    </w:p>
    <w:p w14:paraId="75BFE8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5E4C89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3938A7E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4D8ED1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AFEF0F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216E6C8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八、本协议一式三份,归口管理部门、供应商、招标采购中心各执一份。</w:t>
      </w:r>
    </w:p>
    <w:p w14:paraId="244721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57E21778">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17AB4BB6">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18434EC">
      <w:pPr>
        <w:ind w:firstLine="560" w:firstLineChars="200"/>
        <w:rPr>
          <w:rFonts w:ascii="Times New Roman" w:hAnsi="Times New Roman" w:eastAsia="仿宋" w:cs="Times New Roman"/>
          <w:sz w:val="28"/>
          <w:szCs w:val="28"/>
        </w:rPr>
      </w:pPr>
    </w:p>
    <w:p w14:paraId="67EF17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甲方：四川省人民医院(盖章)        乙方：   供应单位(盖章)</w:t>
      </w:r>
    </w:p>
    <w:p w14:paraId="5A5AEF93">
      <w:pPr>
        <w:ind w:firstLine="560" w:firstLineChars="200"/>
        <w:rPr>
          <w:rFonts w:ascii="Times New Roman" w:hAnsi="Times New Roman" w:eastAsia="仿宋" w:cs="Times New Roman"/>
          <w:sz w:val="28"/>
          <w:szCs w:val="28"/>
        </w:rPr>
      </w:pPr>
    </w:p>
    <w:p w14:paraId="6DA5BC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p>
    <w:p w14:paraId="0A4271B7">
      <w:pPr>
        <w:ind w:firstLine="4200" w:firstLineChars="1500"/>
        <w:rPr>
          <w:rFonts w:ascii="Times New Roman" w:hAnsi="Times New Roman" w:eastAsia="仿宋" w:cs="Times New Roman"/>
          <w:sz w:val="28"/>
          <w:szCs w:val="28"/>
        </w:rPr>
      </w:pPr>
    </w:p>
    <w:p w14:paraId="32112B4F">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52CFCD66">
      <w:pPr>
        <w:pStyle w:val="26"/>
        <w:rPr>
          <w:rFonts w:ascii="Times New Roman" w:hAnsi="Times New Roman"/>
        </w:rPr>
      </w:pPr>
    </w:p>
    <w:sectPr>
      <w:headerReference r:id="rId9" w:type="default"/>
      <w:footerReference r:id="rId10"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EAB45BA2-8AA8-46ED-A5E7-C9F3524B9987}"/>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E4863D37-E00F-4D66-BF80-B41EE155012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DB0B7810-7BFB-4666-8556-D0D0F343B4C6}"/>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Segoe UI Symbol">
    <w:panose1 w:val="020B0502040204020203"/>
    <w:charset w:val="00"/>
    <w:family w:val="swiss"/>
    <w:pitch w:val="default"/>
    <w:sig w:usb0="800001E3" w:usb1="1200FFEF" w:usb2="00040000" w:usb3="04000000" w:csb0="00000001" w:csb1="40000000"/>
    <w:embedRegular r:id="rId4" w:fontKey="{D2D26899-9C73-492C-8966-51501321E09E}"/>
  </w:font>
  <w:font w:name="仿宋_GB2312">
    <w:panose1 w:val="02010609030101010101"/>
    <w:charset w:val="86"/>
    <w:family w:val="auto"/>
    <w:pitch w:val="default"/>
    <w:sig w:usb0="00000001" w:usb1="080E0000" w:usb2="00000000" w:usb3="00000000" w:csb0="00040000" w:csb1="00000000"/>
    <w:embedRegular r:id="rId5" w:fontKey="{9F8FDA90-593F-45B4-8B9A-3DB3BFAE44E2}"/>
  </w:font>
  <w:font w:name="Wingdings 2">
    <w:altName w:val="Wingdings"/>
    <w:panose1 w:val="05020102010507070707"/>
    <w:charset w:val="4D"/>
    <w:family w:val="decorative"/>
    <w:pitch w:val="default"/>
    <w:sig w:usb0="00000000" w:usb1="00000000" w:usb2="00000000" w:usb3="00000000" w:csb0="80000001" w:csb1="00000000"/>
    <w:embedRegular r:id="rId6" w:fontKey="{6BAB638A-4B7E-4139-BD9D-6EEEFBD5A9D7}"/>
  </w:font>
  <w:font w:name="Songti SC">
    <w:altName w:val="宋体"/>
    <w:panose1 w:val="02010600040101010101"/>
    <w:charset w:val="86"/>
    <w:family w:val="auto"/>
    <w:pitch w:val="default"/>
    <w:sig w:usb0="00000000" w:usb1="00000000" w:usb2="00000010" w:usb3="00000000" w:csb0="0004009F" w:csb1="00000000"/>
    <w:embedRegular r:id="rId7" w:fontKey="{5325235B-E657-4B6A-A987-58E2EFA95C30}"/>
  </w:font>
  <w:font w:name="微软雅黑">
    <w:panose1 w:val="020B0503020204020204"/>
    <w:charset w:val="86"/>
    <w:family w:val="auto"/>
    <w:pitch w:val="default"/>
    <w:sig w:usb0="80000287" w:usb1="2ACF3C50" w:usb2="00000016" w:usb3="00000000" w:csb0="0004001F" w:csb1="00000000"/>
    <w:embedRegular r:id="rId8" w:fontKey="{08ED414E-F109-4579-9F1F-19BC7BCBD872}"/>
  </w:font>
  <w:font w:name="Arial">
    <w:panose1 w:val="020B0604020202020204"/>
    <w:charset w:val="00"/>
    <w:family w:val="auto"/>
    <w:pitch w:val="default"/>
    <w:sig w:usb0="E0002EFF" w:usb1="C000785B" w:usb2="00000009" w:usb3="00000000" w:csb0="400001FF" w:csb1="FFFF0000"/>
  </w:font>
  <w:font w:name="WPSEMBED1">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A9F824">
    <w:pPr>
      <w:pStyle w:val="11"/>
      <w:rPr>
        <w:rFonts w:hint="default" w:ascii="Times New Roman" w:hAnsi="Times New Roman" w:eastAsia="宋体" w:cs="Times New Roman"/>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F8E38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9F8E38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F060">
    <w:pPr>
      <w:pStyle w:val="11"/>
      <w:framePr w:wrap="around" w:vAnchor="text" w:hAnchor="margin" w:xAlign="center" w:y="1"/>
      <w:rPr>
        <w:rStyle w:val="22"/>
        <w:rFonts w:hint="default"/>
      </w:rPr>
    </w:pPr>
    <w:r>
      <w:rPr>
        <w:rStyle w:val="22"/>
      </w:rPr>
      <w:fldChar w:fldCharType="begin"/>
    </w:r>
    <w:r>
      <w:rPr>
        <w:rStyle w:val="22"/>
      </w:rPr>
      <w:instrText xml:space="preserve">PAGE  </w:instrText>
    </w:r>
    <w:r>
      <w:rPr>
        <w:rStyle w:val="22"/>
      </w:rPr>
      <w:fldChar w:fldCharType="end"/>
    </w:r>
  </w:p>
  <w:p w14:paraId="1944CB3A">
    <w:pPr>
      <w:pStyle w:val="11"/>
      <w:rPr>
        <w:rFonts w:hint="default"/>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9EF53E">
                          <w:pPr>
                            <w:pStyle w:val="11"/>
                          </w:pPr>
                          <w:r>
                            <w:t xml:space="preserve">第 </w:t>
                          </w:r>
                          <w:r>
                            <w:fldChar w:fldCharType="begin"/>
                          </w:r>
                          <w:r>
                            <w:instrText xml:space="preserve"> PAGE  \* MERGEFORMAT </w:instrText>
                          </w:r>
                          <w:r>
                            <w:fldChar w:fldCharType="separate"/>
                          </w:r>
                          <w:r>
                            <w:t>38</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49EF53E">
                    <w:pPr>
                      <w:pStyle w:val="11"/>
                    </w:pPr>
                    <w:r>
                      <w:t xml:space="preserve">第 </w:t>
                    </w:r>
                    <w:r>
                      <w:fldChar w:fldCharType="begin"/>
                    </w:r>
                    <w:r>
                      <w:instrText xml:space="preserve"> PAGE  \* MERGEFORMAT </w:instrText>
                    </w:r>
                    <w:r>
                      <w:fldChar w:fldCharType="separate"/>
                    </w:r>
                    <w:r>
                      <w:t>38</w:t>
                    </w:r>
                    <w:r>
                      <w:fldChar w:fldCharType="end"/>
                    </w:r>
                    <w:r>
                      <w:t xml:space="preserve"> 页 共 </w:t>
                    </w:r>
                    <w:r>
                      <w:rPr>
                        <w:rFonts w:hint="eastAsia"/>
                        <w:lang w:val="en-US" w:eastAsia="zh-CN"/>
                      </w:rPr>
                      <w:t>39</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E137B6">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A29">
    <w:pPr>
      <w:pStyle w:val="12"/>
      <w:tabs>
        <w:tab w:val="center" w:pos="4680"/>
        <w:tab w:val="right" w:pos="9360"/>
        <w:tab w:val="clear" w:pos="4153"/>
        <w:tab w:val="clear" w:pos="8306"/>
      </w:tabs>
      <w:jc w:val="right"/>
      <w:rPr>
        <w:rFonts w:hint="default" w:ascii="Times New Roman" w:hAnsi="Times New Roman" w:eastAsia="宋体" w:cs="Times New Roman"/>
      </w:rPr>
    </w:pPr>
    <w:r>
      <w:rPr>
        <w:rFonts w:hint="default" w:ascii="Times New Roman" w:hAnsi="Times New Roman" w:eastAsia="宋体" w:cs="Times New Roman"/>
        <w:color w:val="auto"/>
        <w:kern w:val="0"/>
      </w:rPr>
      <w:t>HTMB-YLSB-YN01-202</w:t>
    </w:r>
    <w:r>
      <w:rPr>
        <w:rFonts w:ascii="Times New Roman" w:hAnsi="Times New Roman" w:eastAsia="宋体" w:cs="Times New Roman"/>
        <w:color w:val="auto"/>
        <w:kern w:val="0"/>
      </w:rPr>
      <w:t>5</w:t>
    </w:r>
    <w:r>
      <w:rPr>
        <w:rFonts w:hint="default" w:ascii="Times New Roman" w:hAnsi="Times New Roman" w:eastAsia="宋体" w:cs="Times New Roman"/>
        <w:color w:val="auto"/>
        <w:kern w:val="0"/>
      </w:rPr>
      <w:t>0</w:t>
    </w:r>
    <w:r>
      <w:rPr>
        <w:rFonts w:ascii="Times New Roman" w:hAnsi="Times New Roman" w:eastAsia="宋体" w:cs="Times New Roman"/>
        <w:color w:val="auto"/>
        <w:kern w:val="0"/>
      </w:rPr>
      <w:t>4</w:t>
    </w:r>
    <w:r>
      <w:rPr>
        <w:rFonts w:hint="default" w:ascii="Times New Roman" w:hAnsi="Times New Roman" w:eastAsia="宋体" w:cs="Times New Roman"/>
        <w:color w:val="auto"/>
        <w:kern w:val="0"/>
      </w:rP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22E947">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2C59B872">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9A761939"/>
    <w:multiLevelType w:val="singleLevel"/>
    <w:tmpl w:val="9A761939"/>
    <w:lvl w:ilvl="0" w:tentative="0">
      <w:start w:val="1"/>
      <w:numFmt w:val="decimal"/>
      <w:lvlText w:val="(%1)"/>
      <w:lvlJc w:val="left"/>
      <w:pPr>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4">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5">
    <w:nsid w:val="FCA5E3A8"/>
    <w:multiLevelType w:val="singleLevel"/>
    <w:tmpl w:val="FCA5E3A8"/>
    <w:lvl w:ilvl="0" w:tentative="0">
      <w:start w:val="1"/>
      <w:numFmt w:val="decimal"/>
      <w:suff w:val="nothing"/>
      <w:lvlText w:val="（%1）"/>
      <w:lvlJc w:val="left"/>
      <w:pPr>
        <w:ind w:left="-210"/>
      </w:pPr>
    </w:lvl>
  </w:abstractNum>
  <w:abstractNum w:abstractNumId="6">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0">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1">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F712D09"/>
    <w:multiLevelType w:val="singleLevel"/>
    <w:tmpl w:val="1F712D09"/>
    <w:lvl w:ilvl="0" w:tentative="0">
      <w:start w:val="1"/>
      <w:numFmt w:val="decimal"/>
      <w:lvlText w:val="(%1)"/>
      <w:lvlJc w:val="left"/>
      <w:pPr>
        <w:ind w:left="218" w:hanging="425"/>
      </w:pPr>
      <w:rPr>
        <w:rFonts w:hint="default"/>
      </w:rPr>
    </w:lvl>
  </w:abstractNum>
  <w:abstractNum w:abstractNumId="14">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7">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8">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3A69C7D9"/>
    <w:multiLevelType w:val="singleLevel"/>
    <w:tmpl w:val="3A69C7D9"/>
    <w:lvl w:ilvl="0" w:tentative="0">
      <w:start w:val="1"/>
      <w:numFmt w:val="decimal"/>
      <w:lvlText w:val="(%1)"/>
      <w:lvlJc w:val="left"/>
      <w:pPr>
        <w:ind w:left="425" w:hanging="425"/>
      </w:pPr>
      <w:rPr>
        <w:rFonts w:hint="default"/>
      </w:rPr>
    </w:lvl>
  </w:abstractNum>
  <w:abstractNum w:abstractNumId="2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1">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2">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6">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1">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6"/>
  </w:num>
  <w:num w:numId="2">
    <w:abstractNumId w:val="4"/>
  </w:num>
  <w:num w:numId="3">
    <w:abstractNumId w:val="20"/>
  </w:num>
  <w:num w:numId="4">
    <w:abstractNumId w:val="30"/>
  </w:num>
  <w:num w:numId="5">
    <w:abstractNumId w:val="13"/>
  </w:num>
  <w:num w:numId="6">
    <w:abstractNumId w:val="25"/>
  </w:num>
  <w:num w:numId="7">
    <w:abstractNumId w:val="19"/>
  </w:num>
  <w:num w:numId="8">
    <w:abstractNumId w:val="3"/>
  </w:num>
  <w:num w:numId="9">
    <w:abstractNumId w:val="2"/>
  </w:num>
  <w:num w:numId="10">
    <w:abstractNumId w:val="0"/>
  </w:num>
  <w:num w:numId="11">
    <w:abstractNumId w:val="5"/>
  </w:num>
  <w:num w:numId="12">
    <w:abstractNumId w:val="1"/>
  </w:num>
  <w:num w:numId="13">
    <w:abstractNumId w:val="17"/>
  </w:num>
  <w:num w:numId="14">
    <w:abstractNumId w:val="7"/>
  </w:num>
  <w:num w:numId="15">
    <w:abstractNumId w:val="31"/>
  </w:num>
  <w:num w:numId="16">
    <w:abstractNumId w:val="29"/>
  </w:num>
  <w:num w:numId="17">
    <w:abstractNumId w:val="23"/>
  </w:num>
  <w:num w:numId="18">
    <w:abstractNumId w:val="9"/>
  </w:num>
  <w:num w:numId="19">
    <w:abstractNumId w:val="14"/>
  </w:num>
  <w:num w:numId="20">
    <w:abstractNumId w:val="8"/>
  </w:num>
  <w:num w:numId="21">
    <w:abstractNumId w:val="15"/>
  </w:num>
  <w:num w:numId="22">
    <w:abstractNumId w:val="27"/>
  </w:num>
  <w:num w:numId="23">
    <w:abstractNumId w:val="26"/>
  </w:num>
  <w:num w:numId="24">
    <w:abstractNumId w:val="21"/>
  </w:num>
  <w:num w:numId="25">
    <w:abstractNumId w:val="18"/>
  </w:num>
  <w:num w:numId="26">
    <w:abstractNumId w:val="10"/>
  </w:num>
  <w:num w:numId="27">
    <w:abstractNumId w:val="6"/>
  </w:num>
  <w:num w:numId="28">
    <w:abstractNumId w:val="12"/>
  </w:num>
  <w:num w:numId="29">
    <w:abstractNumId w:val="24"/>
  </w:num>
  <w:num w:numId="30">
    <w:abstractNumId w:val="28"/>
  </w:num>
  <w:num w:numId="31">
    <w:abstractNumId w:val="22"/>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8"/>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278AB"/>
    <w:rsid w:val="0003214C"/>
    <w:rsid w:val="00077AA7"/>
    <w:rsid w:val="000C337E"/>
    <w:rsid w:val="0022301C"/>
    <w:rsid w:val="002B5793"/>
    <w:rsid w:val="002B6CC6"/>
    <w:rsid w:val="003460DC"/>
    <w:rsid w:val="003831C0"/>
    <w:rsid w:val="003C1BC0"/>
    <w:rsid w:val="003E4BF1"/>
    <w:rsid w:val="00427BF2"/>
    <w:rsid w:val="00461368"/>
    <w:rsid w:val="004F4DC4"/>
    <w:rsid w:val="005951BE"/>
    <w:rsid w:val="005A705A"/>
    <w:rsid w:val="005D169E"/>
    <w:rsid w:val="0061130C"/>
    <w:rsid w:val="0064444C"/>
    <w:rsid w:val="00677BCD"/>
    <w:rsid w:val="006B63B0"/>
    <w:rsid w:val="006F4109"/>
    <w:rsid w:val="007365C1"/>
    <w:rsid w:val="00746494"/>
    <w:rsid w:val="007760AF"/>
    <w:rsid w:val="00780419"/>
    <w:rsid w:val="007A2792"/>
    <w:rsid w:val="007C5836"/>
    <w:rsid w:val="007D6E11"/>
    <w:rsid w:val="00823167"/>
    <w:rsid w:val="008439DA"/>
    <w:rsid w:val="008F14FA"/>
    <w:rsid w:val="008F26A3"/>
    <w:rsid w:val="0094161B"/>
    <w:rsid w:val="00954652"/>
    <w:rsid w:val="0096012B"/>
    <w:rsid w:val="009C452F"/>
    <w:rsid w:val="009D1014"/>
    <w:rsid w:val="00A12C4A"/>
    <w:rsid w:val="00A4099C"/>
    <w:rsid w:val="00A72CD1"/>
    <w:rsid w:val="00B16CD7"/>
    <w:rsid w:val="00B2440D"/>
    <w:rsid w:val="00B63B3D"/>
    <w:rsid w:val="00BC1C51"/>
    <w:rsid w:val="00BE12C0"/>
    <w:rsid w:val="00C16D65"/>
    <w:rsid w:val="00C7491C"/>
    <w:rsid w:val="00C80DB0"/>
    <w:rsid w:val="00C866E7"/>
    <w:rsid w:val="00CC6ACA"/>
    <w:rsid w:val="00D40B0D"/>
    <w:rsid w:val="00D53AD1"/>
    <w:rsid w:val="00D540D3"/>
    <w:rsid w:val="00D61E8F"/>
    <w:rsid w:val="00D644BF"/>
    <w:rsid w:val="00D74E06"/>
    <w:rsid w:val="00DF3B6A"/>
    <w:rsid w:val="00E2603E"/>
    <w:rsid w:val="00E71156"/>
    <w:rsid w:val="00E769CD"/>
    <w:rsid w:val="00EA700B"/>
    <w:rsid w:val="00F3202A"/>
    <w:rsid w:val="00F523A1"/>
    <w:rsid w:val="00F676AD"/>
    <w:rsid w:val="00F90C3B"/>
    <w:rsid w:val="00FF60E3"/>
    <w:rsid w:val="01F65F44"/>
    <w:rsid w:val="03600D18"/>
    <w:rsid w:val="03BC52B8"/>
    <w:rsid w:val="058C78B0"/>
    <w:rsid w:val="05E13064"/>
    <w:rsid w:val="06B0562B"/>
    <w:rsid w:val="078A573C"/>
    <w:rsid w:val="093A3733"/>
    <w:rsid w:val="09FE633A"/>
    <w:rsid w:val="0B4508AE"/>
    <w:rsid w:val="0C3D3CFE"/>
    <w:rsid w:val="0CF161C9"/>
    <w:rsid w:val="0D4C225E"/>
    <w:rsid w:val="0DAB6EFE"/>
    <w:rsid w:val="0E0B7FF0"/>
    <w:rsid w:val="0E9C400C"/>
    <w:rsid w:val="0F883C20"/>
    <w:rsid w:val="10900ACF"/>
    <w:rsid w:val="113A2C17"/>
    <w:rsid w:val="117A5014"/>
    <w:rsid w:val="127F05A0"/>
    <w:rsid w:val="136D78F8"/>
    <w:rsid w:val="13F5397F"/>
    <w:rsid w:val="145F4995"/>
    <w:rsid w:val="15CC4977"/>
    <w:rsid w:val="162A4F7D"/>
    <w:rsid w:val="16A82A66"/>
    <w:rsid w:val="17DE3F4F"/>
    <w:rsid w:val="191C5BCD"/>
    <w:rsid w:val="1994787E"/>
    <w:rsid w:val="1B7A3E78"/>
    <w:rsid w:val="1BC6374A"/>
    <w:rsid w:val="1BDD4B1E"/>
    <w:rsid w:val="1C812CD0"/>
    <w:rsid w:val="1D7F664E"/>
    <w:rsid w:val="1DD000AF"/>
    <w:rsid w:val="1DE163A0"/>
    <w:rsid w:val="1E09745A"/>
    <w:rsid w:val="1E262F0F"/>
    <w:rsid w:val="1EC35667"/>
    <w:rsid w:val="1F045088"/>
    <w:rsid w:val="1F516372"/>
    <w:rsid w:val="1F851E29"/>
    <w:rsid w:val="1FDA28E2"/>
    <w:rsid w:val="209E4793"/>
    <w:rsid w:val="2113757B"/>
    <w:rsid w:val="214D115B"/>
    <w:rsid w:val="21B8451F"/>
    <w:rsid w:val="23347AF2"/>
    <w:rsid w:val="23450889"/>
    <w:rsid w:val="23D4489F"/>
    <w:rsid w:val="2433744E"/>
    <w:rsid w:val="25F96005"/>
    <w:rsid w:val="262001B9"/>
    <w:rsid w:val="264866C6"/>
    <w:rsid w:val="2704666C"/>
    <w:rsid w:val="275729CE"/>
    <w:rsid w:val="27B87AF9"/>
    <w:rsid w:val="27E80EA9"/>
    <w:rsid w:val="280414A1"/>
    <w:rsid w:val="28570368"/>
    <w:rsid w:val="28A11192"/>
    <w:rsid w:val="29C5318E"/>
    <w:rsid w:val="29F20EA2"/>
    <w:rsid w:val="2A870AD2"/>
    <w:rsid w:val="2B1B38B1"/>
    <w:rsid w:val="2B502F98"/>
    <w:rsid w:val="2BE5357A"/>
    <w:rsid w:val="2C187F64"/>
    <w:rsid w:val="2C9A0A9E"/>
    <w:rsid w:val="2DA70D65"/>
    <w:rsid w:val="2DB17BB8"/>
    <w:rsid w:val="2FAD48AE"/>
    <w:rsid w:val="319F76FC"/>
    <w:rsid w:val="32F51B26"/>
    <w:rsid w:val="332B21BB"/>
    <w:rsid w:val="33442BA9"/>
    <w:rsid w:val="336523A4"/>
    <w:rsid w:val="33A67ED3"/>
    <w:rsid w:val="3427766B"/>
    <w:rsid w:val="343706EB"/>
    <w:rsid w:val="351A08D0"/>
    <w:rsid w:val="36334CE5"/>
    <w:rsid w:val="36994AF6"/>
    <w:rsid w:val="381C311D"/>
    <w:rsid w:val="38BA704D"/>
    <w:rsid w:val="3A551407"/>
    <w:rsid w:val="3B033C36"/>
    <w:rsid w:val="3E5D4E8E"/>
    <w:rsid w:val="3F5900B0"/>
    <w:rsid w:val="3FE25336"/>
    <w:rsid w:val="4037219F"/>
    <w:rsid w:val="40991AD2"/>
    <w:rsid w:val="42075FF8"/>
    <w:rsid w:val="42842020"/>
    <w:rsid w:val="43AB7267"/>
    <w:rsid w:val="44D37FBC"/>
    <w:rsid w:val="45FC0CDF"/>
    <w:rsid w:val="468567BB"/>
    <w:rsid w:val="47376F28"/>
    <w:rsid w:val="4782487D"/>
    <w:rsid w:val="4B31068E"/>
    <w:rsid w:val="4B8322F0"/>
    <w:rsid w:val="4BA55220"/>
    <w:rsid w:val="4BAD0151"/>
    <w:rsid w:val="4C1A2C2E"/>
    <w:rsid w:val="4C8F75A2"/>
    <w:rsid w:val="4CD60F91"/>
    <w:rsid w:val="4D430BF3"/>
    <w:rsid w:val="4DAD4403"/>
    <w:rsid w:val="4DD827C4"/>
    <w:rsid w:val="4E8C008E"/>
    <w:rsid w:val="4FAF314C"/>
    <w:rsid w:val="4FEF758C"/>
    <w:rsid w:val="50771A9C"/>
    <w:rsid w:val="50F62967"/>
    <w:rsid w:val="51C47F6D"/>
    <w:rsid w:val="53BB4ABD"/>
    <w:rsid w:val="5455382C"/>
    <w:rsid w:val="557E18C6"/>
    <w:rsid w:val="56576397"/>
    <w:rsid w:val="5AA67CDC"/>
    <w:rsid w:val="5AD058A1"/>
    <w:rsid w:val="5BF81170"/>
    <w:rsid w:val="5C4D77C9"/>
    <w:rsid w:val="5D0A3490"/>
    <w:rsid w:val="5D3024F2"/>
    <w:rsid w:val="5D525B83"/>
    <w:rsid w:val="5D7E0D39"/>
    <w:rsid w:val="5E9D3F29"/>
    <w:rsid w:val="60384CD1"/>
    <w:rsid w:val="60655808"/>
    <w:rsid w:val="608924E9"/>
    <w:rsid w:val="62744735"/>
    <w:rsid w:val="62FE57A7"/>
    <w:rsid w:val="635527B8"/>
    <w:rsid w:val="63A9427A"/>
    <w:rsid w:val="63CE60C7"/>
    <w:rsid w:val="63D462B1"/>
    <w:rsid w:val="641A3596"/>
    <w:rsid w:val="64430D2E"/>
    <w:rsid w:val="64C00437"/>
    <w:rsid w:val="64D96647"/>
    <w:rsid w:val="655B51E5"/>
    <w:rsid w:val="65E40ADA"/>
    <w:rsid w:val="66330B86"/>
    <w:rsid w:val="666920D7"/>
    <w:rsid w:val="66E22203"/>
    <w:rsid w:val="677E4585"/>
    <w:rsid w:val="683D389A"/>
    <w:rsid w:val="68B812C9"/>
    <w:rsid w:val="69D50CF4"/>
    <w:rsid w:val="6A3E237C"/>
    <w:rsid w:val="6B6641B5"/>
    <w:rsid w:val="6C200573"/>
    <w:rsid w:val="6C487AFD"/>
    <w:rsid w:val="6C5D7DBD"/>
    <w:rsid w:val="6CB24363"/>
    <w:rsid w:val="6EA93466"/>
    <w:rsid w:val="6FCF0795"/>
    <w:rsid w:val="708C09FF"/>
    <w:rsid w:val="708E4412"/>
    <w:rsid w:val="71381023"/>
    <w:rsid w:val="72CA4821"/>
    <w:rsid w:val="73714961"/>
    <w:rsid w:val="73AC6771"/>
    <w:rsid w:val="754D1D92"/>
    <w:rsid w:val="758350A9"/>
    <w:rsid w:val="781E4FAB"/>
    <w:rsid w:val="78280CC9"/>
    <w:rsid w:val="78587731"/>
    <w:rsid w:val="78B72619"/>
    <w:rsid w:val="799927B5"/>
    <w:rsid w:val="7B560FD7"/>
    <w:rsid w:val="7B5F74F8"/>
    <w:rsid w:val="7B690630"/>
    <w:rsid w:val="7B9D6219"/>
    <w:rsid w:val="7BC31812"/>
    <w:rsid w:val="7C5123F4"/>
    <w:rsid w:val="7D040AB6"/>
    <w:rsid w:val="7D4119E6"/>
    <w:rsid w:val="7D771C5B"/>
    <w:rsid w:val="7DAF162B"/>
    <w:rsid w:val="7DC42B41"/>
    <w:rsid w:val="7FF024E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41</Pages>
  <Words>1148</Words>
  <Characters>1241</Characters>
  <Lines>67</Lines>
  <Paragraphs>19</Paragraphs>
  <TotalTime>3</TotalTime>
  <ScaleCrop>false</ScaleCrop>
  <LinksUpToDate>false</LinksUpToDate>
  <CharactersWithSpaces>1320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z</cp:lastModifiedBy>
  <dcterms:modified xsi:type="dcterms:W3CDTF">2025-12-30T07:38:55Z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43C8C1C4A2AF41928419FA05E54902CC_13</vt:lpwstr>
  </property>
  <property fmtid="{D5CDD505-2E9C-101B-9397-08002B2CF9AE}" pid="4" name="KSOTemplateDocerSaveRecord">
    <vt:lpwstr>eyJoZGlkIjoiMTg3OTBlMTJhZTliYjA3NDQ0MDEzN2E5YmUzNWUyYzYiLCJ1c2VySWQiOiIxNTg5NTYyNzcyIn0=</vt:lpwstr>
  </property>
</Properties>
</file>