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76687">
      <w:pPr>
        <w:pStyle w:val="3"/>
        <w:jc w:val="center"/>
      </w:pPr>
      <w:r>
        <w:t>医疗</w:t>
      </w:r>
      <w:r>
        <w:rPr>
          <w:rFonts w:hint="eastAsia"/>
          <w:lang w:val="en-US" w:eastAsia="zh-CN"/>
        </w:rPr>
        <w:t>业务用车</w:t>
      </w:r>
      <w:r>
        <w:t>长途包车服务采购需求文件</w:t>
      </w:r>
    </w:p>
    <w:p w14:paraId="3F9BC5FE">
      <w:bookmarkStart w:id="0" w:name="_GoBack"/>
      <w:bookmarkEnd w:id="0"/>
      <w:r>
        <w:rPr>
          <w:rFonts w:ascii="Times New Roman" w:hAnsi="Times New Roman" w:eastAsia="思源黑体" w:cs="Times New Roman"/>
        </w:rPr>
        <w:t>一、项目概述</w:t>
      </w:r>
    </w:p>
    <w:p w14:paraId="71D3E71D">
      <w:r>
        <w:rPr>
          <w:rFonts w:ascii="Times New Roman" w:hAnsi="Times New Roman" w:eastAsia="思源黑体" w:cs="Times New Roman"/>
        </w:rPr>
        <w:t>为保障采购人赴甘孜州、阿坝州、凉山州（以下简称“三州”）及省内其他偏远、高海拔地区开展医疗下乡、医疗扶贫、巡回义诊、健康科普、设备随车运输等工作，现采购长途包车服务。</w:t>
      </w:r>
    </w:p>
    <w:p w14:paraId="7E2F5C4D">
      <w:r>
        <w:rPr>
          <w:rFonts w:ascii="Times New Roman" w:hAnsi="Times New Roman" w:eastAsia="思源黑体" w:cs="Times New Roman"/>
        </w:rPr>
        <w:t>本项目采用“按公里全包干单价”结算模式：车型包干单价已包含燃油/电费、过路费、停车费、保险费、车辆折旧维保、驾驶员劳务及全部管理费；仅餐补、住宿补助据实结算。</w:t>
      </w:r>
    </w:p>
    <w:p w14:paraId="23DFA18D">
      <w:pPr>
        <w:pStyle w:val="3"/>
      </w:pPr>
      <w:r>
        <w:rPr>
          <w:rFonts w:ascii="Times New Roman" w:hAnsi="Times New Roman" w:eastAsia="思源黑体" w:cs="Times New Roman"/>
        </w:rPr>
        <w:t>二、资格条件</w:t>
      </w:r>
    </w:p>
    <w:p w14:paraId="51F0A78D">
      <w:pPr>
        <w:pStyle w:val="14"/>
      </w:pPr>
      <w:r>
        <w:rPr>
          <w:rFonts w:ascii="Times New Roman" w:hAnsi="Times New Roman" w:eastAsia="思源黑体" w:cs="Times New Roman"/>
        </w:rPr>
        <w:t>2. 具备交通运输主管部门颁发的有效《道路运输经营许可证》，经营范围含包车客运或汽车租赁；事业单位自有车队可提供法人证书及业务范围证明替代。</w:t>
      </w:r>
    </w:p>
    <w:p w14:paraId="6425129D">
      <w:pPr>
        <w:pStyle w:val="14"/>
      </w:pPr>
      <w:r>
        <w:rPr>
          <w:rFonts w:ascii="Times New Roman" w:hAnsi="Times New Roman" w:eastAsia="思源黑体" w:cs="Times New Roman"/>
        </w:rPr>
        <w:t>近三年内在经营活动中无重大违法记录，未被列入失信被执行人、重大税收违法案件当事人名单、政府采购严重违法失信行为记录名单。</w:t>
      </w:r>
    </w:p>
    <w:p w14:paraId="5E161DCC">
      <w:pPr>
        <w:pStyle w:val="14"/>
      </w:pPr>
      <w:r>
        <w:rPr>
          <w:rFonts w:ascii="Times New Roman" w:hAnsi="Times New Roman" w:eastAsia="思源黑体" w:cs="Times New Roman"/>
        </w:rPr>
        <w:t>本项目不接受联合体投标，中标后不得转包、分包。</w:t>
      </w:r>
    </w:p>
    <w:p w14:paraId="08FF3DE4">
      <w:pPr>
        <w:pStyle w:val="3"/>
      </w:pPr>
      <w:r>
        <w:rPr>
          <w:rFonts w:ascii="Times New Roman" w:hAnsi="Times New Roman" w:eastAsia="思源黑体" w:cs="Times New Roman"/>
        </w:rPr>
        <w:t>三、商务条件</w:t>
      </w:r>
    </w:p>
    <w:p w14:paraId="73F006D8">
      <w:pPr>
        <w:pStyle w:val="14"/>
        <w:numPr>
          <w:ilvl w:val="0"/>
          <w:numId w:val="7"/>
        </w:numPr>
      </w:pPr>
      <w:r>
        <w:rPr>
          <w:rFonts w:ascii="Times New Roman" w:hAnsi="Times New Roman" w:eastAsia="思源黑体" w:cs="Times New Roman"/>
        </w:rPr>
        <w:t>服务期3年，合同一年一签，年度考核合格后续签。</w:t>
      </w:r>
    </w:p>
    <w:p w14:paraId="3E13715C">
      <w:pPr>
        <w:pStyle w:val="14"/>
        <w:numPr>
          <w:ilvl w:val="0"/>
          <w:numId w:val="7"/>
        </w:numPr>
      </w:pPr>
      <w:r>
        <w:rPr>
          <w:rFonts w:ascii="Times New Roman" w:hAnsi="Times New Roman" w:eastAsia="思源黑体" w:cs="Times New Roman"/>
        </w:rPr>
        <w:t>适用范围：仅适用于单边行驶距离超过150公里的长途包车任务。</w:t>
      </w:r>
    </w:p>
    <w:p w14:paraId="1347D465">
      <w:pPr>
        <w:pStyle w:val="14"/>
        <w:numPr>
          <w:ilvl w:val="0"/>
          <w:numId w:val="7"/>
        </w:numPr>
      </w:pPr>
      <w:r>
        <w:rPr>
          <w:rFonts w:ascii="Times New Roman" w:hAnsi="Times New Roman" w:eastAsia="思源黑体" w:cs="Times New Roman"/>
        </w:rPr>
        <w:t>结算方式：采用“每公里全包干单价”结算，详见第五章。</w:t>
      </w:r>
    </w:p>
    <w:p w14:paraId="23AD7741">
      <w:pPr>
        <w:pStyle w:val="14"/>
        <w:numPr>
          <w:ilvl w:val="0"/>
          <w:numId w:val="7"/>
        </w:numPr>
      </w:pPr>
      <w:r>
        <w:rPr>
          <w:rFonts w:ascii="Times New Roman" w:hAnsi="Times New Roman" w:eastAsia="思源黑体" w:cs="Times New Roman"/>
        </w:rPr>
        <w:t>付款方式：按月</w:t>
      </w:r>
      <w:r>
        <w:rPr>
          <w:rFonts w:hint="eastAsia" w:cs="Times New Roman"/>
          <w:lang w:val="en-US" w:eastAsia="zh-CN"/>
        </w:rPr>
        <w:t>据实</w:t>
      </w:r>
      <w:r>
        <w:rPr>
          <w:rFonts w:ascii="Times New Roman" w:hAnsi="Times New Roman" w:eastAsia="思源黑体" w:cs="Times New Roman"/>
        </w:rPr>
        <w:t>结算，凭派车单、里程确认单、餐补住宿补助清单及发票支付。</w:t>
      </w:r>
    </w:p>
    <w:p w14:paraId="1A83FA46">
      <w:pPr>
        <w:pStyle w:val="14"/>
        <w:numPr>
          <w:ilvl w:val="0"/>
          <w:numId w:val="7"/>
        </w:numPr>
      </w:pPr>
      <w:r>
        <w:rPr>
          <w:rFonts w:ascii="Times New Roman" w:hAnsi="Times New Roman" w:eastAsia="思源黑体" w:cs="Times New Roman"/>
        </w:rPr>
        <w:t>履约保证金：中标金额的5%～10%，合同期满无违约无息退还。</w:t>
      </w:r>
    </w:p>
    <w:p w14:paraId="2AA3F359">
      <w:pPr>
        <w:pStyle w:val="14"/>
        <w:numPr>
          <w:ilvl w:val="0"/>
          <w:numId w:val="7"/>
        </w:numPr>
      </w:pPr>
      <w:r>
        <w:rPr>
          <w:rFonts w:ascii="Times New Roman" w:hAnsi="Times New Roman" w:eastAsia="思源黑体" w:cs="Times New Roman"/>
        </w:rPr>
        <w:t>违约责任：迟到、车况不符、驾驶员服务投诉、未按要求配备双驾或安全设施等，按次扣除服务费；累计三次可解除合同；三州线路安全实行一票否决。</w:t>
      </w:r>
    </w:p>
    <w:p w14:paraId="72E864E3">
      <w:pPr>
        <w:pStyle w:val="3"/>
      </w:pPr>
      <w:r>
        <w:rPr>
          <w:rFonts w:ascii="Times New Roman" w:hAnsi="Times New Roman" w:eastAsia="思源黑体" w:cs="Times New Roman"/>
        </w:rPr>
        <w:t>四、技术需求</w:t>
      </w:r>
    </w:p>
    <w:p w14:paraId="52DACB6A">
      <w:pPr>
        <w:pStyle w:val="4"/>
      </w:pPr>
      <w:r>
        <w:rPr>
          <w:rFonts w:ascii="Times New Roman" w:hAnsi="Times New Roman" w:eastAsia="思源黑体" w:cs="Times New Roman"/>
        </w:rPr>
        <w:t>（一）车辆车型要求</w:t>
      </w:r>
    </w:p>
    <w:p w14:paraId="33F87D89">
      <w:r>
        <w:rPr>
          <w:rFonts w:ascii="Times New Roman" w:hAnsi="Times New Roman" w:eastAsia="思源黑体" w:cs="Times New Roman"/>
        </w:rPr>
        <w:t>投标人须按以下六个车型类别分别报价并提供车辆资源，每个类别至少提供2辆符合要求的自有或长期可控车辆。</w:t>
      </w:r>
    </w:p>
    <w:tbl>
      <w:tblPr>
        <w:tblStyle w:val="32"/>
        <w:tblW w:w="9360" w:type="dxa"/>
        <w:tblInd w:w="0" w:type="dxa"/>
        <w:tblBorders>
          <w:top w:val="single" w:color="CCCCCC" w:sz="4" w:space="0"/>
          <w:left w:val="single" w:color="CCCCCC" w:sz="4" w:space="0"/>
          <w:bottom w:val="single" w:color="CCCCCC" w:sz="4" w:space="0"/>
          <w:right w:val="single" w:color="CCCCCC" w:sz="4" w:space="0"/>
          <w:insideH w:val="single" w:color="CCCCCC" w:sz="4" w:space="0"/>
          <w:insideV w:val="single" w:color="CCCCCC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0"/>
        <w:gridCol w:w="1400"/>
        <w:gridCol w:w="2400"/>
        <w:gridCol w:w="4160"/>
      </w:tblGrid>
      <w:tr w14:paraId="742DC300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  <w:shd w:val="clear" w:color="auto" w:fill="D5E8F0"/>
          </w:tcPr>
          <w:p w14:paraId="0CBBD971">
            <w:r>
              <w:rPr>
                <w:rFonts w:ascii="Times New Roman" w:hAnsi="Times New Roman" w:eastAsia="思源黑体" w:cs="Times New Roman"/>
                <w:b/>
                <w:bCs/>
              </w:rPr>
              <w:t>车型类别</w:t>
            </w:r>
          </w:p>
        </w:tc>
        <w:tc>
          <w:tcPr>
            <w:tcW w:w="1400" w:type="dxa"/>
            <w:shd w:val="clear" w:color="auto" w:fill="D5E8F0"/>
          </w:tcPr>
          <w:p w14:paraId="60EBF437">
            <w:r>
              <w:rPr>
                <w:rFonts w:ascii="Times New Roman" w:hAnsi="Times New Roman" w:eastAsia="思源黑体" w:cs="Times New Roman"/>
                <w:b/>
                <w:bCs/>
              </w:rPr>
              <w:t>座位数</w:t>
            </w:r>
          </w:p>
        </w:tc>
        <w:tc>
          <w:tcPr>
            <w:tcW w:w="2400" w:type="dxa"/>
            <w:shd w:val="clear" w:color="auto" w:fill="D5E8F0"/>
          </w:tcPr>
          <w:p w14:paraId="04B01243">
            <w:r>
              <w:rPr>
                <w:rFonts w:ascii="Times New Roman" w:hAnsi="Times New Roman" w:eastAsia="思源黑体" w:cs="Times New Roman"/>
                <w:b/>
                <w:bCs/>
              </w:rPr>
              <w:t>推荐用途</w:t>
            </w:r>
          </w:p>
        </w:tc>
        <w:tc>
          <w:tcPr>
            <w:tcW w:w="4160" w:type="dxa"/>
            <w:shd w:val="clear" w:color="auto" w:fill="D5E8F0"/>
          </w:tcPr>
          <w:p w14:paraId="76340C43">
            <w:r>
              <w:rPr>
                <w:rFonts w:ascii="Times New Roman" w:hAnsi="Times New Roman" w:eastAsia="思源黑体" w:cs="Times New Roman"/>
                <w:b/>
                <w:bCs/>
              </w:rPr>
              <w:t>核心配置要求</w:t>
            </w:r>
          </w:p>
        </w:tc>
      </w:tr>
      <w:tr w14:paraId="00AEF6EB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</w:tcPr>
          <w:p w14:paraId="6EC0BEFE">
            <w:r>
              <w:rPr>
                <w:rFonts w:ascii="Times New Roman" w:hAnsi="Times New Roman" w:eastAsia="思源黑体" w:cs="Times New Roman"/>
              </w:rPr>
              <w:t>小汽车</w:t>
            </w:r>
          </w:p>
        </w:tc>
        <w:tc>
          <w:tcPr>
            <w:tcW w:w="1400" w:type="dxa"/>
          </w:tcPr>
          <w:p w14:paraId="1F8D94E9">
            <w:r>
              <w:rPr>
                <w:rFonts w:ascii="Times New Roman" w:hAnsi="Times New Roman" w:eastAsia="思源黑体" w:cs="Times New Roman"/>
              </w:rPr>
              <w:t>5座轿车/两驱SUV</w:t>
            </w:r>
          </w:p>
        </w:tc>
        <w:tc>
          <w:tcPr>
            <w:tcW w:w="2400" w:type="dxa"/>
          </w:tcPr>
          <w:p w14:paraId="0B4E4870">
            <w:r>
              <w:rPr>
                <w:rFonts w:ascii="Times New Roman" w:hAnsi="Times New Roman" w:eastAsia="思源黑体" w:cs="Times New Roman"/>
              </w:rPr>
              <w:t>专家单人/双人快速出行、平原/高速路段</w:t>
            </w:r>
          </w:p>
        </w:tc>
        <w:tc>
          <w:tcPr>
            <w:tcW w:w="4160" w:type="dxa"/>
          </w:tcPr>
          <w:p w14:paraId="1C1C19AE">
            <w:r>
              <w:rPr>
                <w:rFonts w:ascii="Times New Roman" w:hAnsi="Times New Roman" w:eastAsia="思源黑体" w:cs="Times New Roman"/>
              </w:rPr>
              <w:t>车龄≤6年，排量≥1.8L或新能源续航≥400km，空调正常，备胎齐全</w:t>
            </w:r>
          </w:p>
        </w:tc>
      </w:tr>
      <w:tr w14:paraId="19FECBA7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</w:tcPr>
          <w:p w14:paraId="623996D7">
            <w:r>
              <w:rPr>
                <w:rFonts w:ascii="Times New Roman" w:hAnsi="Times New Roman" w:eastAsia="思源黑体" w:cs="Times New Roman"/>
              </w:rPr>
              <w:t>四驱越野SUV</w:t>
            </w:r>
          </w:p>
        </w:tc>
        <w:tc>
          <w:tcPr>
            <w:tcW w:w="1400" w:type="dxa"/>
          </w:tcPr>
          <w:p w14:paraId="0F6A5D3F">
            <w:r>
              <w:rPr>
                <w:rFonts w:ascii="Times New Roman" w:hAnsi="Times New Roman" w:eastAsia="思源黑体" w:cs="Times New Roman"/>
              </w:rPr>
              <w:t>5座四驱</w:t>
            </w:r>
          </w:p>
        </w:tc>
        <w:tc>
          <w:tcPr>
            <w:tcW w:w="2400" w:type="dxa"/>
          </w:tcPr>
          <w:p w14:paraId="25E7BFD5">
            <w:r>
              <w:rPr>
                <w:rFonts w:ascii="Times New Roman" w:hAnsi="Times New Roman" w:eastAsia="思源黑体" w:cs="Times New Roman"/>
              </w:rPr>
              <w:t>三州乡道、村道、非铺装路、高海拔巡诊</w:t>
            </w:r>
          </w:p>
        </w:tc>
        <w:tc>
          <w:tcPr>
            <w:tcW w:w="4160" w:type="dxa"/>
          </w:tcPr>
          <w:p w14:paraId="66AA725A">
            <w:r>
              <w:rPr>
                <w:rFonts w:ascii="Times New Roman" w:hAnsi="Times New Roman" w:eastAsia="思源黑体" w:cs="Times New Roman"/>
              </w:rPr>
              <w:t>车龄≤5年，排量≥2.0T或同等动力，分时/全时四驱，离地间隙≥200mm，全尺寸备胎</w:t>
            </w:r>
          </w:p>
        </w:tc>
      </w:tr>
      <w:tr w14:paraId="2A69B7AB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</w:tcPr>
          <w:p w14:paraId="4B167CEF">
            <w:r>
              <w:rPr>
                <w:rFonts w:ascii="Times New Roman" w:hAnsi="Times New Roman" w:eastAsia="思源黑体" w:cs="Times New Roman"/>
              </w:rPr>
              <w:t>7座商务车</w:t>
            </w:r>
          </w:p>
        </w:tc>
        <w:tc>
          <w:tcPr>
            <w:tcW w:w="1400" w:type="dxa"/>
          </w:tcPr>
          <w:p w14:paraId="79319825">
            <w:r>
              <w:rPr>
                <w:rFonts w:ascii="Times New Roman" w:hAnsi="Times New Roman" w:eastAsia="思源黑体" w:cs="Times New Roman"/>
              </w:rPr>
              <w:t>7～9座</w:t>
            </w:r>
          </w:p>
        </w:tc>
        <w:tc>
          <w:tcPr>
            <w:tcW w:w="2400" w:type="dxa"/>
          </w:tcPr>
          <w:p w14:paraId="41B46888">
            <w:r>
              <w:rPr>
                <w:rFonts w:ascii="Times New Roman" w:hAnsi="Times New Roman" w:eastAsia="思源黑体" w:cs="Times New Roman"/>
              </w:rPr>
              <w:t>医疗小队+少量设备、县城间转运</w:t>
            </w:r>
          </w:p>
        </w:tc>
        <w:tc>
          <w:tcPr>
            <w:tcW w:w="4160" w:type="dxa"/>
          </w:tcPr>
          <w:p w14:paraId="58E31FA7">
            <w:r>
              <w:rPr>
                <w:rFonts w:ascii="Times New Roman" w:hAnsi="Times New Roman" w:eastAsia="思源黑体" w:cs="Times New Roman"/>
              </w:rPr>
              <w:t>车龄≤5年，座椅可折叠/拆卸便于放置设备，后备箱容积≥500L</w:t>
            </w:r>
          </w:p>
        </w:tc>
      </w:tr>
      <w:tr w14:paraId="00246D4B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</w:tcPr>
          <w:p w14:paraId="52574613">
            <w:r>
              <w:rPr>
                <w:rFonts w:ascii="Times New Roman" w:hAnsi="Times New Roman" w:eastAsia="思源黑体" w:cs="Times New Roman"/>
              </w:rPr>
              <w:t>小型客车</w:t>
            </w:r>
          </w:p>
        </w:tc>
        <w:tc>
          <w:tcPr>
            <w:tcW w:w="1400" w:type="dxa"/>
          </w:tcPr>
          <w:p w14:paraId="4E459241">
            <w:r>
              <w:rPr>
                <w:rFonts w:ascii="Times New Roman" w:hAnsi="Times New Roman" w:eastAsia="思源黑体" w:cs="Times New Roman"/>
              </w:rPr>
              <w:t>10～19座</w:t>
            </w:r>
          </w:p>
        </w:tc>
        <w:tc>
          <w:tcPr>
            <w:tcW w:w="2400" w:type="dxa"/>
          </w:tcPr>
          <w:p w14:paraId="48DEAD2E">
            <w:r>
              <w:rPr>
                <w:rFonts w:ascii="Times New Roman" w:hAnsi="Times New Roman" w:eastAsia="思源黑体" w:cs="Times New Roman"/>
              </w:rPr>
              <w:t>乡镇集中巡诊、多点摆渡</w:t>
            </w:r>
          </w:p>
        </w:tc>
        <w:tc>
          <w:tcPr>
            <w:tcW w:w="4160" w:type="dxa"/>
          </w:tcPr>
          <w:p w14:paraId="6557ED54">
            <w:r>
              <w:rPr>
                <w:rFonts w:ascii="Times New Roman" w:hAnsi="Times New Roman" w:eastAsia="思源黑体" w:cs="Times New Roman"/>
              </w:rPr>
              <w:t>车龄≤6年</w:t>
            </w:r>
          </w:p>
        </w:tc>
      </w:tr>
      <w:tr w14:paraId="709886C7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</w:tcPr>
          <w:p w14:paraId="2BACAADD">
            <w:r>
              <w:rPr>
                <w:rFonts w:ascii="Times New Roman" w:hAnsi="Times New Roman" w:eastAsia="思源黑体" w:cs="Times New Roman"/>
              </w:rPr>
              <w:t>中型客车</w:t>
            </w:r>
          </w:p>
        </w:tc>
        <w:tc>
          <w:tcPr>
            <w:tcW w:w="1400" w:type="dxa"/>
          </w:tcPr>
          <w:p w14:paraId="4A6431EB">
            <w:r>
              <w:rPr>
                <w:rFonts w:ascii="Times New Roman" w:hAnsi="Times New Roman" w:eastAsia="思源黑体" w:cs="Times New Roman"/>
              </w:rPr>
              <w:t>20～39座</w:t>
            </w:r>
          </w:p>
        </w:tc>
        <w:tc>
          <w:tcPr>
            <w:tcW w:w="2400" w:type="dxa"/>
          </w:tcPr>
          <w:p w14:paraId="220AB253">
            <w:r>
              <w:rPr>
                <w:rFonts w:ascii="Times New Roman" w:hAnsi="Times New Roman" w:eastAsia="思源黑体" w:cs="Times New Roman"/>
              </w:rPr>
              <w:t>县城大型义诊、健康科普团队运输</w:t>
            </w:r>
          </w:p>
        </w:tc>
        <w:tc>
          <w:tcPr>
            <w:tcW w:w="4160" w:type="dxa"/>
          </w:tcPr>
          <w:p w14:paraId="1B680C35">
            <w:r>
              <w:rPr>
                <w:rFonts w:ascii="Times New Roman" w:hAnsi="Times New Roman" w:eastAsia="思源黑体" w:cs="Times New Roman"/>
              </w:rPr>
              <w:t>车龄≤6年，行李舱或车内货架，座椅间距≥70cm</w:t>
            </w:r>
          </w:p>
        </w:tc>
      </w:tr>
      <w:tr w14:paraId="410424A9">
        <w:tblPrEx>
          <w:tblBorders>
            <w:top w:val="single" w:color="CCCCCC" w:sz="4" w:space="0"/>
            <w:left w:val="single" w:color="CCCCCC" w:sz="4" w:space="0"/>
            <w:bottom w:val="single" w:color="CCCCCC" w:sz="4" w:space="0"/>
            <w:right w:val="single" w:color="CCCCCC" w:sz="4" w:space="0"/>
            <w:insideH w:val="single" w:color="CCCCCC" w:sz="4" w:space="0"/>
            <w:insideV w:val="single" w:color="CCCCCC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0" w:type="dxa"/>
          </w:tcPr>
          <w:p w14:paraId="3D4DABCA">
            <w:r>
              <w:rPr>
                <w:rFonts w:ascii="Times New Roman" w:hAnsi="Times New Roman" w:eastAsia="思源黑体" w:cs="Times New Roman"/>
              </w:rPr>
              <w:t>大型客车</w:t>
            </w:r>
          </w:p>
        </w:tc>
        <w:tc>
          <w:tcPr>
            <w:tcW w:w="1400" w:type="dxa"/>
          </w:tcPr>
          <w:p w14:paraId="44D33E90">
            <w:r>
              <w:rPr>
                <w:rFonts w:ascii="Times New Roman" w:hAnsi="Times New Roman" w:eastAsia="思源黑体" w:cs="Times New Roman"/>
              </w:rPr>
              <w:t>40座及以上</w:t>
            </w:r>
          </w:p>
        </w:tc>
        <w:tc>
          <w:tcPr>
            <w:tcW w:w="2400" w:type="dxa"/>
          </w:tcPr>
          <w:p w14:paraId="59FCECA9">
            <w:r>
              <w:rPr>
                <w:rFonts w:ascii="Times New Roman" w:hAnsi="Times New Roman" w:eastAsia="思源黑体" w:cs="Times New Roman"/>
              </w:rPr>
              <w:t>成都至州府/县城高等级公路、大规模团队出动</w:t>
            </w:r>
          </w:p>
        </w:tc>
        <w:tc>
          <w:tcPr>
            <w:tcW w:w="4160" w:type="dxa"/>
          </w:tcPr>
          <w:p w14:paraId="0B4CF361">
            <w:r>
              <w:rPr>
                <w:rFonts w:ascii="Times New Roman" w:hAnsi="Times New Roman" w:eastAsia="思源黑体" w:cs="Times New Roman"/>
              </w:rPr>
              <w:t>车龄≤6年，独立行李舱，可选卫生间、影音播放系统（用于途中培训/宣教）</w:t>
            </w:r>
          </w:p>
        </w:tc>
      </w:tr>
    </w:tbl>
    <w:p w14:paraId="72261014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1. 车辆通用要求（所有车型均须满足）</w:t>
      </w:r>
    </w:p>
    <w:p w14:paraId="0A0D8251">
      <w:pPr>
        <w:pStyle w:val="16"/>
      </w:pPr>
      <w:r>
        <w:rPr>
          <w:rFonts w:ascii="Times New Roman" w:hAnsi="Times New Roman" w:eastAsia="思源黑体" w:cs="Times New Roman"/>
        </w:rPr>
        <w:t>车辆注册登记地为四川省内，年检合格，营运等级评定为一级或二级。</w:t>
      </w:r>
    </w:p>
    <w:p w14:paraId="143D5DDE">
      <w:pPr>
        <w:pStyle w:val="16"/>
      </w:pPr>
      <w:r>
        <w:rPr>
          <w:rFonts w:ascii="Times New Roman" w:hAnsi="Times New Roman" w:eastAsia="思源黑体" w:cs="Times New Roman"/>
        </w:rPr>
        <w:t>保险：交强险、第三者责任险≥300万元、承运人责任险/座位险≥80万元/座。</w:t>
      </w:r>
    </w:p>
    <w:p w14:paraId="45D1E642">
      <w:pPr>
        <w:pStyle w:val="16"/>
      </w:pPr>
      <w:r>
        <w:rPr>
          <w:rFonts w:ascii="Times New Roman" w:hAnsi="Times New Roman" w:eastAsia="思源黑体" w:cs="Times New Roman"/>
        </w:rPr>
        <w:t>安全装备：车载灭火器（2kg以上）、安全锤、三角警示牌、反光背心、急救包（含常用外伤药品）。</w:t>
      </w:r>
    </w:p>
    <w:p w14:paraId="0CF23895">
      <w:pPr>
        <w:pStyle w:val="16"/>
      </w:pPr>
      <w:r>
        <w:rPr>
          <w:rFonts w:ascii="Times New Roman" w:hAnsi="Times New Roman" w:eastAsia="思源黑体" w:cs="Times New Roman"/>
        </w:rPr>
        <w:t>定位监控：安装符合交通运输部标准的GPS/北斗卫星定位装置，数据保存不少于6个月，采购人有权实时查看轨迹。</w:t>
      </w:r>
    </w:p>
    <w:p w14:paraId="299599A9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2. 三州/高原专项车辆要求</w:t>
      </w:r>
    </w:p>
    <w:p w14:paraId="5F394469">
      <w:pPr>
        <w:pStyle w:val="16"/>
      </w:pPr>
      <w:r>
        <w:rPr>
          <w:rFonts w:ascii="Times New Roman" w:hAnsi="Times New Roman" w:eastAsia="思源黑体" w:cs="Times New Roman"/>
        </w:rPr>
        <w:t>高原适应性：进入海拔3000米以上区域车辆须完成高原适应性保养（高沸点冷却液、高原专用机油、涡轮增压器检查、预热系统正常）。</w:t>
      </w:r>
    </w:p>
    <w:p w14:paraId="27A22EF8">
      <w:pPr>
        <w:pStyle w:val="16"/>
      </w:pPr>
      <w:r>
        <w:rPr>
          <w:rFonts w:ascii="Times New Roman" w:hAnsi="Times New Roman" w:eastAsia="思源黑体" w:cs="Times New Roman"/>
        </w:rPr>
        <w:t>冬季/冰雪保障：每年11月至次年3月，三州线路车辆须配备防滑链（每车至少2条）或雪地胎，随车携带防冻液、-20号柴油（柴油车）。</w:t>
      </w:r>
    </w:p>
    <w:p w14:paraId="5ABD575C">
      <w:pPr>
        <w:pStyle w:val="16"/>
      </w:pPr>
      <w:r>
        <w:rPr>
          <w:rFonts w:ascii="Times New Roman" w:hAnsi="Times New Roman" w:eastAsia="思源黑体" w:cs="Times New Roman"/>
        </w:rPr>
        <w:t>氧气与救援：高海拔线路车辆须配备车载氧气瓶（≥10L）或便携式氧气袋（≥4个），以及高原反应应急药品。</w:t>
      </w:r>
    </w:p>
    <w:p w14:paraId="677DA550">
      <w:pPr>
        <w:pStyle w:val="16"/>
      </w:pPr>
      <w:r>
        <w:rPr>
          <w:rFonts w:ascii="Times New Roman" w:hAnsi="Times New Roman" w:eastAsia="思源黑体" w:cs="Times New Roman"/>
        </w:rPr>
        <w:t>通讯保障：进入无移动信号区域，车辆须配备卫星电话或铱星手持终端，确保紧急联络。3. 车辆外观与卫生标准</w:t>
      </w:r>
    </w:p>
    <w:p w14:paraId="5A39E7F4">
      <w:pPr>
        <w:pStyle w:val="16"/>
      </w:pPr>
      <w:r>
        <w:rPr>
          <w:rFonts w:ascii="Times New Roman" w:hAnsi="Times New Roman" w:eastAsia="思源黑体" w:cs="Times New Roman"/>
        </w:rPr>
        <w:t>车身外观整洁，无明显划痕、凹陷、锈蚀；车内座椅无破损、无异味，地板清洁。</w:t>
      </w:r>
    </w:p>
    <w:p w14:paraId="7E41A9F6">
      <w:pPr>
        <w:pStyle w:val="16"/>
      </w:pPr>
      <w:r>
        <w:rPr>
          <w:rFonts w:ascii="Times New Roman" w:hAnsi="Times New Roman" w:eastAsia="思源黑体" w:cs="Times New Roman"/>
        </w:rPr>
        <w:t>空调/暖风系统正常，三州线路须保证暖风在-20℃环境下正常运行；车窗玻璃完好，不得张贴影响视线的深色膜。</w:t>
      </w:r>
    </w:p>
    <w:p w14:paraId="3FFD806D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4. 车辆替换与备用机制</w:t>
      </w:r>
    </w:p>
    <w:p w14:paraId="72F11AA7">
      <w:pPr>
        <w:pStyle w:val="16"/>
      </w:pPr>
      <w:r>
        <w:rPr>
          <w:rFonts w:ascii="Times New Roman" w:hAnsi="Times New Roman" w:eastAsia="思源黑体" w:cs="Times New Roman"/>
        </w:rPr>
        <w:t>投标人须在成都及三州主要节点（康定、马尔康、西昌）设有驻点或合作网点，确保车辆故障时4小时内提供替换车辆。</w:t>
      </w:r>
    </w:p>
    <w:p w14:paraId="0E3E0F15">
      <w:pPr>
        <w:pStyle w:val="16"/>
      </w:pPr>
      <w:r>
        <w:rPr>
          <w:rFonts w:ascii="Times New Roman" w:hAnsi="Times New Roman" w:eastAsia="思源黑体" w:cs="Times New Roman"/>
        </w:rPr>
        <w:t>同一批次任务若调用车辆≥3台，投标人须额外预备1台同类型备用车，停放在任务起点或途经县城。</w:t>
      </w:r>
    </w:p>
    <w:p w14:paraId="13342FF0">
      <w:pPr>
        <w:pStyle w:val="4"/>
      </w:pPr>
      <w:r>
        <w:rPr>
          <w:rFonts w:ascii="Times New Roman" w:hAnsi="Times New Roman" w:eastAsia="思源黑体" w:cs="Times New Roman"/>
        </w:rPr>
        <w:t>（二）驾驶服务要求</w:t>
      </w:r>
    </w:p>
    <w:p w14:paraId="68DABA91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1. 驾驶员基本资格</w:t>
      </w:r>
    </w:p>
    <w:p w14:paraId="4352332B">
      <w:pPr>
        <w:pStyle w:val="16"/>
      </w:pPr>
      <w:r>
        <w:rPr>
          <w:rFonts w:ascii="Times New Roman" w:hAnsi="Times New Roman" w:eastAsia="思源黑体" w:cs="Times New Roman"/>
        </w:rPr>
        <w:t>持有效的中华人民共和国机动车驾驶证（准驾车型与所驾车辆一致）及道路旅客运输从业资格证。</w:t>
      </w:r>
    </w:p>
    <w:p w14:paraId="79D7DE04">
      <w:pPr>
        <w:pStyle w:val="16"/>
      </w:pPr>
      <w:r>
        <w:rPr>
          <w:rFonts w:ascii="Times New Roman" w:hAnsi="Times New Roman" w:eastAsia="思源黑体" w:cs="Times New Roman"/>
        </w:rPr>
        <w:t>年龄25～55周岁，身体健康，无妨碍驾驶的疾病（须提供年度体检报告）。</w:t>
      </w:r>
    </w:p>
    <w:p w14:paraId="079574F8">
      <w:pPr>
        <w:pStyle w:val="16"/>
      </w:pPr>
      <w:r>
        <w:rPr>
          <w:rFonts w:ascii="Times New Roman" w:hAnsi="Times New Roman" w:eastAsia="思源黑体" w:cs="Times New Roman"/>
        </w:rPr>
        <w:t>驾龄：小汽车/商务车≥5年，客车≥8年，近3年内无负主要责任的交通事故记录（以交警部门证明为准）。</w:t>
      </w:r>
    </w:p>
    <w:p w14:paraId="21F0641F">
      <w:pPr>
        <w:pStyle w:val="16"/>
      </w:pPr>
      <w:r>
        <w:rPr>
          <w:rFonts w:ascii="Times New Roman" w:hAnsi="Times New Roman" w:eastAsia="思源黑体" w:cs="Times New Roman"/>
        </w:rPr>
        <w:t>无犯罪记录（公安出具），无吸毒史，无酒驾/醉驾记录。</w:t>
      </w:r>
    </w:p>
    <w:p w14:paraId="7942040A">
      <w:pPr>
        <w:pStyle w:val="14"/>
        <w:numPr>
          <w:ilvl w:val="0"/>
          <w:numId w:val="0"/>
        </w:numPr>
        <w:ind w:leftChars="0"/>
        <w:rPr>
          <w:rFonts w:ascii="Times New Roman" w:hAnsi="Times New Roman" w:eastAsia="思源黑体" w:cs="Times New Roman"/>
        </w:rPr>
      </w:pPr>
      <w:r>
        <w:rPr>
          <w:rFonts w:ascii="Times New Roman" w:hAnsi="Times New Roman" w:eastAsia="思源黑体" w:cs="Times New Roman"/>
        </w:rPr>
        <w:t>2. 三州/高原驾驶员专项要求</w:t>
      </w:r>
    </w:p>
    <w:p w14:paraId="714E5077">
      <w:pPr>
        <w:pStyle w:val="16"/>
      </w:pPr>
      <w:r>
        <w:rPr>
          <w:rFonts w:ascii="Times New Roman" w:hAnsi="Times New Roman" w:eastAsia="思源黑体" w:cs="Times New Roman"/>
        </w:rPr>
        <w:t>具有甘孜、阿坝、凉山地区或同等海拔（3000米以上）山区道路驾驶经验，累计驾驶里程≥5万公里。</w:t>
      </w:r>
    </w:p>
    <w:p w14:paraId="122C31DF">
      <w:pPr>
        <w:pStyle w:val="16"/>
      </w:pPr>
      <w:r>
        <w:rPr>
          <w:rFonts w:ascii="Times New Roman" w:hAnsi="Times New Roman" w:eastAsia="思源黑体" w:cs="Times New Roman"/>
        </w:rPr>
        <w:t>须参加过高原驾驶安全培训（提供培训记录或证书），了解高原反应症状及应急处置方法。</w:t>
      </w:r>
    </w:p>
    <w:p w14:paraId="7812037D">
      <w:pPr>
        <w:pStyle w:val="16"/>
      </w:pPr>
      <w:r>
        <w:rPr>
          <w:rFonts w:ascii="Times New Roman" w:hAnsi="Times New Roman" w:eastAsia="思源黑体" w:cs="Times New Roman"/>
        </w:rPr>
        <w:t>熟悉川西山区道路特点（连续弯道、长下坡、暗冰、落石、动物横穿等），掌握防御性驾驶技巧。</w:t>
      </w:r>
    </w:p>
    <w:p w14:paraId="786C8586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3. 双驾驶员制度（三州线路强制）</w:t>
      </w:r>
    </w:p>
    <w:p w14:paraId="39898005">
      <w:pPr>
        <w:pStyle w:val="16"/>
      </w:pPr>
      <w:r>
        <w:rPr>
          <w:rFonts w:ascii="Times New Roman" w:hAnsi="Times New Roman" w:eastAsia="思源黑体" w:cs="Times New Roman"/>
        </w:rPr>
        <w:t>触发条件（满足其一即须配备双驾驶员）：单程行驶距离＞400公里；单日累计驾驶时间＞8小时；进入海拔3000米以上连续山路且单日行驶＞300公里；采购人根据天气/路况判断存在疲劳驾驶风险。</w:t>
      </w:r>
    </w:p>
    <w:p w14:paraId="52612786">
      <w:pPr>
        <w:pStyle w:val="16"/>
      </w:pPr>
      <w:r>
        <w:rPr>
          <w:rFonts w:ascii="Times New Roman" w:hAnsi="Times New Roman" w:eastAsia="思源黑体" w:cs="Times New Roman"/>
        </w:rPr>
        <w:t>双驾驶员职责：主驾负责驾驶，副驾负责导航、观察路况、提醒休息、协助应急处置；每连续驾驶4小时必须轮换。</w:t>
      </w:r>
    </w:p>
    <w:p w14:paraId="34BCC72A">
      <w:pPr>
        <w:pStyle w:val="16"/>
      </w:pPr>
      <w:r>
        <w:rPr>
          <w:rFonts w:ascii="Times New Roman" w:hAnsi="Times New Roman" w:eastAsia="思源黑体" w:cs="Times New Roman"/>
        </w:rPr>
        <w:t>双驾驶员费用已包含在三州区域包干单价中，不再另行收取。</w:t>
      </w:r>
    </w:p>
    <w:p w14:paraId="6F98CF6D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4. 驾驶行为与服务规范</w:t>
      </w:r>
    </w:p>
    <w:p w14:paraId="44F86BA5">
      <w:pPr>
        <w:pStyle w:val="16"/>
      </w:pPr>
      <w:r>
        <w:rPr>
          <w:rFonts w:ascii="Times New Roman" w:hAnsi="Times New Roman" w:eastAsia="思源黑体" w:cs="Times New Roman"/>
        </w:rPr>
        <w:t>严格遵守交通法规，严禁超速、疲劳驾驶、酒后驾驶、开车接打电话、抽烟等危险行为。</w:t>
      </w:r>
    </w:p>
    <w:p w14:paraId="15B7FBCE">
      <w:pPr>
        <w:pStyle w:val="16"/>
      </w:pPr>
      <w:r>
        <w:rPr>
          <w:rFonts w:ascii="Times New Roman" w:hAnsi="Times New Roman" w:eastAsia="思源黑体" w:cs="Times New Roman"/>
        </w:rPr>
        <w:t>行驶平稳，避免急加速、急刹车，确保医疗设备和患者舒适。</w:t>
      </w:r>
    </w:p>
    <w:p w14:paraId="7628A8DC">
      <w:pPr>
        <w:pStyle w:val="16"/>
      </w:pPr>
      <w:r>
        <w:rPr>
          <w:rFonts w:ascii="Times New Roman" w:hAnsi="Times New Roman" w:eastAsia="思源黑体" w:cs="Times New Roman"/>
        </w:rPr>
        <w:t>到达目的地后协助</w:t>
      </w:r>
      <w:r>
        <w:rPr>
          <w:rFonts w:hint="eastAsia" w:cs="Times New Roman"/>
          <w:lang w:val="en-US" w:eastAsia="zh-CN"/>
        </w:rPr>
        <w:t>采购人</w:t>
      </w:r>
      <w:r>
        <w:rPr>
          <w:rFonts w:ascii="Times New Roman" w:hAnsi="Times New Roman" w:eastAsia="思源黑体" w:cs="Times New Roman"/>
        </w:rPr>
        <w:t>搬运设备、药品（在合理体力范围内）。</w:t>
      </w:r>
    </w:p>
    <w:p w14:paraId="66E8D488">
      <w:pPr>
        <w:pStyle w:val="16"/>
      </w:pPr>
      <w:r>
        <w:rPr>
          <w:rFonts w:ascii="Times New Roman" w:hAnsi="Times New Roman" w:eastAsia="思源黑体" w:cs="Times New Roman"/>
        </w:rPr>
        <w:t>尊重少数民族风俗习惯，在藏区/彝区不得发表不当言论，不得拍摄敏感区域。</w:t>
      </w:r>
    </w:p>
    <w:p w14:paraId="100FF84F">
      <w:pPr>
        <w:pStyle w:val="16"/>
      </w:pPr>
      <w:r>
        <w:rPr>
          <w:rFonts w:ascii="Times New Roman" w:hAnsi="Times New Roman" w:eastAsia="思源黑体" w:cs="Times New Roman"/>
        </w:rPr>
        <w:t>统一穿着采购人认可的工装或制服，佩戴工牌，文明用语，态度友善。</w:t>
      </w:r>
    </w:p>
    <w:p w14:paraId="46C4C739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5. 行程管理与汇报</w:t>
      </w:r>
    </w:p>
    <w:p w14:paraId="6025231F">
      <w:pPr>
        <w:pStyle w:val="16"/>
      </w:pPr>
      <w:r>
        <w:rPr>
          <w:rFonts w:ascii="Times New Roman" w:hAnsi="Times New Roman" w:eastAsia="思源黑体" w:cs="Times New Roman"/>
        </w:rPr>
        <w:t>出发前：提前30分钟到达指定地点，检查车辆状况（油/电、轮胎、灯光、备胎、工具、证件），并向采购人领队报到。</w:t>
      </w:r>
    </w:p>
    <w:p w14:paraId="42F3DC84">
      <w:pPr>
        <w:pStyle w:val="16"/>
      </w:pPr>
      <w:r>
        <w:rPr>
          <w:rFonts w:ascii="Times New Roman" w:hAnsi="Times New Roman" w:eastAsia="思源黑体" w:cs="Times New Roman"/>
        </w:rPr>
        <w:t>行驶中：每2小时或每经过一个县城，向采购人指定联系人报告位置、路况、预计到达时间。</w:t>
      </w:r>
    </w:p>
    <w:p w14:paraId="75EE9F26">
      <w:pPr>
        <w:pStyle w:val="16"/>
      </w:pPr>
      <w:r>
        <w:rPr>
          <w:rFonts w:ascii="Times New Roman" w:hAnsi="Times New Roman" w:eastAsia="思源黑体" w:cs="Times New Roman"/>
        </w:rPr>
        <w:t>到达后：填写《派车任务单》（含实际里程、用时、停靠点、异常情况），由采购人领队签字确认。</w:t>
      </w:r>
    </w:p>
    <w:p w14:paraId="06F06FE8">
      <w:pPr>
        <w:pStyle w:val="16"/>
      </w:pPr>
      <w:r>
        <w:rPr>
          <w:rFonts w:ascii="Times New Roman" w:hAnsi="Times New Roman" w:eastAsia="思源黑体" w:cs="Times New Roman"/>
        </w:rPr>
        <w:t>收车后：清理车辆内外，补充燃油/电量至出发前状态，以备下次任务。</w:t>
      </w:r>
    </w:p>
    <w:p w14:paraId="5984D2E6">
      <w:pPr>
        <w:pStyle w:val="14"/>
        <w:numPr>
          <w:ilvl w:val="0"/>
          <w:numId w:val="0"/>
        </w:numPr>
        <w:ind w:leftChars="0"/>
      </w:pPr>
      <w:r>
        <w:rPr>
          <w:rFonts w:ascii="Times New Roman" w:hAnsi="Times New Roman" w:eastAsia="思源黑体" w:cs="Times New Roman"/>
        </w:rPr>
        <w:t>6. 应急处置能力</w:t>
      </w:r>
    </w:p>
    <w:p w14:paraId="48C10C07">
      <w:pPr>
        <w:pStyle w:val="16"/>
      </w:pPr>
      <w:r>
        <w:rPr>
          <w:rFonts w:ascii="Times New Roman" w:hAnsi="Times New Roman" w:eastAsia="思源黑体" w:cs="Times New Roman"/>
        </w:rPr>
        <w:t>掌握高原反应初步识别与救助（吸氧、保暖、联系医疗队）、爆胎/机械故障紧急处置、冰雪路面驾驶与防滑链安装、轻微事故快处快赔等技能。</w:t>
      </w:r>
    </w:p>
    <w:p w14:paraId="1E379F58">
      <w:pPr>
        <w:pStyle w:val="16"/>
      </w:pPr>
      <w:r>
        <w:rPr>
          <w:rFonts w:ascii="Times New Roman" w:hAnsi="Times New Roman" w:eastAsia="思源黑体" w:cs="Times New Roman"/>
        </w:rPr>
        <w:t>发生事故或故障时，10分钟内报告采购人领队，30分钟内启动应急预案，2小时内安排替换车辆或替代方案。</w:t>
      </w:r>
    </w:p>
    <w:p w14:paraId="4D66659E">
      <w:pPr>
        <w:pStyle w:val="14"/>
        <w:numPr>
          <w:ilvl w:val="0"/>
          <w:numId w:val="0"/>
        </w:numPr>
        <w:ind w:leftChars="0"/>
      </w:pPr>
      <w:r>
        <w:rPr>
          <w:rFonts w:hint="eastAsia" w:ascii="Times New Roman" w:hAnsi="Times New Roman" w:eastAsia="思源黑体" w:cs="Times New Roman"/>
          <w:sz w:val="24"/>
          <w:szCs w:val="24"/>
          <w:lang w:val="en-US" w:eastAsia="zh-CN" w:bidi="ar-SA"/>
        </w:rPr>
        <w:t>7.</w:t>
      </w:r>
      <w:r>
        <w:rPr>
          <w:rFonts w:ascii="Times New Roman" w:hAnsi="Times New Roman" w:eastAsia="思源黑体" w:cs="Times New Roman"/>
          <w:sz w:val="24"/>
          <w:szCs w:val="24"/>
          <w:lang w:val="en-US" w:eastAsia="en-US" w:bidi="ar-SA"/>
        </w:rPr>
        <w:t>发生负主要责任的交通事故、服务态度恶劣经核实、擅自改变路线或搭载无关人员、泄</w:t>
      </w:r>
      <w:r>
        <w:rPr>
          <w:rFonts w:ascii="Times New Roman" w:hAnsi="Times New Roman" w:eastAsia="思源黑体" w:cs="Times New Roman"/>
        </w:rPr>
        <w:t>露医疗队行程或患者信息等情形，立即取消服务资格，投标人须在24小时内更换。</w:t>
      </w:r>
    </w:p>
    <w:p w14:paraId="7291DA3C">
      <w:pPr>
        <w:pStyle w:val="3"/>
      </w:pPr>
      <w:r>
        <w:rPr>
          <w:rFonts w:ascii="Times New Roman" w:hAnsi="Times New Roman" w:eastAsia="思源黑体" w:cs="Times New Roman"/>
        </w:rPr>
        <w:t>五、最高限价及结算</w:t>
      </w:r>
    </w:p>
    <w:p w14:paraId="550C9CE9">
      <w:pPr>
        <w:pStyle w:val="4"/>
      </w:pPr>
      <w:r>
        <w:rPr>
          <w:rFonts w:ascii="Times New Roman" w:hAnsi="Times New Roman" w:eastAsia="思源黑体" w:cs="Times New Roman"/>
        </w:rPr>
        <w:t>结算公式</w:t>
      </w:r>
    </w:p>
    <w:p w14:paraId="7B539AC1">
      <w:pPr>
        <w:pStyle w:val="16"/>
      </w:pPr>
      <w:r>
        <w:rPr>
          <w:rFonts w:ascii="Times New Roman" w:hAnsi="Times New Roman" w:eastAsia="思源黑体" w:cs="Times New Roman"/>
        </w:rPr>
        <w:t>结算总额 = 车型包干单价 × 实际往返里程 + 餐补据实 + 住宿补助据实</w:t>
      </w:r>
    </w:p>
    <w:p w14:paraId="041E18E2">
      <w:pPr>
        <w:pStyle w:val="16"/>
      </w:pPr>
      <w:r>
        <w:rPr>
          <w:rFonts w:ascii="Times New Roman" w:hAnsi="Times New Roman" w:eastAsia="思源黑体" w:cs="Times New Roman"/>
        </w:rPr>
        <w:t>车型包干单价：投标人报出的每公里含税价，已包含燃油/电费、过路费、停车费、保险费、车辆折旧维保、驾驶员劳务及全部管理费，不再收取任何其他费用。</w:t>
      </w:r>
    </w:p>
    <w:p w14:paraId="4045FA93">
      <w:pPr>
        <w:pStyle w:val="16"/>
      </w:pPr>
      <w:r>
        <w:rPr>
          <w:rFonts w:ascii="Times New Roman" w:hAnsi="Times New Roman" w:eastAsia="思源黑体" w:cs="Times New Roman"/>
        </w:rPr>
        <w:t>实际往返里程：按派车单起终点导航合理里程×2（含返程空驶）。单边＞150km适用。</w:t>
      </w:r>
    </w:p>
    <w:p w14:paraId="6157ACC6">
      <w:pPr>
        <w:pStyle w:val="16"/>
      </w:pPr>
      <w:r>
        <w:rPr>
          <w:rFonts w:ascii="Times New Roman" w:hAnsi="Times New Roman" w:eastAsia="思源黑体" w:cs="Times New Roman"/>
        </w:rPr>
        <w:t>餐补：按驾驶员实际用餐天数，参照采购人标准（早餐20元、午/晚餐各40元，合计100元/人/天），凭考勤据实结算。</w:t>
      </w:r>
    </w:p>
    <w:p w14:paraId="2F6E0FD9">
      <w:pPr>
        <w:pStyle w:val="16"/>
      </w:pPr>
      <w:r>
        <w:rPr>
          <w:rFonts w:ascii="Times New Roman" w:hAnsi="Times New Roman" w:eastAsia="思源黑体" w:cs="Times New Roman"/>
        </w:rPr>
        <w:t>住宿补助：按驾驶员实际过夜天数，参照省级差旅“其余人员”住宿标准（三州地区300元/人/晚，其他地区按当地标准），凭住宿发票或补助单据实结算。</w:t>
      </w:r>
    </w:p>
    <w:p w14:paraId="14ADEFF6">
      <w:pPr>
        <w:pStyle w:val="16"/>
      </w:pPr>
      <w:r>
        <w:rPr>
          <w:rFonts w:ascii="Times New Roman" w:hAnsi="Times New Roman" w:eastAsia="思源黑体" w:cs="Times New Roman"/>
        </w:rPr>
        <w:t>住宿补助：2晚 × 300元/晚 = 600元</w:t>
      </w:r>
    </w:p>
    <w:p w14:paraId="685CD118">
      <w:pPr>
        <w:pStyle w:val="16"/>
      </w:pPr>
      <w:r>
        <w:rPr>
          <w:rFonts w:ascii="Times New Roman" w:hAnsi="Times New Roman" w:eastAsia="思源黑体" w:cs="Times New Roman"/>
        </w:rPr>
        <w:t>结算总额 = 4650 + 300 + 600 = 5550元（再无其他费用）</w:t>
      </w:r>
    </w:p>
    <w:sectPr>
      <w:footerReference r:id="rId5" w:type="default"/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Hiragino Sans">
    <w:altName w:val="Yu Gothic UI Light"/>
    <w:panose1 w:val="020B0300000000000000"/>
    <w:charset w:val="80"/>
    <w:family w:val="auto"/>
    <w:pitch w:val="default"/>
    <w:sig w:usb0="00000000" w:usb1="00000000" w:usb2="00000012" w:usb3="00000000" w:csb0="0002000D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思源黑体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altName w:val="黑体"/>
    <w:panose1 w:val="00020600040101010101"/>
    <w:charset w:val="86"/>
    <w:family w:val="auto"/>
    <w:pitch w:val="default"/>
    <w:sig w:usb0="00000000" w:usb1="00000000" w:usb2="00000016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苹方-简">
    <w:altName w:val="宋体"/>
    <w:panose1 w:val="020B0400000000000000"/>
    <w:charset w:val="86"/>
    <w:family w:val="auto"/>
    <w:pitch w:val="default"/>
    <w:sig w:usb0="00000000" w:usb1="00000000" w:usb2="00000017" w:usb3="00000000" w:csb0="0004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19BA32">
    <w:pPr>
      <w:pStyle w:val="24"/>
    </w:pPr>
    <w:r>
      <w:rPr>
        <w:rFonts w:ascii="Times New Roman" w:hAnsi="Times New Roman" w:eastAsia="思源黑体" w:cs="Times New Roman"/>
      </w:rP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rPr>
        <w:rFonts w:ascii="Times New Roman" w:hAnsi="Times New Roman" w:eastAsia="思源黑体" w:cs="Times New Roman"/>
      </w:rP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3B762441"/>
    <w:rsid w:val="49DFB83A"/>
    <w:rsid w:val="4D0805A1"/>
    <w:rsid w:val="DAF98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思源黑体" w:cs="Times New Roman"/>
      <w:sz w:val="24"/>
      <w:szCs w:val="24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32"/>
      <w:szCs w:val="32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8"/>
      <w:szCs w:val="28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2480</Words>
  <Characters>2579</Characters>
  <Lines>0</Lines>
  <Paragraphs>0</Paragraphs>
  <TotalTime>16</TotalTime>
  <ScaleCrop>false</ScaleCrop>
  <LinksUpToDate>false</LinksUpToDate>
  <CharactersWithSpaces>2590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费明</cp:lastModifiedBy>
  <dcterms:modified xsi:type="dcterms:W3CDTF">2026-10-12T07:21:11Z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{"Label":"1","ContentProducer":"001191440300708461136T1WFUO","ProduceID":"c14ad03ea2bf26255320e77e6ac3d121-Dmbl","ReservedCode1":"{\"Type\":\" TC260PG\",\"Version\":1,\"Bindings\":[{\"Type\":\"soft\",\"AlgID\":\"sm3\",\"Value\":\"f4d070aac4038e092ac7e1032f0ffe816048fffd21f689d5ce50a67a857acfb6\"},{\"Type\":\"hash\",\"AlgID\":\"sm3\",\"Value\":\"6dee0e6e2d2a9f5a2b527035d124c223e97d332edaea9b461fb9994b041b3a38\"}],\"PubSD\":[{\"Type\":\"DS\",\"AlgID\":\"sm2\",\"TBSData\":{\"Type\":\"Binding\",\"BType\":\"hash\"},\"Signature\":\"304402201dca4784bcd31a0b2e201a150d7380fbf06bbdeed358d227079da301c72b9bc9022052cc3096cebedab6416d6b6597b62bbe35efa2f1ecd935c830f191525f52c935\"},{\"Type\":\"PubKey\",\"AlgID\":\"sm2\",\"KeyValue\":\"0407f79b28a17a752b3aae4305c98b48978213832729a2571850b1310b2bc9fe8fee039ccf25ebfeac27502414d9fcef792d777183c98893d226171c2f7a3289a2\"}],\"Extension\":{\"Timestamp\":1791734091,\"KeyVersion\":\"v1-TxLeOmf7bqU223\"}}","ContentPropagator":"001191440300708461136T1WFUO","PropagateID":"c14ad03ea2bf26255320e77e6ac3d121-Dmbl","ReservedCode2":"{\"Type\":\" TC260PG\",\"Version\":1,\"Bindings\":[{\"Type\":\"soft\",\"AlgID\":\"sm3\",\"Value\":\"f4d070aac4038e092ac7e1032f0ffe816048fffd21f689d5ce50a67a857acfb6\"},{\"Type\":\"hash\",\"AlgID\":\"sm3\",\"Value\":\"6dee0e6e2d2a9f5a2b527035d124c223e97d332edaea9b461fb9994b041b3a38\"}],\"PubSD\":[{\"Type\":\"DS\",\"AlgID\":\"sm2\",\"TBSData\":{\"Type\":\"Binding\",\"BType\":\"hash\"},\"Signature\":\"3045022024fb24aeb8609ede8eaaa615b032d9e4617a456de496233ec7adec7f0e8e2390022100adf4c9e93bd8605ecc324aa79fa1d5a74f1c7b0611a0b58097d2a1e5c4f2e84f\"},{\"Type\":\"PubKey\",\"AlgID\":\"sm2\",\"KeyValue\":\"0407f79b28a17a752b3aae4305c98b48978213832729a2571850b1310b2bc9fe8fee039ccf25ebfeac27502414d9fcef792d777183c98893d226171c2f7a3289a2\"}],\"Extension\":{\"Timestamp\":1791734091,\"KeyVersion\":\"v1-TxLeOmf7bqU223\"}}"}</vt:lpwstr>
  </property>
  <property fmtid="{D5CDD505-2E9C-101B-9397-08002B2CF9AE}" pid="3" name="KSOProductBuildVer">
    <vt:lpwstr>2052-12.1.0.28505</vt:lpwstr>
  </property>
  <property fmtid="{D5CDD505-2E9C-101B-9397-08002B2CF9AE}" pid="4" name="ICV">
    <vt:lpwstr>7C8F01A571CD4074809B777F07E47FAF_13</vt:lpwstr>
  </property>
  <property fmtid="{D5CDD505-2E9C-101B-9397-08002B2CF9AE}" pid="5" name="KSOTemplateDocerSaveRecord">
    <vt:lpwstr>eyJoZGlkIjoiYWQ2ZjdmZjJiNjJiNTI0NWM5MjBmMzc0YmFjODlhYjgiLCJ1c2VySWQiOiIzNjM4OTIzNDkifQ==</vt:lpwstr>
  </property>
</Properties>
</file>