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customXml/itemProps2.xml" ContentType="application/vnd.openxmlformats-officedocument.customXmlProperties+xml"/>
  <Override PartName="/word/settings.xml" ContentType="application/vnd.openxmlformats-officedocument.wordprocessingml.settings+xml"/>
  <Override PartName="/docProps/custom.xml" ContentType="application/vnd.openxmlformats-officedocument.custom-properties+xml"/>
  <Override PartName="/word/document.xml" ContentType="application/vnd.openxmlformats-officedocument.wordprocessingml.document.main+xml"/>
  <Override PartName="/customXml/itemProps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adjustRightInd w:val="false"/>
        <w:snapToGrid w:val="false"/>
        <w:jc w:val="center"/>
        <w:rPr>
          <w:rFonts w:ascii="Times New Roman" w:cs="Times New Roman" w:hAnsi="Times New Roman"/>
          <w:sz w:val="24"/>
          <w:szCs w:val="24"/>
        </w:rPr>
      </w:pPr>
      <w:r>
        <w:rPr>
          <w:rFonts w:ascii="Times New Roman" w:cs="Times New Roman" w:hAnsi="Times New Roman" w:hint="eastAsia"/>
          <w:b/>
          <w:bCs/>
          <w:sz w:val="36"/>
          <w:szCs w:val="36"/>
          <w:lang w:val="en-US" w:eastAsia="zh-CN"/>
        </w:rPr>
        <w:t>2023年</w:t>
      </w:r>
      <w:r>
        <w:rPr>
          <w:rFonts w:ascii="Times New Roman" w:cs="Times New Roman" w:hAnsi="Times New Roman"/>
          <w:b/>
          <w:bCs/>
          <w:sz w:val="36"/>
          <w:szCs w:val="36"/>
        </w:rPr>
        <w:t>四川省人</w:t>
      </w:r>
      <w:r>
        <w:rPr>
          <w:rFonts w:ascii="Times New Roman" w:cs="Times New Roman" w:hAnsi="Times New Roman" w:hint="eastAsia"/>
          <w:b/>
          <w:bCs/>
          <w:sz w:val="36"/>
          <w:szCs w:val="36"/>
          <w:lang w:val="zh-CN"/>
        </w:rPr>
        <w:t>民医院掌上离心机供应商集中推荐</w:t>
      </w:r>
      <w:r>
        <w:rPr>
          <w:rFonts w:ascii="Times New Roman" w:cs="Times New Roman" w:hAnsi="Times New Roman"/>
          <w:b/>
          <w:bCs/>
          <w:sz w:val="36"/>
          <w:szCs w:val="36"/>
        </w:rPr>
        <w:t>日</w:t>
      </w:r>
    </w:p>
    <w:p>
      <w:pPr>
        <w:pStyle w:val="style0"/>
        <w:spacing w:lineRule="auto" w:line="276"/>
        <w:ind w:firstLine="480" w:firstLineChars="200"/>
        <w:rPr>
          <w:rFonts w:ascii="Times New Roman" w:cs="Times New Roman" w:hAnsi="Times New Roman"/>
          <w:sz w:val="24"/>
          <w:szCs w:val="24"/>
        </w:rPr>
      </w:pPr>
      <w:r>
        <w:rPr>
          <w:rFonts w:ascii="Times New Roman" w:cs="Times New Roman" w:hAnsi="Times New Roman"/>
          <w:sz w:val="24"/>
          <w:szCs w:val="24"/>
        </w:rPr>
        <w:t>我院现就</w:t>
      </w:r>
      <w:r>
        <w:rPr>
          <w:rFonts w:ascii="Times New Roman" w:cs="Times New Roman" w:hAnsi="Times New Roman" w:hint="eastAsia"/>
          <w:sz w:val="24"/>
          <w:szCs w:val="24"/>
        </w:rPr>
        <w:t>以下</w:t>
      </w:r>
      <w:r>
        <w:rPr>
          <w:rFonts w:ascii="Times New Roman" w:cs="Times New Roman" w:hAnsi="Times New Roman"/>
          <w:sz w:val="24"/>
          <w:szCs w:val="24"/>
        </w:rPr>
        <w:t>医疗</w:t>
      </w:r>
      <w:r>
        <w:rPr>
          <w:rFonts w:ascii="Times New Roman" w:cs="Times New Roman" w:hAnsi="Times New Roman" w:hint="eastAsia"/>
          <w:sz w:val="24"/>
          <w:szCs w:val="24"/>
          <w:lang w:eastAsia="zh-CN"/>
        </w:rPr>
        <w:t>仪器</w:t>
      </w:r>
      <w:r>
        <w:rPr>
          <w:rFonts w:ascii="Times New Roman" w:cs="Times New Roman" w:hAnsi="Times New Roman"/>
          <w:sz w:val="24"/>
          <w:szCs w:val="24"/>
        </w:rPr>
        <w:t>设备接受集中推荐，根据我院《供应商集中推荐日实施方案》等相关规定，欢迎具备合格资质、相应供应及服务能力的供应商积极参加本次推荐。</w:t>
      </w:r>
    </w:p>
    <w:p>
      <w:pPr>
        <w:pStyle w:val="style179"/>
        <w:numPr>
          <w:ilvl w:val="0"/>
          <w:numId w:val="1"/>
        </w:numPr>
        <w:spacing w:lineRule="auto" w:line="276"/>
        <w:ind w:firstLineChars="0"/>
        <w:jc w:val="left"/>
        <w:rPr>
          <w:rFonts w:ascii="Times New Roman" w:cs="Times New Roman" w:hAnsi="Times New Roman"/>
          <w:szCs w:val="21"/>
        </w:rPr>
      </w:pPr>
      <w:r>
        <w:rPr>
          <w:rFonts w:ascii="Times New Roman" w:cs="Times New Roman" w:hAnsi="Times New Roman" w:hint="eastAsia"/>
          <w:sz w:val="24"/>
          <w:szCs w:val="24"/>
        </w:rPr>
        <w:t>调研项目清单</w:t>
      </w:r>
    </w:p>
    <w:tbl>
      <w:tblPr>
        <w:tblStyle w:val="style105"/>
        <w:tblW w:w="10201" w:type="dxa"/>
        <w:tblInd w:w="0" w:type="dxa"/>
        <w:tblLayout w:type="fixed"/>
        <w:tblCellMar>
          <w:top w:w="0" w:type="dxa"/>
          <w:left w:w="108" w:type="dxa"/>
          <w:bottom w:w="0" w:type="dxa"/>
          <w:right w:w="108" w:type="dxa"/>
        </w:tblCellMar>
      </w:tblPr>
      <w:tblGrid>
        <w:gridCol w:w="704"/>
        <w:gridCol w:w="3779"/>
        <w:gridCol w:w="2856"/>
        <w:gridCol w:w="2862"/>
      </w:tblGrid>
      <w:tr>
        <w:trPr>
          <w:trHeight w:val="413" w:hRule="atLeast"/>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style0"/>
              <w:widowControl/>
              <w:jc w:val="center"/>
              <w:rPr>
                <w:rFonts w:ascii="Times New Roman" w:cs="Times New Roman" w:hAnsi="Times New Roman"/>
                <w:b/>
                <w:bCs/>
                <w:color w:val="000000"/>
                <w:kern w:val="0"/>
                <w:szCs w:val="21"/>
                <w:lang w:val="zh-CN"/>
              </w:rPr>
            </w:pPr>
            <w:r>
              <w:rPr>
                <w:rFonts w:ascii="Times New Roman" w:cs="Times New Roman" w:hAnsi="Times New Roman"/>
                <w:b/>
                <w:bCs/>
                <w:color w:val="000000"/>
                <w:kern w:val="0"/>
                <w:szCs w:val="21"/>
                <w:lang w:val="zh-CN"/>
              </w:rPr>
              <w:t>序号</w:t>
            </w:r>
          </w:p>
        </w:tc>
        <w:tc>
          <w:tcPr>
            <w:tcW w:w="3779"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cs="Times New Roman" w:hAnsi="Times New Roman"/>
                <w:b/>
                <w:bCs/>
                <w:color w:val="000000"/>
                <w:kern w:val="0"/>
                <w:szCs w:val="21"/>
                <w:lang w:val="zh-CN"/>
              </w:rPr>
            </w:pPr>
            <w:r>
              <w:rPr>
                <w:rFonts w:ascii="Times New Roman" w:cs="Times New Roman" w:hAnsi="Times New Roman" w:hint="eastAsia"/>
                <w:b/>
                <w:bCs/>
                <w:color w:val="000000"/>
                <w:kern w:val="0"/>
                <w:szCs w:val="21"/>
                <w:lang w:val="zh-CN"/>
              </w:rPr>
              <w:t>项目</w:t>
            </w:r>
            <w:r>
              <w:rPr>
                <w:rFonts w:ascii="Times New Roman" w:cs="Times New Roman" w:hAnsi="Times New Roman"/>
                <w:b/>
                <w:bCs/>
                <w:color w:val="000000"/>
                <w:kern w:val="0"/>
                <w:szCs w:val="21"/>
                <w:lang w:val="zh-CN"/>
              </w:rPr>
              <w:t>名称</w:t>
            </w:r>
          </w:p>
        </w:tc>
        <w:tc>
          <w:tcPr>
            <w:tcW w:w="2856" w:type="dxa"/>
            <w:tcBorders>
              <w:top w:val="single" w:sz="4" w:space="0" w:color="auto"/>
              <w:left w:val="nil"/>
              <w:bottom w:val="single" w:sz="4" w:space="0" w:color="auto"/>
              <w:right w:val="single" w:sz="4" w:space="0" w:color="auto"/>
            </w:tcBorders>
            <w:shd w:val="clear" w:color="auto" w:fill="auto"/>
            <w:vAlign w:val="center"/>
          </w:tcPr>
          <w:p>
            <w:pPr>
              <w:pStyle w:val="style0"/>
              <w:widowControl/>
              <w:jc w:val="center"/>
              <w:rPr>
                <w:rFonts w:ascii="Times New Roman" w:cs="Times New Roman" w:hAnsi="Times New Roman"/>
                <w:b/>
                <w:bCs/>
                <w:color w:val="000000"/>
                <w:kern w:val="0"/>
                <w:szCs w:val="21"/>
                <w:lang w:val="zh-CN"/>
              </w:rPr>
            </w:pPr>
            <w:r>
              <w:rPr>
                <w:rFonts w:ascii="Times New Roman" w:cs="Times New Roman" w:hAnsi="Times New Roman" w:hint="eastAsia"/>
                <w:b/>
                <w:bCs/>
                <w:color w:val="000000"/>
                <w:kern w:val="0"/>
                <w:szCs w:val="21"/>
                <w:lang w:val="zh-CN"/>
              </w:rPr>
              <w:t>需求科室</w:t>
            </w:r>
          </w:p>
        </w:tc>
        <w:tc>
          <w:tcPr>
            <w:tcW w:w="2862" w:type="dxa"/>
            <w:tcBorders>
              <w:top w:val="single" w:sz="4" w:space="0" w:color="auto"/>
              <w:left w:val="nil"/>
              <w:bottom w:val="single" w:sz="4" w:space="0" w:color="auto"/>
              <w:right w:val="single" w:sz="4" w:space="0" w:color="auto"/>
            </w:tcBorders>
            <w:vAlign w:val="center"/>
          </w:tcPr>
          <w:p>
            <w:pPr>
              <w:pStyle w:val="style0"/>
              <w:jc w:val="center"/>
              <w:rPr>
                <w:rFonts w:ascii="Times New Roman" w:cs="Times New Roman" w:hAnsi="Times New Roman"/>
                <w:b/>
                <w:bCs/>
                <w:color w:val="000000"/>
                <w:kern w:val="0"/>
                <w:szCs w:val="21"/>
                <w:lang w:val="zh-CN"/>
              </w:rPr>
            </w:pPr>
            <w:r>
              <w:rPr>
                <w:rFonts w:ascii="Times New Roman" w:cs="Times New Roman" w:hAnsi="Times New Roman"/>
                <w:b/>
                <w:bCs/>
                <w:color w:val="000000"/>
                <w:kern w:val="0"/>
                <w:szCs w:val="21"/>
                <w:lang w:val="zh-CN"/>
              </w:rPr>
              <w:t>备注</w:t>
            </w:r>
          </w:p>
        </w:tc>
      </w:tr>
      <w:tr>
        <w:tblPrEx/>
        <w:trPr>
          <w:trHeight w:val="524" w:hRule="atLeast"/>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style0"/>
              <w:rPr/>
            </w:pPr>
            <w:r>
              <w:rPr>
                <w:rFonts w:hint="eastAsia"/>
              </w:rPr>
              <w:t>1</w:t>
            </w:r>
          </w:p>
        </w:tc>
        <w:tc>
          <w:tcPr>
            <w:tcW w:w="3779"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rPr/>
            </w:pPr>
            <w:r>
              <w:rPr>
                <w:rFonts w:ascii="Times New Roman" w:cs="Times New Roman" w:hAnsi="Times New Roman" w:hint="eastAsia"/>
                <w:color w:val="000000"/>
                <w:kern w:val="0"/>
                <w:szCs w:val="21"/>
                <w:lang w:val="zh-CN"/>
              </w:rPr>
              <w:t>掌上离心机</w:t>
            </w:r>
          </w:p>
          <w:bookmarkStart w:id="0" w:name="_GoBack"/>
          <w:bookmarkEnd w:id="0"/>
        </w:tc>
        <w:tc>
          <w:tcPr>
            <w:tcW w:w="2856" w:type="dxa"/>
            <w:tcBorders>
              <w:top w:val="single" w:sz="4" w:space="0" w:color="auto"/>
              <w:left w:val="nil"/>
              <w:bottom w:val="single" w:sz="4" w:space="0" w:color="auto"/>
              <w:right w:val="single" w:sz="4" w:space="0" w:color="auto"/>
            </w:tcBorders>
            <w:shd w:val="clear" w:color="auto" w:fill="auto"/>
            <w:vAlign w:val="center"/>
          </w:tcPr>
          <w:p>
            <w:pPr>
              <w:pStyle w:val="style0"/>
              <w:jc w:val="center"/>
              <w:rPr>
                <w:rFonts w:eastAsia="宋体" w:hint="eastAsia"/>
                <w:lang w:val="en-US" w:eastAsia="zh-CN"/>
              </w:rPr>
            </w:pPr>
            <w:r>
              <w:rPr>
                <w:rFonts w:hint="eastAsia"/>
              </w:rPr>
              <w:t>全院统筹</w:t>
            </w:r>
          </w:p>
        </w:tc>
        <w:tc>
          <w:tcPr>
            <w:tcW w:w="2862" w:type="dxa"/>
            <w:tcBorders>
              <w:top w:val="single" w:sz="4" w:space="0" w:color="auto"/>
              <w:left w:val="nil"/>
              <w:bottom w:val="single" w:sz="4" w:space="0" w:color="auto"/>
              <w:right w:val="single" w:sz="4" w:space="0" w:color="auto"/>
            </w:tcBorders>
            <w:vAlign w:val="center"/>
          </w:tcPr>
          <w:p>
            <w:pPr>
              <w:pStyle w:val="style0"/>
              <w:jc w:val="center"/>
              <w:rPr>
                <w:rFonts w:eastAsia="宋体" w:hint="eastAsia"/>
                <w:lang w:val="en-US" w:eastAsia="zh-CN"/>
              </w:rPr>
            </w:pPr>
            <w:r>
              <w:rPr>
                <w:rFonts w:hint="eastAsia"/>
                <w:lang w:val="en-US" w:eastAsia="zh-CN"/>
              </w:rPr>
              <w:t>/</w:t>
            </w:r>
          </w:p>
        </w:tc>
      </w:tr>
    </w:tbl>
    <w:p>
      <w:pPr>
        <w:pStyle w:val="style0"/>
        <w:spacing w:lineRule="auto" w:line="276"/>
        <w:rPr>
          <w:rFonts w:ascii="Times New Roman" w:cs="Times New Roman" w:hAnsi="Times New Roman"/>
          <w:szCs w:val="21"/>
        </w:rPr>
      </w:pPr>
    </w:p>
    <w:p>
      <w:pPr>
        <w:pStyle w:val="style179"/>
        <w:numPr>
          <w:ilvl w:val="0"/>
          <w:numId w:val="0"/>
        </w:numPr>
        <w:spacing w:lineRule="auto" w:line="276"/>
        <w:ind w:leftChars="0"/>
        <w:rPr>
          <w:rFonts w:ascii="Times New Roman" w:cs="Times New Roman" w:hAnsi="Times New Roman" w:hint="eastAsia"/>
          <w:sz w:val="24"/>
          <w:szCs w:val="24"/>
          <w:lang w:val="en-US" w:eastAsia="zh-CN"/>
        </w:rPr>
      </w:pPr>
      <w:r>
        <w:rPr>
          <w:rFonts w:ascii="Times New Roman" w:cs="Times New Roman" w:hAnsi="Times New Roman" w:hint="eastAsia"/>
          <w:sz w:val="24"/>
          <w:szCs w:val="24"/>
          <w:lang w:val="en-US" w:eastAsia="zh-CN"/>
        </w:rPr>
        <w:t>二、注意事项</w:t>
      </w:r>
    </w:p>
    <w:p>
      <w:pPr>
        <w:pStyle w:val="style179"/>
        <w:numPr>
          <w:ilvl w:val="0"/>
          <w:numId w:val="0"/>
        </w:numPr>
        <w:spacing w:lineRule="auto" w:line="276"/>
        <w:ind w:leftChars="0"/>
        <w:rPr>
          <w:rFonts w:ascii="宋体" w:cs="宋体" w:eastAsia="宋体" w:hAnsi="宋体"/>
          <w:sz w:val="24"/>
          <w:szCs w:val="24"/>
        </w:rPr>
      </w:pPr>
      <w:r>
        <w:rPr>
          <w:rFonts w:ascii="Times New Roman" w:cs="Times New Roman" w:hAnsi="Times New Roman" w:hint="eastAsia"/>
          <w:sz w:val="24"/>
          <w:szCs w:val="24"/>
          <w:lang w:val="en-US" w:eastAsia="zh-CN"/>
        </w:rPr>
        <w:t>1.请报名参加推荐的设备厂家于</w:t>
      </w:r>
      <w:r>
        <w:rPr>
          <w:rFonts w:ascii="Times New Roman" w:cs="Times New Roman" w:hAnsi="Times New Roman" w:hint="eastAsia"/>
          <w:b/>
          <w:bCs/>
          <w:sz w:val="24"/>
          <w:szCs w:val="24"/>
          <w:lang w:val="en-US" w:eastAsia="zh-CN"/>
        </w:rPr>
        <w:t>2023年3月22日9:00</w:t>
      </w:r>
      <w:r>
        <w:rPr>
          <w:rFonts w:ascii="Times New Roman" w:cs="Times New Roman" w:hAnsi="Times New Roman" w:hint="eastAsia"/>
          <w:sz w:val="24"/>
          <w:szCs w:val="24"/>
          <w:lang w:val="en-US" w:eastAsia="zh-CN"/>
        </w:rPr>
        <w:t>前，填写信息采集内容，请各供应商准确填写相关信息，并对所填信息的真实有效性负责,信息采集表含以下内容：</w:t>
      </w:r>
    </w:p>
    <w:p>
      <w:pPr>
        <w:pStyle w:val="style0"/>
        <w:rPr>
          <w:rFonts w:ascii="宋体" w:hAnsi="宋体"/>
          <w:szCs w:val="21"/>
        </w:rPr>
      </w:pPr>
      <w:r>
        <w:rPr>
          <w:rFonts w:ascii="宋体" w:hAnsi="宋体" w:hint="eastAsia"/>
          <w:szCs w:val="21"/>
        </w:rPr>
        <w:t>（1）生产厂家、规格型号</w:t>
      </w:r>
    </w:p>
    <w:p>
      <w:pPr>
        <w:pStyle w:val="style0"/>
        <w:rPr>
          <w:rFonts w:ascii="宋体" w:hAnsi="宋体"/>
          <w:szCs w:val="21"/>
        </w:rPr>
      </w:pPr>
      <w:r>
        <w:rPr>
          <w:rFonts w:ascii="宋体" w:hAnsi="宋体" w:hint="eastAsia"/>
          <w:szCs w:val="21"/>
        </w:rPr>
        <w:t>（2）经销商名称，是否省级总代理</w:t>
      </w:r>
    </w:p>
    <w:p>
      <w:pPr>
        <w:pStyle w:val="style0"/>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）医疗器械注册证编号和注册证名称</w:t>
      </w:r>
    </w:p>
    <w:p>
      <w:pPr>
        <w:pStyle w:val="style0"/>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）配置方案和报价。若涉及不同配置不同报价，需提供各配置方案对应价格（成交价）</w:t>
      </w:r>
    </w:p>
    <w:p>
      <w:pPr>
        <w:pStyle w:val="style0"/>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）免费质保年限承诺（要求≥3年质保）</w:t>
      </w:r>
    </w:p>
    <w:p>
      <w:pPr>
        <w:pStyle w:val="style0"/>
        <w:tabs>
          <w:tab w:val="left" w:leader="none" w:pos="8746"/>
        </w:tabs>
        <w:rPr>
          <w:rFonts w:ascii="宋体" w:hAnsi="宋体"/>
          <w:szCs w:val="21"/>
        </w:rPr>
      </w:pPr>
      <w:r>
        <w:rPr>
          <w:rFonts w:ascii="宋体" w:hAnsi="宋体" w:hint="eastAsia"/>
          <w:szCs w:val="21"/>
        </w:rPr>
        <w:t>（</w:t>
      </w:r>
      <w:r>
        <w:rPr>
          <w:rFonts w:ascii="宋体" w:hAnsi="宋体"/>
          <w:szCs w:val="21"/>
        </w:rPr>
        <w:t>6</w:t>
      </w:r>
      <w:r>
        <w:rPr>
          <w:rFonts w:ascii="宋体" w:hAnsi="宋体" w:hint="eastAsia"/>
          <w:szCs w:val="21"/>
        </w:rPr>
        <w:t>）技术工程师到场维修的响应时间（小时）</w:t>
      </w:r>
      <w:r>
        <w:rPr>
          <w:rFonts w:ascii="宋体" w:hAnsi="宋体"/>
          <w:szCs w:val="21"/>
        </w:rPr>
        <w:tab/>
      </w:r>
    </w:p>
    <w:p>
      <w:pPr>
        <w:pStyle w:val="style0"/>
        <w:rPr>
          <w:rFonts w:ascii="宋体" w:hAnsi="宋体"/>
          <w:szCs w:val="21"/>
        </w:rPr>
      </w:pPr>
      <w:r>
        <w:rPr>
          <w:rFonts w:ascii="宋体" w:hAnsi="宋体" w:hint="eastAsia"/>
          <w:szCs w:val="21"/>
        </w:rPr>
        <w:t>（</w:t>
      </w:r>
      <w:r>
        <w:rPr>
          <w:rFonts w:ascii="宋体" w:hAnsi="宋体"/>
          <w:szCs w:val="21"/>
        </w:rPr>
        <w:t>7</w:t>
      </w:r>
      <w:r>
        <w:rPr>
          <w:rFonts w:ascii="宋体" w:hAnsi="宋体" w:hint="eastAsia"/>
          <w:szCs w:val="21"/>
        </w:rPr>
        <w:t>）同品牌、型号产品是否已销售入院，已入院的产品需提供在用科室、销售时间和入院价格</w:t>
      </w:r>
    </w:p>
    <w:p>
      <w:pPr>
        <w:pStyle w:val="style0"/>
        <w:rPr>
          <w:rFonts w:ascii="宋体" w:hAnsi="宋体"/>
          <w:szCs w:val="21"/>
        </w:rPr>
      </w:pPr>
      <w:r>
        <w:rPr>
          <w:rFonts w:ascii="宋体" w:hAnsi="宋体" w:hint="eastAsia"/>
          <w:szCs w:val="21"/>
        </w:rPr>
        <w:t>（</w:t>
      </w:r>
      <w:r>
        <w:rPr>
          <w:rFonts w:ascii="宋体" w:hAnsi="宋体"/>
          <w:szCs w:val="21"/>
        </w:rPr>
        <w:t>8</w:t>
      </w:r>
      <w:r>
        <w:rPr>
          <w:rFonts w:ascii="宋体" w:hAnsi="宋体" w:hint="eastAsia"/>
          <w:szCs w:val="21"/>
        </w:rPr>
        <w:t>）是否存在专用耗材/试剂，已入院的耗材/试剂须注明</w:t>
      </w:r>
    </w:p>
    <w:p>
      <w:pPr>
        <w:pStyle w:val="style0"/>
        <w:rPr>
          <w:rFonts w:ascii="宋体" w:hAnsi="宋体"/>
          <w:szCs w:val="21"/>
        </w:rPr>
      </w:pPr>
      <w:r>
        <w:rPr>
          <w:rFonts w:ascii="宋体" w:hAnsi="宋体" w:hint="eastAsia"/>
          <w:szCs w:val="21"/>
        </w:rPr>
        <w:t>（9）若存在未入院专用耗材/试剂，提供耗材/试剂的型号、价格（成交价）</w:t>
      </w:r>
    </w:p>
    <w:p>
      <w:pPr>
        <w:pStyle w:val="style0"/>
        <w:rPr>
          <w:rFonts w:ascii="宋体" w:hAnsi="宋体"/>
          <w:szCs w:val="21"/>
        </w:rPr>
      </w:pPr>
      <w:r>
        <w:rPr>
          <w:rFonts w:ascii="宋体" w:hAnsi="宋体" w:hint="eastAsia"/>
          <w:szCs w:val="21"/>
        </w:rPr>
        <w:t>（</w:t>
      </w:r>
      <w:r>
        <w:rPr>
          <w:rFonts w:ascii="宋体" w:hAnsi="宋体"/>
          <w:szCs w:val="21"/>
        </w:rPr>
        <w:t>10</w:t>
      </w:r>
      <w:r>
        <w:rPr>
          <w:rFonts w:ascii="宋体" w:hAnsi="宋体" w:hint="eastAsia"/>
          <w:szCs w:val="21"/>
        </w:rPr>
        <w:t>）2名联系人姓名，联系方式（手机号）</w:t>
      </w:r>
    </w:p>
    <w:p>
      <w:pPr>
        <w:pStyle w:val="style0"/>
        <w:rPr>
          <w:rFonts w:ascii="宋体" w:hAnsi="宋体"/>
          <w:szCs w:val="21"/>
        </w:rPr>
      </w:pPr>
      <w:r>
        <w:rPr>
          <w:rFonts w:ascii="宋体" w:hAnsi="宋体" w:hint="eastAsia"/>
          <w:szCs w:val="21"/>
        </w:rPr>
        <w:t>（</w:t>
      </w:r>
      <w:r>
        <w:rPr>
          <w:rFonts w:ascii="宋体" w:hAnsi="宋体"/>
          <w:szCs w:val="21"/>
        </w:rPr>
        <w:t>11</w:t>
      </w:r>
      <w:r>
        <w:rPr>
          <w:rFonts w:ascii="宋体" w:hAnsi="宋体" w:hint="eastAsia"/>
          <w:szCs w:val="21"/>
        </w:rPr>
        <w:t>）产品彩页、招标采购参数（进口产品需单独提供相比国产产品的技术参数优势的描述）</w:t>
      </w:r>
    </w:p>
    <w:p>
      <w:pPr>
        <w:pStyle w:val="style0"/>
        <w:rPr>
          <w:rFonts w:ascii="宋体" w:hAnsi="宋体"/>
          <w:szCs w:val="21"/>
        </w:rPr>
      </w:pPr>
      <w:r>
        <w:rPr>
          <w:rFonts w:ascii="宋体" w:hAnsi="宋体"/>
          <w:szCs w:val="21"/>
        </w:rPr>
        <w:t xml:space="preserve">     </w:t>
      </w:r>
      <w:r>
        <w:rPr>
          <w:rFonts w:ascii="宋体" w:hAnsi="宋体" w:hint="eastAsia"/>
          <w:szCs w:val="21"/>
        </w:rPr>
        <w:t>注：参数文档请根据挂网调研名称逐一命名，保持与挂网调研项目名称一致</w:t>
      </w:r>
    </w:p>
    <w:p>
      <w:pPr>
        <w:pStyle w:val="style0"/>
        <w:spacing w:lineRule="auto" w:line="276"/>
        <w:rPr>
          <w:rFonts w:ascii="宋体" w:hAnsi="宋体"/>
          <w:szCs w:val="21"/>
        </w:rPr>
      </w:pPr>
      <w:r>
        <w:rPr>
          <w:rFonts w:ascii="Times New Roman" w:cs="Times New Roman" w:hAnsi="Times New Roman" w:hint="eastAsia"/>
          <w:szCs w:val="21"/>
        </w:rPr>
        <w:t>（1</w:t>
      </w:r>
      <w:r>
        <w:rPr>
          <w:rFonts w:ascii="Times New Roman" w:cs="Times New Roman" w:hAnsi="Times New Roman"/>
          <w:szCs w:val="21"/>
        </w:rPr>
        <w:t>2</w:t>
      </w:r>
      <w:r>
        <w:rPr>
          <w:rFonts w:ascii="Times New Roman" w:cs="Times New Roman" w:hAnsi="Times New Roman" w:hint="eastAsia"/>
          <w:szCs w:val="21"/>
        </w:rPr>
        <w:t>）提供易损部件型号、价格</w:t>
      </w:r>
      <w:r>
        <w:rPr>
          <w:rFonts w:ascii="宋体" w:hAnsi="宋体" w:hint="eastAsia"/>
          <w:szCs w:val="21"/>
        </w:rPr>
        <w:t>（成交价）</w:t>
      </w:r>
    </w:p>
    <w:p>
      <w:pPr>
        <w:pStyle w:val="style0"/>
        <w:spacing w:lineRule="auto" w:line="276"/>
        <w:rPr>
          <w:rFonts w:ascii="Times New Roman" w:cs="Times New Roman" w:hAnsi="Times New Roman"/>
          <w:szCs w:val="21"/>
        </w:rPr>
      </w:pPr>
    </w:p>
    <w:p>
      <w:pPr>
        <w:pStyle w:val="style179"/>
        <w:numPr>
          <w:ilvl w:val="0"/>
          <w:numId w:val="0"/>
        </w:numPr>
        <w:spacing w:lineRule="auto" w:line="276"/>
        <w:ind w:leftChars="0"/>
        <w:rPr>
          <w:rFonts w:ascii="Times New Roman" w:cs="Times New Roman" w:hAnsi="Times New Roman" w:hint="eastAsia"/>
          <w:sz w:val="24"/>
          <w:szCs w:val="24"/>
          <w:lang w:val="en-US" w:eastAsia="zh-CN"/>
        </w:rPr>
      </w:pPr>
    </w:p>
    <w:p>
      <w:pPr>
        <w:pStyle w:val="style179"/>
        <w:numPr>
          <w:ilvl w:val="0"/>
          <w:numId w:val="0"/>
        </w:numPr>
        <w:spacing w:lineRule="auto" w:line="276"/>
        <w:ind w:leftChars="0"/>
        <w:rPr>
          <w:rFonts w:ascii="Times New Roman" w:cs="Times New Roman" w:hAnsi="Times New Roman" w:hint="eastAsia"/>
          <w:sz w:val="24"/>
          <w:szCs w:val="24"/>
          <w:lang w:val="en-US" w:eastAsia="zh-CN"/>
        </w:rPr>
      </w:pPr>
      <w:r>
        <w:rPr>
          <w:rFonts w:ascii="Times New Roman" w:cs="Times New Roman" w:hAnsi="Times New Roman" w:hint="eastAsia"/>
          <w:sz w:val="24"/>
          <w:szCs w:val="24"/>
          <w:lang w:val="en-US" w:eastAsia="zh-CN"/>
        </w:rPr>
        <w:t>2.</w:t>
      </w:r>
      <w:r>
        <w:rPr>
          <w:rFonts w:ascii="Times New Roman" w:cs="Times New Roman" w:hAnsi="Times New Roman" w:hint="eastAsia"/>
          <w:b/>
          <w:bCs/>
          <w:sz w:val="24"/>
          <w:szCs w:val="24"/>
          <w:lang w:val="en-US" w:eastAsia="zh-CN"/>
        </w:rPr>
        <w:t>如有需要</w:t>
      </w:r>
      <w:r>
        <w:rPr>
          <w:rFonts w:ascii="Times New Roman" w:cs="Times New Roman" w:hAnsi="Times New Roman" w:hint="eastAsia"/>
          <w:sz w:val="24"/>
          <w:szCs w:val="24"/>
          <w:lang w:val="en-US" w:eastAsia="zh-CN"/>
        </w:rPr>
        <w:t>，本次供应商集中推荐日活动将线上举行，请报名参加推荐的供应商准备PPT供线上推荐使用。每家供应商每个项目约5分钟时间展示PPT（根据现场实际情况，具体讲解时间医院可做实时调整）。PPT内容请务必涵盖以下重点：</w:t>
      </w:r>
    </w:p>
    <w:p>
      <w:pPr>
        <w:pStyle w:val="style179"/>
        <w:numPr>
          <w:ilvl w:val="0"/>
          <w:numId w:val="0"/>
        </w:numPr>
        <w:spacing w:lineRule="auto" w:line="276"/>
        <w:ind w:leftChars="0"/>
        <w:rPr>
          <w:rFonts w:ascii="Times New Roman" w:cs="Times New Roman" w:hAnsi="Times New Roman" w:hint="eastAsia"/>
          <w:sz w:val="24"/>
          <w:szCs w:val="24"/>
          <w:lang w:val="en-US" w:eastAsia="zh-CN"/>
        </w:rPr>
      </w:pPr>
      <w:r>
        <w:rPr>
          <w:rFonts w:ascii="Times New Roman" w:cs="Times New Roman" w:hAnsi="Times New Roman" w:hint="eastAsia"/>
          <w:sz w:val="24"/>
          <w:szCs w:val="24"/>
          <w:lang w:val="en-US" w:eastAsia="zh-CN"/>
        </w:rPr>
        <w:t>（1）产品功能及特点（着重于与临床应用结合方面进行宣讲）</w:t>
      </w:r>
    </w:p>
    <w:p>
      <w:pPr>
        <w:pStyle w:val="style179"/>
        <w:numPr>
          <w:ilvl w:val="0"/>
          <w:numId w:val="0"/>
        </w:numPr>
        <w:spacing w:lineRule="auto" w:line="276"/>
        <w:ind w:leftChars="0"/>
        <w:rPr>
          <w:rFonts w:ascii="Times New Roman" w:cs="Times New Roman" w:hAnsi="Times New Roman" w:hint="eastAsia"/>
          <w:sz w:val="24"/>
          <w:szCs w:val="24"/>
          <w:lang w:val="en-US" w:eastAsia="zh-CN"/>
        </w:rPr>
      </w:pPr>
      <w:r>
        <w:rPr>
          <w:rFonts w:ascii="Times New Roman" w:cs="Times New Roman" w:hAnsi="Times New Roman" w:hint="eastAsia"/>
          <w:sz w:val="24"/>
          <w:szCs w:val="24"/>
          <w:lang w:val="en-US" w:eastAsia="zh-CN"/>
        </w:rPr>
        <w:t>（2）产品档次定位，与市面同类产品或医院现有产品对比及优势</w:t>
      </w:r>
    </w:p>
    <w:p>
      <w:pPr>
        <w:pStyle w:val="style179"/>
        <w:numPr>
          <w:ilvl w:val="0"/>
          <w:numId w:val="0"/>
        </w:numPr>
        <w:spacing w:lineRule="auto" w:line="276"/>
        <w:ind w:leftChars="0"/>
        <w:rPr>
          <w:rFonts w:ascii="Times New Roman" w:cs="Times New Roman" w:hAnsi="Times New Roman" w:hint="eastAsia"/>
          <w:sz w:val="24"/>
          <w:szCs w:val="24"/>
          <w:lang w:val="en-US" w:eastAsia="zh-CN"/>
        </w:rPr>
      </w:pPr>
      <w:r>
        <w:rPr>
          <w:rFonts w:ascii="Times New Roman" w:cs="Times New Roman" w:hAnsi="Times New Roman" w:hint="eastAsia"/>
          <w:sz w:val="24"/>
          <w:szCs w:val="24"/>
          <w:lang w:val="en-US" w:eastAsia="zh-CN"/>
        </w:rPr>
        <w:t>（3）售后服务（维修工程师数量、巡检周期、备件库情况等）</w:t>
      </w:r>
    </w:p>
    <w:p>
      <w:pPr>
        <w:pStyle w:val="style179"/>
        <w:numPr>
          <w:ilvl w:val="0"/>
          <w:numId w:val="0"/>
        </w:numPr>
        <w:spacing w:lineRule="auto" w:line="276"/>
        <w:ind w:leftChars="0"/>
        <w:rPr>
          <w:rFonts w:ascii="Times New Roman" w:cs="Times New Roman" w:hAnsi="Times New Roman" w:hint="eastAsia"/>
          <w:sz w:val="24"/>
          <w:szCs w:val="24"/>
          <w:lang w:val="en-US" w:eastAsia="zh-CN"/>
        </w:rPr>
      </w:pPr>
      <w:r>
        <w:rPr>
          <w:rFonts w:ascii="Times New Roman" w:cs="Times New Roman" w:hAnsi="Times New Roman" w:hint="eastAsia"/>
          <w:sz w:val="24"/>
          <w:szCs w:val="24"/>
          <w:lang w:val="en-US" w:eastAsia="zh-CN"/>
        </w:rPr>
        <w:t>（4）设备配置方案及对应价格</w:t>
      </w:r>
    </w:p>
    <w:p>
      <w:pPr>
        <w:pStyle w:val="style179"/>
        <w:numPr>
          <w:ilvl w:val="0"/>
          <w:numId w:val="0"/>
        </w:numPr>
        <w:spacing w:lineRule="auto" w:line="276"/>
        <w:ind w:leftChars="0"/>
        <w:rPr>
          <w:rFonts w:ascii="Times New Roman" w:cs="Times New Roman" w:hAnsi="Times New Roman" w:hint="eastAsia"/>
          <w:sz w:val="24"/>
          <w:szCs w:val="24"/>
          <w:lang w:val="en-US" w:eastAsia="zh-CN"/>
        </w:rPr>
      </w:pPr>
      <w:r>
        <w:rPr>
          <w:rFonts w:ascii="Times New Roman" w:cs="Times New Roman" w:hAnsi="Times New Roman" w:hint="eastAsia"/>
          <w:sz w:val="24"/>
          <w:szCs w:val="24"/>
          <w:lang w:val="en-US" w:eastAsia="zh-CN"/>
        </w:rPr>
        <w:t>（5）专用耗材/试剂/易损部件讲解（功能特点、价格）</w:t>
      </w:r>
    </w:p>
    <w:p>
      <w:pPr>
        <w:pStyle w:val="style179"/>
        <w:numPr>
          <w:ilvl w:val="0"/>
          <w:numId w:val="0"/>
        </w:numPr>
        <w:spacing w:lineRule="auto" w:line="276"/>
        <w:ind w:leftChars="0"/>
        <w:rPr>
          <w:rFonts w:ascii="Times New Roman" w:cs="Times New Roman" w:hAnsi="Times New Roman" w:hint="eastAsia"/>
          <w:sz w:val="24"/>
          <w:szCs w:val="24"/>
          <w:lang w:val="en-US" w:eastAsia="zh-CN"/>
        </w:rPr>
      </w:pPr>
    </w:p>
    <w:p>
      <w:pPr>
        <w:pStyle w:val="style179"/>
        <w:numPr>
          <w:ilvl w:val="0"/>
          <w:numId w:val="0"/>
        </w:numPr>
        <w:spacing w:lineRule="auto" w:line="276"/>
        <w:ind w:leftChars="0"/>
        <w:rPr>
          <w:rFonts w:ascii="Times New Roman" w:cs="Times New Roman" w:hAnsi="Times New Roman" w:hint="eastAsia"/>
          <w:sz w:val="24"/>
          <w:szCs w:val="24"/>
          <w:lang w:val="en-US" w:eastAsia="zh-CN"/>
        </w:rPr>
      </w:pPr>
      <w:r>
        <w:rPr>
          <w:rFonts w:ascii="Times New Roman" w:cs="Times New Roman" w:hAnsi="Times New Roman" w:hint="eastAsia"/>
          <w:sz w:val="24"/>
          <w:szCs w:val="24"/>
          <w:lang w:val="en-US" w:eastAsia="zh-CN"/>
        </w:rPr>
        <w:t>3.请报名供应商参会前作以下准备：</w:t>
      </w:r>
    </w:p>
    <w:p>
      <w:pPr>
        <w:pStyle w:val="style179"/>
        <w:numPr>
          <w:ilvl w:val="0"/>
          <w:numId w:val="0"/>
        </w:numPr>
        <w:spacing w:lineRule="auto" w:line="276"/>
        <w:ind w:leftChars="0"/>
        <w:rPr>
          <w:rFonts w:ascii="Times New Roman" w:cs="Times New Roman" w:hAnsi="Times New Roman" w:hint="eastAsia"/>
          <w:sz w:val="24"/>
          <w:szCs w:val="24"/>
          <w:lang w:val="en-US" w:eastAsia="zh-CN"/>
        </w:rPr>
      </w:pPr>
      <w:r>
        <w:rPr>
          <w:rFonts w:ascii="Times New Roman" w:cs="Times New Roman" w:hAnsi="Times New Roman" w:hint="eastAsia"/>
          <w:sz w:val="24"/>
          <w:szCs w:val="24"/>
          <w:lang w:val="en-US" w:eastAsia="zh-CN"/>
        </w:rPr>
        <w:t>（1）参会人员需准备一个带有摄像头和麦克风的笔记本电脑。</w:t>
      </w:r>
    </w:p>
    <w:p>
      <w:pPr>
        <w:pStyle w:val="style179"/>
        <w:numPr>
          <w:ilvl w:val="0"/>
          <w:numId w:val="0"/>
        </w:numPr>
        <w:spacing w:lineRule="auto" w:line="276"/>
        <w:ind w:leftChars="0"/>
        <w:rPr>
          <w:rFonts w:ascii="Times New Roman" w:cs="Times New Roman" w:hAnsi="Times New Roman" w:hint="eastAsia"/>
          <w:sz w:val="24"/>
          <w:szCs w:val="24"/>
          <w:lang w:val="en-US" w:eastAsia="zh-CN"/>
        </w:rPr>
      </w:pPr>
      <w:r>
        <w:rPr>
          <w:rFonts w:ascii="Times New Roman" w:cs="Times New Roman" w:hAnsi="Times New Roman" w:hint="eastAsia"/>
          <w:sz w:val="24"/>
          <w:szCs w:val="24"/>
          <w:lang w:val="en-US" w:eastAsia="zh-CN"/>
        </w:rPr>
        <w:t>（2）参会人员需在笔记本电脑上下载腾讯会议，并注册。</w:t>
      </w:r>
    </w:p>
    <w:p>
      <w:pPr>
        <w:pStyle w:val="style179"/>
        <w:numPr>
          <w:ilvl w:val="0"/>
          <w:numId w:val="0"/>
        </w:numPr>
        <w:spacing w:lineRule="auto" w:line="276"/>
        <w:ind w:leftChars="0"/>
        <w:rPr>
          <w:rFonts w:ascii="Times New Roman" w:cs="Times New Roman" w:hAnsi="Times New Roman" w:hint="eastAsia"/>
          <w:sz w:val="24"/>
          <w:szCs w:val="24"/>
          <w:lang w:val="en-US" w:eastAsia="zh-CN"/>
        </w:rPr>
      </w:pPr>
      <w:r>
        <w:rPr>
          <w:rFonts w:ascii="Times New Roman" w:cs="Times New Roman" w:hAnsi="Times New Roman" w:hint="eastAsia"/>
          <w:sz w:val="24"/>
          <w:szCs w:val="24"/>
          <w:lang w:val="en-US" w:eastAsia="zh-CN"/>
        </w:rPr>
        <w:t>（3）修改昵称。供应商昵称为“公司全称+姓名，例如：‘成都中瑞科技有限公司张三’”。</w:t>
      </w:r>
    </w:p>
    <w:p>
      <w:pPr>
        <w:pStyle w:val="style179"/>
        <w:numPr>
          <w:ilvl w:val="0"/>
          <w:numId w:val="0"/>
        </w:numPr>
        <w:spacing w:lineRule="auto" w:line="276"/>
        <w:ind w:leftChars="0"/>
        <w:rPr>
          <w:rFonts w:ascii="Times New Roman" w:cs="Times New Roman" w:hAnsi="Times New Roman" w:hint="eastAsia"/>
          <w:sz w:val="24"/>
          <w:szCs w:val="24"/>
          <w:lang w:val="en-US" w:eastAsia="zh-CN"/>
        </w:rPr>
      </w:pPr>
    </w:p>
    <w:p>
      <w:pPr>
        <w:pStyle w:val="style0"/>
        <w:spacing w:lineRule="auto" w:line="276"/>
        <w:rPr>
          <w:rFonts w:ascii="Times New Roman" w:cs="Times New Roman" w:hAnsi="Times New Roman" w:hint="eastAsia"/>
          <w:sz w:val="24"/>
          <w:szCs w:val="24"/>
          <w:lang w:val="en-US" w:eastAsia="zh-CN"/>
        </w:rPr>
      </w:pPr>
      <w:r>
        <w:rPr>
          <w:rFonts w:ascii="Times New Roman" w:cs="Times New Roman" w:hAnsi="Times New Roman" w:hint="eastAsia"/>
          <w:sz w:val="24"/>
          <w:szCs w:val="24"/>
          <w:lang w:val="en-US" w:eastAsia="zh-CN"/>
        </w:rPr>
        <w:t>4.</w:t>
      </w:r>
      <w:r>
        <w:rPr>
          <w:rFonts w:ascii="Times New Roman" w:cs="Times New Roman" w:hAnsi="Times New Roman" w:hint="eastAsia"/>
          <w:b/>
          <w:bCs/>
          <w:sz w:val="24"/>
          <w:szCs w:val="24"/>
          <w:lang w:val="en-US" w:eastAsia="zh-CN"/>
        </w:rPr>
        <w:t>报名结束后，我院将向各供应商在信息采集表中填写的电子邮箱发送推荐日具体日期（2023年3月23日下午2点30开始开始举行）及网上参会教程，请注意查收邮件（我院将使用地址为：</w:t>
      </w:r>
      <w:r>
        <w:rPr>
          <w:rFonts w:ascii="Times New Roman" w:cs="Times New Roman" w:hAnsi="Times New Roman" w:hint="eastAsia"/>
          <w:b/>
          <w:bCs/>
          <w:sz w:val="24"/>
          <w:szCs w:val="24"/>
          <w:lang w:val="en-US" w:eastAsia="zh-CN"/>
        </w:rPr>
        <w:fldChar w:fldCharType="begin"/>
      </w:r>
      <w:r>
        <w:rPr>
          <w:rFonts w:ascii="Times New Roman" w:cs="Times New Roman" w:hAnsi="Times New Roman" w:hint="eastAsia"/>
          <w:b/>
          <w:bCs/>
          <w:sz w:val="24"/>
          <w:szCs w:val="24"/>
          <w:lang w:val="en-US" w:eastAsia="zh-CN"/>
        </w:rPr>
        <w:instrText xml:space="preserve"> HYPERLINK "mailto:3127422908@qq.com的电子邮箱发送邮件）。" </w:instrText>
      </w:r>
      <w:r>
        <w:rPr>
          <w:rFonts w:ascii="Times New Roman" w:cs="Times New Roman" w:hAnsi="Times New Roman" w:hint="eastAsia"/>
          <w:b/>
          <w:bCs/>
          <w:sz w:val="24"/>
          <w:szCs w:val="24"/>
          <w:lang w:val="en-US" w:eastAsia="zh-CN"/>
        </w:rPr>
        <w:fldChar w:fldCharType="separate"/>
      </w:r>
      <w:r>
        <w:rPr>
          <w:rFonts w:ascii="Times New Roman" w:cs="Times New Roman" w:hAnsi="Times New Roman" w:hint="eastAsia"/>
          <w:b/>
          <w:bCs/>
          <w:sz w:val="24"/>
          <w:szCs w:val="24"/>
          <w:lang w:val="en-US" w:eastAsia="zh-CN"/>
        </w:rPr>
        <w:t>sbc3214@vip.163.com的电子邮箱发送邮件）。</w:t>
      </w:r>
      <w:r>
        <w:rPr>
          <w:rFonts w:ascii="Times New Roman" w:cs="Times New Roman" w:hAnsi="Times New Roman" w:hint="eastAsia"/>
          <w:b/>
          <w:bCs/>
          <w:sz w:val="24"/>
          <w:szCs w:val="24"/>
          <w:lang w:val="en-US" w:eastAsia="zh-CN"/>
        </w:rPr>
        <w:fldChar w:fldCharType="end"/>
      </w:r>
    </w:p>
    <w:p>
      <w:pPr>
        <w:pStyle w:val="style179"/>
        <w:numPr>
          <w:ilvl w:val="0"/>
          <w:numId w:val="0"/>
        </w:numPr>
        <w:spacing w:lineRule="auto" w:line="276"/>
        <w:ind w:leftChars="0"/>
        <w:rPr>
          <w:rFonts w:ascii="Times New Roman" w:cs="Times New Roman" w:hAnsi="Times New Roman" w:hint="eastAsia"/>
          <w:sz w:val="24"/>
          <w:szCs w:val="24"/>
          <w:lang w:val="en-US" w:eastAsia="zh-CN"/>
        </w:rPr>
      </w:pPr>
      <w:r>
        <w:rPr>
          <w:rFonts w:ascii="Times New Roman" w:cs="Times New Roman" w:hAnsi="Times New Roman" w:hint="eastAsia"/>
          <w:sz w:val="24"/>
          <w:szCs w:val="24"/>
          <w:lang w:val="en-US" w:eastAsia="zh-CN"/>
        </w:rPr>
        <w:t>5.报名后至推荐日期间，请务必保持通讯畅通，并按照邮件通知的时间准时参会。</w:t>
      </w:r>
    </w:p>
    <w:p>
      <w:pPr>
        <w:pStyle w:val="style179"/>
        <w:numPr>
          <w:ilvl w:val="0"/>
          <w:numId w:val="0"/>
        </w:numPr>
        <w:spacing w:lineRule="auto" w:line="276"/>
        <w:ind w:leftChars="0"/>
        <w:rPr>
          <w:rFonts w:ascii="Times New Roman" w:cs="Times New Roman" w:hAnsi="Times New Roman" w:hint="eastAsia"/>
          <w:sz w:val="24"/>
          <w:szCs w:val="24"/>
          <w:lang w:val="en-US" w:eastAsia="zh-CN"/>
        </w:rPr>
      </w:pPr>
      <w:r>
        <w:rPr>
          <w:rFonts w:ascii="Times New Roman" w:cs="Times New Roman" w:hAnsi="Times New Roman" w:hint="eastAsia"/>
          <w:sz w:val="24"/>
          <w:szCs w:val="24"/>
          <w:lang w:val="en-US" w:eastAsia="zh-CN"/>
        </w:rPr>
        <w:t>6.本次推荐日相关安排如有变动，将通过医院官网发布公告，请注意关注。</w:t>
      </w:r>
    </w:p>
    <w:p>
      <w:pPr>
        <w:pStyle w:val="style179"/>
        <w:numPr>
          <w:ilvl w:val="0"/>
          <w:numId w:val="0"/>
        </w:numPr>
        <w:spacing w:lineRule="auto" w:line="276"/>
        <w:ind w:leftChars="0"/>
        <w:rPr>
          <w:rFonts w:ascii="Times New Roman" w:cs="Times New Roman" w:hAnsi="Times New Roman" w:hint="eastAsia"/>
          <w:sz w:val="24"/>
          <w:szCs w:val="24"/>
          <w:lang w:val="en-US" w:eastAsia="zh-CN"/>
        </w:rPr>
      </w:pPr>
      <w:r>
        <w:rPr>
          <w:rFonts w:ascii="Times New Roman" w:cs="Times New Roman" w:hAnsi="Times New Roman" w:hint="eastAsia"/>
          <w:sz w:val="24"/>
          <w:szCs w:val="24"/>
          <w:lang w:val="en-US" w:eastAsia="zh-CN"/>
        </w:rPr>
        <w:t>7.参加本次推荐日的供应商请自觉服从医院的安排管理，否则将按照我院相关办法处理。</w:t>
      </w:r>
    </w:p>
    <w:p>
      <w:pPr>
        <w:pStyle w:val="style179"/>
        <w:numPr>
          <w:ilvl w:val="0"/>
          <w:numId w:val="0"/>
        </w:numPr>
        <w:spacing w:lineRule="auto" w:line="276"/>
        <w:ind w:leftChars="0"/>
        <w:rPr>
          <w:rFonts w:ascii="Times New Roman" w:cs="Times New Roman" w:hAnsi="Times New Roman" w:hint="eastAsia"/>
          <w:sz w:val="24"/>
          <w:szCs w:val="24"/>
          <w:lang w:val="en-US" w:eastAsia="zh-CN"/>
        </w:rPr>
      </w:pPr>
      <w:r>
        <w:rPr>
          <w:rFonts w:ascii="Times New Roman" w:cs="Times New Roman" w:hAnsi="Times New Roman" w:hint="eastAsia"/>
          <w:sz w:val="24"/>
          <w:szCs w:val="24"/>
          <w:lang w:val="en-US" w:eastAsia="zh-CN"/>
        </w:rPr>
        <w:t>8.我院黑名单中的设备厂家及供应商不得参加本次推荐日活动。</w:t>
      </w:r>
    </w:p>
    <w:p>
      <w:pPr>
        <w:pStyle w:val="style179"/>
        <w:numPr>
          <w:ilvl w:val="0"/>
          <w:numId w:val="0"/>
        </w:numPr>
        <w:spacing w:lineRule="auto" w:line="276"/>
        <w:ind w:leftChars="0"/>
        <w:rPr>
          <w:rFonts w:ascii="Times New Roman" w:cs="Times New Roman" w:hAnsi="Times New Roman" w:hint="eastAsia"/>
          <w:sz w:val="24"/>
          <w:szCs w:val="24"/>
          <w:lang w:val="en-US" w:eastAsia="zh-CN"/>
        </w:rPr>
      </w:pPr>
      <w:r>
        <w:rPr>
          <w:rFonts w:ascii="Times New Roman" w:cs="Times New Roman" w:hAnsi="Times New Roman" w:hint="eastAsia"/>
          <w:sz w:val="24"/>
          <w:szCs w:val="24"/>
          <w:lang w:val="en-US" w:eastAsia="zh-CN"/>
        </w:rPr>
        <w:t>9.本次调研现场无二次报价环节，请务必确保线上信息收集及PPT宣讲中的最终报价的真实有效性。</w:t>
      </w:r>
    </w:p>
    <w:p>
      <w:pPr>
        <w:pStyle w:val="style179"/>
        <w:numPr>
          <w:ilvl w:val="0"/>
          <w:numId w:val="0"/>
        </w:numPr>
        <w:spacing w:lineRule="auto" w:line="276"/>
        <w:ind w:leftChars="0"/>
        <w:rPr>
          <w:rFonts w:ascii="Times New Roman" w:cs="Times New Roman" w:hAnsi="Times New Roman" w:hint="eastAsia"/>
          <w:sz w:val="24"/>
          <w:szCs w:val="24"/>
          <w:lang w:val="en-US" w:eastAsia="zh-CN"/>
        </w:rPr>
      </w:pPr>
    </w:p>
    <w:p>
      <w:pPr>
        <w:pStyle w:val="style179"/>
        <w:numPr>
          <w:ilvl w:val="0"/>
          <w:numId w:val="0"/>
        </w:numPr>
        <w:spacing w:lineRule="auto" w:line="276"/>
        <w:ind w:leftChars="0"/>
        <w:rPr>
          <w:rFonts w:ascii="Times New Roman" w:cs="Times New Roman" w:hAnsi="Times New Roman" w:hint="eastAsia"/>
          <w:sz w:val="24"/>
          <w:szCs w:val="24"/>
          <w:lang w:val="en-US" w:eastAsia="zh-CN"/>
        </w:rPr>
      </w:pPr>
    </w:p>
    <w:p>
      <w:pPr>
        <w:pStyle w:val="style179"/>
        <w:numPr>
          <w:ilvl w:val="0"/>
          <w:numId w:val="0"/>
        </w:numPr>
        <w:spacing w:lineRule="auto" w:line="276"/>
        <w:ind w:leftChars="0"/>
        <w:rPr>
          <w:rFonts w:ascii="Times New Roman" w:cs="Times New Roman" w:hAnsi="Times New Roman" w:hint="eastAsia"/>
          <w:sz w:val="24"/>
          <w:szCs w:val="24"/>
          <w:lang w:val="en-US" w:eastAsia="zh-CN"/>
        </w:rPr>
      </w:pPr>
      <w:r>
        <w:rPr>
          <w:rFonts w:ascii="Times New Roman" w:cs="Times New Roman" w:hAnsi="Times New Roman" w:hint="eastAsia"/>
          <w:sz w:val="24"/>
          <w:szCs w:val="24"/>
          <w:lang w:val="en-US" w:eastAsia="zh-CN"/>
        </w:rPr>
        <w:t>招标采购中心   林老师   028-87393387</w:t>
      </w:r>
    </w:p>
    <w:p>
      <w:pPr>
        <w:pStyle w:val="style179"/>
        <w:numPr>
          <w:ilvl w:val="0"/>
          <w:numId w:val="0"/>
        </w:numPr>
        <w:spacing w:lineRule="auto" w:line="276"/>
        <w:ind w:leftChars="0"/>
        <w:rPr>
          <w:rFonts w:ascii="Times New Roman" w:cs="Times New Roman" w:hAnsi="Times New Roman" w:hint="eastAsia"/>
          <w:sz w:val="24"/>
          <w:szCs w:val="24"/>
          <w:lang w:val="en-US" w:eastAsia="zh-CN"/>
        </w:rPr>
      </w:pPr>
      <w:r>
        <w:rPr>
          <w:rFonts w:ascii="Times New Roman" w:cs="Times New Roman" w:hAnsi="Times New Roman" w:hint="eastAsia"/>
          <w:sz w:val="24"/>
          <w:szCs w:val="24"/>
          <w:lang w:val="en-US" w:eastAsia="zh-CN"/>
        </w:rPr>
        <w:t>医学装备部     宫老师   028-87393326</w:t>
      </w:r>
    </w:p>
    <w:p>
      <w:pPr>
        <w:pStyle w:val="style179"/>
        <w:numPr>
          <w:ilvl w:val="0"/>
          <w:numId w:val="0"/>
        </w:numPr>
        <w:spacing w:lineRule="auto" w:line="276"/>
        <w:ind w:leftChars="0"/>
        <w:rPr>
          <w:rFonts w:ascii="Times New Roman" w:cs="Times New Roman" w:hAnsi="Times New Roman" w:hint="eastAsia"/>
          <w:sz w:val="24"/>
          <w:szCs w:val="24"/>
          <w:lang w:val="en-US" w:eastAsia="zh-CN"/>
        </w:rPr>
      </w:pPr>
      <w:r>
        <w:rPr>
          <w:rFonts w:ascii="Times New Roman" w:cs="Times New Roman" w:hAnsi="Times New Roman" w:hint="eastAsia"/>
          <w:sz w:val="24"/>
          <w:szCs w:val="24"/>
          <w:lang w:val="en-US" w:eastAsia="zh-CN"/>
        </w:rPr>
        <w:t>审  计  部              028-87394709</w:t>
      </w:r>
    </w:p>
    <w:sectPr>
      <w:headerReference w:type="default" r:id="rId2"/>
      <w:footerReference w:type="default" r:id="rId3"/>
      <w:pgSz w:w="11906" w:h="16838" w:orient="portrait"/>
      <w:pgMar w:top="1134" w:right="851" w:bottom="1134" w:left="851"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2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EFF" w:usb1="C000785B"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E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4002EFF" w:usb1="C200247B" w:usb2="00000009" w:usb3="00000000" w:csb0="200001F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jc w:val="center"/>
      <w:rPr>
        <w:rFonts w:ascii="宋体" w:eastAsia="宋体" w:hAnsi="宋体"/>
      </w:rPr>
    </w:pPr>
    <w:r>
      <w:rPr/>
      <mc:AlternateContent>
        <mc:Choice Requires="wps">
          <w:drawing>
            <wp:anchor distT="0" distB="0" distL="0" distR="0" simplePos="false" relativeHeight="2" behindDoc="false" locked="false" layoutInCell="true" allowOverlap="true">
              <wp:simplePos x="0" y="0"/>
              <wp:positionH relativeFrom="margin">
                <wp:align>inside</wp:align>
              </wp:positionH>
              <wp:positionV relativeFrom="paragraph">
                <wp:posOffset>0</wp:posOffset>
              </wp:positionV>
              <wp:extent cx="1828800" cy="1828800"/>
              <wp:effectExtent l="0" t="0" r="0" b="0"/>
              <wp:wrapNone/>
              <wp:docPr id="4097" name="Text Box 102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828800" cy="1828800"/>
                      </a:xfrm>
                      <a:prstGeom prst="rect"/>
                      <a:ln>
                        <a:noFill/>
                      </a:ln>
                    </wps:spPr>
                    <wps:txbx id="4097">
                      <w:txbxContent>
                        <w:p>
                          <w:pPr>
                            <w:pStyle w:val="style32"/>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- 1 -</w:t>
                          </w:r>
                          <w:r>
                            <w:rPr>
                              <w:rFonts w:hint="eastAsia"/>
                              <w:sz w:val="28"/>
                              <w:szCs w:val="28"/>
                            </w:rPr>
                            <w:fldChar w:fldCharType="end"/>
                          </w:r>
                        </w:p>
                      </w:txbxContent>
                    </wps:txbx>
                    <wps:bodyPr lIns="0" rIns="0" tIns="0" bIns="0" anchor="t" wrap="none" upright="true">
                      <a:prstTxWarp prst="textNoShape"/>
                      <a:spAutoFit/>
                    </wps:bodyPr>
                  </wps:wsp>
                </a:graphicData>
              </a:graphic>
            </wp:anchor>
          </w:drawing>
        </mc:Choice>
        <mc:Fallback>
          <w:pict>
            <v:rect id="4097" filled="f" stroked="f" style="position:absolute;margin-left:0.0pt;margin-top:0.0pt;width:144.0pt;height:144.0pt;z-index:2;mso-position-horizontal:inside;mso-position-horizontal-relative:margin;mso-position-vertical-relative:text;mso-width-relative:page;mso-height-relative:page;mso-wrap-distance-left:0.0pt;mso-wrap-distance-right:0.0pt;visibility:visible;mso-wrap-style:none;">
              <v:stroke on="f"/>
              <v:fill/>
              <v:textbox inset="0.0pt,0.0pt,0.0pt,0.0pt" style="mso-fit-shape-to-text:true;">
                <w:txbxContent>
                  <w:p>
                    <w:pPr>
                      <w:pStyle w:val="style32"/>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- 1 -</w:t>
                    </w:r>
                    <w:r>
                      <w:rPr>
                        <w:rFonts w:hint="eastAsia"/>
                        <w:sz w:val="28"/>
                        <w:szCs w:val="28"/>
                      </w:rPr>
                      <w:fldChar w:fldCharType="end"/>
                    </w:r>
                  </w:p>
                </w:txbxContent>
              </v:textbox>
            </v:rect>
          </w:pict>
        </mc:Fallback>
      </mc:AlternateContent>
    </w:r>
  </w:p>
  <w:p>
    <w:pPr>
      <w:pStyle w:val="style32"/>
      <w:jc w:val="center"/>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pBdr>
        <w:bottom w:val="none" w:sz="0" w:space="1" w:color="auto"/>
      </w:pBdr>
      <w:tabs>
        <w:tab w:val="clear" w:pos="4153"/>
      </w:tabs>
      <w:jc w:val="both"/>
      <w:rPr>
        <w:rFonts w:ascii="宋体" w:eastAsia="宋体" w:hAnsi="宋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7F5948C1"/>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210"/>
  <w:drawingGridVerticalSpacing w:val="156"/>
  <w:displayHorizontalDrawingGridEvery w:val="1"/>
  <w:displayVerticalDrawingGridEvery w:val="1"/>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2"/>
      <w:lang w:val="en-US" w:bidi="ar-SA" w:eastAsia="zh-CN"/>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CellMar>
        <w:top w:w="0" w:type="dxa"/>
        <w:left w:w="108" w:type="dxa"/>
        <w:bottom w:w="0" w:type="dxa"/>
        <w:right w:w="108" w:type="dxa"/>
      </w:tblCellMar>
    </w:tblPr>
    <w:tcPr>
      <w:tcBorders/>
    </w:tcPr>
  </w:style>
  <w:style w:type="paragraph" w:styleId="style153">
    <w:name w:val="Balloon Text"/>
    <w:basedOn w:val="style0"/>
    <w:next w:val="style153"/>
    <w:link w:val="style4099"/>
    <w:qFormat/>
    <w:uiPriority w:val="99"/>
    <w:pPr/>
    <w:rPr>
      <w:sz w:val="18"/>
      <w:szCs w:val="18"/>
    </w:rPr>
  </w:style>
  <w:style w:type="paragraph" w:styleId="style32">
    <w:name w:val="footer"/>
    <w:basedOn w:val="style0"/>
    <w:next w:val="style32"/>
    <w:link w:val="style4098"/>
    <w:qFormat/>
    <w:uiPriority w:val="99"/>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097"/>
    <w:qFormat/>
    <w:uiPriority w:val="0"/>
    <w:pPr>
      <w:pBdr>
        <w:bottom w:val="single" w:sz="6" w:space="1" w:color="auto"/>
      </w:pBdr>
      <w:tabs>
        <w:tab w:val="center" w:leader="none" w:pos="4153"/>
        <w:tab w:val="right" w:leader="none" w:pos="8306"/>
      </w:tabs>
      <w:snapToGrid w:val="false"/>
      <w:jc w:val="center"/>
    </w:pPr>
    <w:rPr>
      <w:sz w:val="18"/>
      <w:szCs w:val="18"/>
    </w:rPr>
  </w:style>
  <w:style w:type="paragraph" w:styleId="style94">
    <w:name w:val="Normal (Web)"/>
    <w:basedOn w:val="style0"/>
    <w:next w:val="style94"/>
    <w:qFormat/>
    <w:uiPriority w:val="99"/>
    <w:pPr>
      <w:spacing w:before="0" w:beforeAutospacing="true" w:after="0" w:afterAutospacing="true"/>
      <w:ind w:left="0" w:right="0"/>
      <w:jc w:val="left"/>
    </w:pPr>
    <w:rPr>
      <w:kern w:val="0"/>
      <w:sz w:val="24"/>
      <w:lang w:val="en-US" w:eastAsia="zh-CN"/>
    </w:rPr>
  </w:style>
  <w:style w:type="table" w:styleId="style154">
    <w:name w:val="Table Grid"/>
    <w:basedOn w:val="style105"/>
    <w:next w:val="style154"/>
    <w:qFormat/>
    <w:uiPriority w:val="39"/>
    <w:pP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Borders/>
    </w:tcPr>
  </w:style>
  <w:style w:type="character" w:styleId="style85">
    <w:name w:val="Hyperlink"/>
    <w:basedOn w:val="style65"/>
    <w:next w:val="style85"/>
    <w:qFormat/>
    <w:uiPriority w:val="99"/>
    <w:rPr>
      <w:color w:val="0000ff"/>
      <w:u w:val="single"/>
    </w:rPr>
  </w:style>
  <w:style w:type="character" w:customStyle="1" w:styleId="style4097">
    <w:name w:val="Header Char_aba186d2-b356-4073-a98a-da2d8034ba29"/>
    <w:basedOn w:val="style65"/>
    <w:next w:val="style4097"/>
    <w:link w:val="style31"/>
    <w:qFormat/>
    <w:uiPriority w:val="99"/>
    <w:rPr>
      <w:sz w:val="18"/>
      <w:szCs w:val="18"/>
    </w:rPr>
  </w:style>
  <w:style w:type="character" w:customStyle="1" w:styleId="style4098">
    <w:name w:val="Footer Char_5137f363-1507-4904-89c4-561cd62162b9"/>
    <w:basedOn w:val="style65"/>
    <w:next w:val="style4098"/>
    <w:link w:val="style32"/>
    <w:qFormat/>
    <w:uiPriority w:val="99"/>
    <w:rPr>
      <w:sz w:val="18"/>
      <w:szCs w:val="18"/>
    </w:rPr>
  </w:style>
  <w:style w:type="character" w:customStyle="1" w:styleId="style4099">
    <w:name w:val="Balloon Text Char"/>
    <w:basedOn w:val="style65"/>
    <w:next w:val="style4099"/>
    <w:link w:val="style153"/>
    <w:qFormat/>
    <w:uiPriority w:val="99"/>
    <w:rPr>
      <w:sz w:val="18"/>
      <w:szCs w:val="18"/>
    </w:rPr>
  </w:style>
  <w:style w:type="character" w:customStyle="1" w:styleId="style4100">
    <w:name w:val="未处理的提及1"/>
    <w:basedOn w:val="style65"/>
    <w:next w:val="style4100"/>
    <w:qFormat/>
    <w:uiPriority w:val="99"/>
    <w:rPr>
      <w:color w:val="605e5c"/>
      <w:shd w:val="clear" w:color="auto" w:fill="e1dfdd"/>
    </w:rPr>
  </w:style>
  <w:style w:type="paragraph" w:styleId="style179">
    <w:name w:val="List Paragraph"/>
    <w:basedOn w:val="style0"/>
    <w:next w:val="style179"/>
    <w:qFormat/>
    <w:uiPriority w:val="99"/>
    <w:pPr>
      <w:ind w:firstLine="420" w:firstLineChars="200"/>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styles" Target="styles.xml"/><Relationship Id="rId9" Type="http://schemas.openxmlformats.org/officeDocument/2006/relationships/customXml" Target="../customXml/item2.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DD25C9-3768-CF4F-AD2D-3B6A95B598A7}">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Words>1186</Words>
  <Pages>2</Pages>
  <Characters>1272</Characters>
  <Application>WPS Office</Application>
  <DocSecurity>0</DocSecurity>
  <Paragraphs>61</Paragraphs>
  <ScaleCrop>false</ScaleCrop>
  <Company>Microsoft</Company>
  <LinksUpToDate>false</LinksUpToDate>
  <CharactersWithSpaces>1312</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2020-04-21T02:03:00Z</dcterms:created>
  <dc:creator>用户</dc:creator>
  <lastModifiedBy>HD1900</lastModifiedBy>
  <lastPrinted>2019-05-16T02:22:00Z</lastPrinted>
  <dcterms:modified xsi:type="dcterms:W3CDTF">2023-03-17T10:33:05Z</dcterms:modified>
  <revision>15</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386079b8e13149b893d771e900a15918_23</vt:lpwstr>
  </property>
</Properties>
</file>