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3ADC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rPr>
          <w:rFonts w:hint="eastAsia" w:ascii="黑体" w:hAnsi="黑体" w:eastAsia="黑体" w:cs="黑体"/>
          <w:sz w:val="36"/>
          <w:szCs w:val="36"/>
          <w:lang w:val="en-US" w:eastAsia="zh-CN"/>
        </w:rPr>
      </w:pPr>
      <w:r>
        <w:rPr>
          <w:rFonts w:hint="eastAsia" w:ascii="黑体" w:hAnsi="黑体" w:eastAsia="黑体" w:cs="黑体"/>
          <w:sz w:val="36"/>
          <w:szCs w:val="36"/>
        </w:rPr>
        <w:t>川渝医院采购联盟</w:t>
      </w:r>
    </w:p>
    <w:p w14:paraId="0E6F3ED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rPr>
          <w:rFonts w:hint="default" w:ascii="黑体" w:hAnsi="黑体" w:eastAsia="黑体" w:cs="黑体"/>
          <w:sz w:val="36"/>
          <w:szCs w:val="36"/>
          <w:lang w:val="en-US" w:eastAsia="zh-CN"/>
        </w:rPr>
      </w:pPr>
      <w:r>
        <w:rPr>
          <w:rFonts w:hint="eastAsia" w:ascii="黑体" w:hAnsi="黑体" w:eastAsia="黑体" w:cs="黑体"/>
          <w:sz w:val="36"/>
          <w:szCs w:val="36"/>
          <w:lang w:val="en-US" w:eastAsia="zh-CN"/>
        </w:rPr>
        <w:t>202</w:t>
      </w:r>
      <w:r>
        <w:rPr>
          <w:rFonts w:hint="eastAsia" w:ascii="黑体" w:hAnsi="黑体" w:eastAsia="黑体" w:cs="黑体"/>
          <w:sz w:val="36"/>
          <w:szCs w:val="36"/>
          <w:u w:val="single"/>
          <w:lang w:val="en-US" w:eastAsia="zh-CN"/>
        </w:rPr>
        <w:t xml:space="preserve">  </w:t>
      </w:r>
      <w:r>
        <w:rPr>
          <w:rFonts w:hint="eastAsia" w:ascii="黑体" w:hAnsi="黑体" w:eastAsia="黑体" w:cs="黑体"/>
          <w:sz w:val="36"/>
          <w:szCs w:val="36"/>
          <w:lang w:val="en-US" w:eastAsia="zh-CN"/>
        </w:rPr>
        <w:t>年医疗设备集中市场调研第</w:t>
      </w:r>
      <w:r>
        <w:rPr>
          <w:rFonts w:hint="eastAsia" w:ascii="黑体" w:hAnsi="黑体" w:eastAsia="黑体" w:cs="黑体"/>
          <w:sz w:val="36"/>
          <w:szCs w:val="36"/>
          <w:u w:val="single"/>
          <w:lang w:val="en-US" w:eastAsia="zh-CN"/>
        </w:rPr>
        <w:t xml:space="preserve">   </w:t>
      </w:r>
      <w:r>
        <w:rPr>
          <w:rFonts w:hint="eastAsia" w:ascii="黑体" w:hAnsi="黑体" w:eastAsia="黑体" w:cs="黑体"/>
          <w:sz w:val="36"/>
          <w:szCs w:val="36"/>
          <w:lang w:val="en-US" w:eastAsia="zh-CN"/>
        </w:rPr>
        <w:t>批调研公告</w:t>
      </w:r>
    </w:p>
    <w:p w14:paraId="0A0438E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（实</w:t>
      </w:r>
      <w:r>
        <w:rPr>
          <w:rFonts w:hint="eastAsia" w:ascii="黑体" w:hAnsi="黑体" w:eastAsia="黑体" w:cs="黑体"/>
          <w:sz w:val="36"/>
          <w:szCs w:val="36"/>
          <w:highlight w:val="none"/>
          <w:lang w:val="en-US" w:eastAsia="zh-CN"/>
        </w:rPr>
        <w:t>施单位：       ）</w:t>
      </w:r>
    </w:p>
    <w:p w14:paraId="4ED4C29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（项目编号：LC-202****-**）</w:t>
      </w:r>
    </w:p>
    <w:p w14:paraId="21D46383">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按照川渝医院采购联盟</w:t>
      </w:r>
      <w:r>
        <w:rPr>
          <w:rFonts w:hint="eastAsia" w:ascii="仿宋" w:hAnsi="仿宋" w:eastAsia="仿宋" w:cs="仿宋"/>
          <w:sz w:val="30"/>
          <w:szCs w:val="30"/>
          <w:lang w:val="en-US" w:eastAsia="zh-CN"/>
        </w:rPr>
        <w:t>项目组</w:t>
      </w:r>
      <w:r>
        <w:rPr>
          <w:rFonts w:hint="eastAsia" w:ascii="仿宋" w:hAnsi="仿宋" w:eastAsia="仿宋" w:cs="仿宋"/>
          <w:sz w:val="30"/>
          <w:szCs w:val="30"/>
        </w:rPr>
        <w:t>工作要求</w:t>
      </w:r>
      <w:r>
        <w:rPr>
          <w:rFonts w:hint="eastAsia" w:ascii="仿宋" w:hAnsi="仿宋" w:eastAsia="仿宋" w:cs="仿宋"/>
          <w:sz w:val="30"/>
          <w:szCs w:val="30"/>
          <w:lang w:val="en-US" w:eastAsia="zh-CN"/>
        </w:rPr>
        <w:t>，现公开发布</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年川渝医院采购联盟医疗设备集中市场调研第</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批需求面向社会公开征集调研设备的相关资料，</w:t>
      </w:r>
      <w:r>
        <w:rPr>
          <w:rFonts w:hint="eastAsia" w:ascii="仿宋" w:hAnsi="仿宋" w:eastAsia="仿宋" w:cs="仿宋"/>
          <w:sz w:val="30"/>
          <w:szCs w:val="30"/>
        </w:rPr>
        <w:t>欢迎具备合格资质、相应供应及服务能力的</w:t>
      </w:r>
      <w:r>
        <w:rPr>
          <w:rFonts w:hint="eastAsia" w:ascii="仿宋" w:hAnsi="仿宋" w:eastAsia="仿宋" w:cs="仿宋"/>
          <w:sz w:val="30"/>
          <w:szCs w:val="30"/>
          <w:lang w:val="en-US" w:eastAsia="zh-CN"/>
        </w:rPr>
        <w:t>生产厂家</w:t>
      </w:r>
      <w:r>
        <w:rPr>
          <w:rFonts w:hint="eastAsia" w:ascii="仿宋" w:hAnsi="仿宋" w:eastAsia="仿宋" w:cs="仿宋"/>
          <w:sz w:val="30"/>
          <w:szCs w:val="30"/>
        </w:rPr>
        <w:t>积极参加</w:t>
      </w:r>
      <w:r>
        <w:rPr>
          <w:rFonts w:hint="eastAsia" w:ascii="仿宋" w:hAnsi="仿宋" w:eastAsia="仿宋" w:cs="仿宋"/>
          <w:sz w:val="30"/>
          <w:szCs w:val="30"/>
          <w:lang w:val="en-US" w:eastAsia="zh-CN"/>
        </w:rPr>
        <w:t>本次调研</w:t>
      </w:r>
      <w:r>
        <w:rPr>
          <w:rFonts w:hint="eastAsia" w:ascii="仿宋" w:hAnsi="仿宋" w:eastAsia="仿宋" w:cs="仿宋"/>
          <w:sz w:val="30"/>
          <w:szCs w:val="30"/>
        </w:rPr>
        <w:t>。</w:t>
      </w:r>
    </w:p>
    <w:p w14:paraId="6F4675B8">
      <w:pPr>
        <w:pStyle w:val="17"/>
        <w:numPr>
          <w:ilvl w:val="0"/>
          <w:numId w:val="1"/>
        </w:numPr>
        <w:spacing w:line="360" w:lineRule="auto"/>
        <w:ind w:left="0" w:leftChars="0" w:firstLine="420" w:firstLineChars="0"/>
        <w:jc w:val="left"/>
        <w:rPr>
          <w:rFonts w:hint="eastAsia" w:ascii="仿宋" w:hAnsi="仿宋" w:eastAsia="仿宋" w:cs="仿宋"/>
          <w:sz w:val="30"/>
          <w:szCs w:val="30"/>
        </w:rPr>
      </w:pPr>
      <w:r>
        <w:rPr>
          <w:rFonts w:hint="eastAsia" w:ascii="仿宋" w:hAnsi="仿宋" w:eastAsia="仿宋" w:cs="仿宋"/>
          <w:sz w:val="30"/>
          <w:szCs w:val="30"/>
        </w:rPr>
        <w:t>调研项目清单</w:t>
      </w:r>
    </w:p>
    <w:tbl>
      <w:tblPr>
        <w:tblStyle w:val="8"/>
        <w:tblW w:w="8166" w:type="dxa"/>
        <w:jc w:val="center"/>
        <w:tblLayout w:type="fixed"/>
        <w:tblCellMar>
          <w:top w:w="0" w:type="dxa"/>
          <w:left w:w="108" w:type="dxa"/>
          <w:bottom w:w="0" w:type="dxa"/>
          <w:right w:w="108" w:type="dxa"/>
        </w:tblCellMar>
      </w:tblPr>
      <w:tblGrid>
        <w:gridCol w:w="1283"/>
        <w:gridCol w:w="3090"/>
        <w:gridCol w:w="1680"/>
        <w:gridCol w:w="2113"/>
      </w:tblGrid>
      <w:tr w14:paraId="2B8696D9">
        <w:tblPrEx>
          <w:tblCellMar>
            <w:top w:w="0" w:type="dxa"/>
            <w:left w:w="108" w:type="dxa"/>
            <w:bottom w:w="0" w:type="dxa"/>
            <w:right w:w="108" w:type="dxa"/>
          </w:tblCellMar>
        </w:tblPrEx>
        <w:trPr>
          <w:trHeight w:val="389" w:hRule="atLeast"/>
          <w:jc w:val="center"/>
        </w:trPr>
        <w:tc>
          <w:tcPr>
            <w:tcW w:w="12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B9B757">
            <w:pPr>
              <w:widowControl/>
              <w:spacing w:line="360" w:lineRule="auto"/>
              <w:jc w:val="center"/>
              <w:rPr>
                <w:rFonts w:hint="eastAsia" w:ascii="仿宋" w:hAnsi="仿宋" w:eastAsia="仿宋" w:cs="仿宋"/>
                <w:b/>
                <w:bCs/>
                <w:color w:val="000000"/>
                <w:kern w:val="0"/>
                <w:sz w:val="30"/>
                <w:szCs w:val="30"/>
                <w:lang w:val="zh-CN"/>
              </w:rPr>
            </w:pPr>
            <w:r>
              <w:rPr>
                <w:rFonts w:hint="eastAsia" w:ascii="仿宋" w:hAnsi="仿宋" w:eastAsia="仿宋" w:cs="仿宋"/>
                <w:b/>
                <w:bCs/>
                <w:color w:val="000000"/>
                <w:kern w:val="0"/>
                <w:sz w:val="30"/>
                <w:szCs w:val="30"/>
                <w:lang w:val="zh-CN"/>
              </w:rPr>
              <w:t>序号</w:t>
            </w:r>
          </w:p>
        </w:tc>
        <w:tc>
          <w:tcPr>
            <w:tcW w:w="3090" w:type="dxa"/>
            <w:tcBorders>
              <w:top w:val="single" w:color="auto" w:sz="4" w:space="0"/>
              <w:left w:val="nil"/>
              <w:bottom w:val="single" w:color="auto" w:sz="4" w:space="0"/>
              <w:right w:val="single" w:color="auto" w:sz="4" w:space="0"/>
            </w:tcBorders>
            <w:shd w:val="clear" w:color="auto" w:fill="auto"/>
            <w:noWrap/>
            <w:vAlign w:val="center"/>
          </w:tcPr>
          <w:p w14:paraId="164777AE">
            <w:pPr>
              <w:widowControl/>
              <w:spacing w:line="360" w:lineRule="auto"/>
              <w:jc w:val="center"/>
              <w:rPr>
                <w:rFonts w:hint="default" w:ascii="仿宋" w:hAnsi="仿宋" w:eastAsia="仿宋" w:cs="仿宋"/>
                <w:b/>
                <w:bCs/>
                <w:color w:val="000000"/>
                <w:kern w:val="0"/>
                <w:sz w:val="30"/>
                <w:szCs w:val="30"/>
                <w:lang w:val="en-US" w:eastAsia="zh-CN"/>
              </w:rPr>
            </w:pPr>
            <w:r>
              <w:rPr>
                <w:rFonts w:hint="eastAsia" w:ascii="仿宋" w:hAnsi="仿宋" w:eastAsia="仿宋" w:cs="仿宋"/>
                <w:b/>
                <w:bCs/>
                <w:color w:val="000000"/>
                <w:kern w:val="0"/>
                <w:sz w:val="30"/>
                <w:szCs w:val="30"/>
                <w:lang w:val="en-US" w:eastAsia="zh-CN"/>
              </w:rPr>
              <w:t>产品类别</w:t>
            </w:r>
          </w:p>
        </w:tc>
        <w:tc>
          <w:tcPr>
            <w:tcW w:w="1680" w:type="dxa"/>
            <w:tcBorders>
              <w:top w:val="single" w:color="auto" w:sz="4" w:space="0"/>
              <w:left w:val="nil"/>
              <w:bottom w:val="single" w:color="auto" w:sz="4" w:space="0"/>
              <w:right w:val="single" w:color="auto" w:sz="4" w:space="0"/>
            </w:tcBorders>
            <w:vAlign w:val="center"/>
          </w:tcPr>
          <w:p w14:paraId="42E2A489">
            <w:pPr>
              <w:spacing w:line="360" w:lineRule="auto"/>
              <w:jc w:val="center"/>
              <w:rPr>
                <w:rFonts w:hint="eastAsia" w:ascii="仿宋" w:hAnsi="仿宋" w:eastAsia="仿宋" w:cs="仿宋"/>
                <w:b/>
                <w:bCs/>
                <w:color w:val="000000"/>
                <w:kern w:val="0"/>
                <w:sz w:val="30"/>
                <w:szCs w:val="30"/>
                <w:lang w:val="zh-CN" w:eastAsia="zh-CN"/>
              </w:rPr>
            </w:pPr>
            <w:r>
              <w:rPr>
                <w:rFonts w:hint="eastAsia" w:ascii="仿宋" w:hAnsi="仿宋" w:eastAsia="仿宋" w:cs="仿宋"/>
                <w:b/>
                <w:bCs/>
                <w:color w:val="000000"/>
                <w:kern w:val="0"/>
                <w:sz w:val="30"/>
                <w:szCs w:val="30"/>
                <w:lang w:val="en-US" w:eastAsia="zh-CN"/>
              </w:rPr>
              <w:t>数量</w:t>
            </w:r>
          </w:p>
        </w:tc>
        <w:tc>
          <w:tcPr>
            <w:tcW w:w="2113" w:type="dxa"/>
            <w:tcBorders>
              <w:top w:val="single" w:color="auto" w:sz="4" w:space="0"/>
              <w:left w:val="nil"/>
              <w:bottom w:val="single" w:color="auto" w:sz="4" w:space="0"/>
              <w:right w:val="single" w:color="auto" w:sz="4" w:space="0"/>
            </w:tcBorders>
            <w:vAlign w:val="center"/>
          </w:tcPr>
          <w:p w14:paraId="3914C2AE">
            <w:pPr>
              <w:spacing w:line="360" w:lineRule="auto"/>
              <w:jc w:val="center"/>
              <w:rPr>
                <w:rFonts w:hint="eastAsia" w:ascii="仿宋" w:hAnsi="仿宋" w:eastAsia="仿宋" w:cs="仿宋"/>
                <w:b/>
                <w:bCs/>
                <w:color w:val="000000"/>
                <w:kern w:val="0"/>
                <w:sz w:val="30"/>
                <w:szCs w:val="30"/>
                <w:lang w:val="en-US" w:eastAsia="zh-CN"/>
              </w:rPr>
            </w:pPr>
            <w:r>
              <w:rPr>
                <w:rFonts w:hint="eastAsia" w:ascii="仿宋" w:hAnsi="仿宋" w:eastAsia="仿宋" w:cs="仿宋"/>
                <w:b/>
                <w:bCs/>
                <w:color w:val="000000"/>
                <w:kern w:val="0"/>
                <w:sz w:val="30"/>
                <w:szCs w:val="30"/>
                <w:lang w:val="en-US" w:eastAsia="zh-CN"/>
              </w:rPr>
              <w:t>备注</w:t>
            </w:r>
          </w:p>
        </w:tc>
      </w:tr>
      <w:tr w14:paraId="60F38EAB">
        <w:tblPrEx>
          <w:tblCellMar>
            <w:top w:w="0" w:type="dxa"/>
            <w:left w:w="108" w:type="dxa"/>
            <w:bottom w:w="0" w:type="dxa"/>
            <w:right w:w="108" w:type="dxa"/>
          </w:tblCellMar>
        </w:tblPrEx>
        <w:trPr>
          <w:trHeight w:val="269" w:hRule="atLeast"/>
          <w:jc w:val="center"/>
        </w:trPr>
        <w:tc>
          <w:tcPr>
            <w:tcW w:w="12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AD2EB4">
            <w:pPr>
              <w:keepNext w:val="0"/>
              <w:keepLines w:val="0"/>
              <w:widowControl/>
              <w:suppressLineNumbers w:val="0"/>
              <w:spacing w:line="360" w:lineRule="auto"/>
              <w:jc w:val="center"/>
              <w:textAlignment w:val="center"/>
              <w:rPr>
                <w:rFonts w:hint="eastAsia" w:ascii="仿宋" w:hAnsi="仿宋" w:eastAsia="仿宋" w:cs="仿宋"/>
                <w:sz w:val="30"/>
                <w:szCs w:val="30"/>
              </w:rPr>
            </w:pPr>
            <w:r>
              <w:rPr>
                <w:rFonts w:hint="eastAsia" w:ascii="仿宋" w:hAnsi="仿宋" w:eastAsia="仿宋" w:cs="仿宋"/>
                <w:i w:val="0"/>
                <w:iCs w:val="0"/>
                <w:color w:val="000000"/>
                <w:kern w:val="0"/>
                <w:sz w:val="30"/>
                <w:szCs w:val="30"/>
                <w:u w:val="none"/>
                <w:lang w:val="en-US" w:eastAsia="zh-CN" w:bidi="ar"/>
              </w:rPr>
              <w:t>1</w:t>
            </w:r>
          </w:p>
        </w:tc>
        <w:tc>
          <w:tcPr>
            <w:tcW w:w="3090" w:type="dxa"/>
            <w:tcBorders>
              <w:top w:val="single" w:color="auto" w:sz="4" w:space="0"/>
              <w:left w:val="nil"/>
              <w:bottom w:val="single" w:color="auto" w:sz="4" w:space="0"/>
              <w:right w:val="single" w:color="auto" w:sz="4" w:space="0"/>
            </w:tcBorders>
            <w:shd w:val="clear" w:color="auto" w:fill="auto"/>
            <w:noWrap/>
            <w:vAlign w:val="center"/>
          </w:tcPr>
          <w:p w14:paraId="2FB28CF4">
            <w:pPr>
              <w:keepNext w:val="0"/>
              <w:keepLines w:val="0"/>
              <w:widowControl/>
              <w:suppressLineNumbers w:val="0"/>
              <w:spacing w:line="360" w:lineRule="auto"/>
              <w:jc w:val="center"/>
              <w:textAlignment w:val="center"/>
              <w:rPr>
                <w:rFonts w:hint="eastAsia" w:ascii="仿宋" w:hAnsi="仿宋" w:eastAsia="仿宋" w:cs="仿宋"/>
                <w:sz w:val="30"/>
                <w:szCs w:val="30"/>
                <w:highlight w:val="none"/>
                <w:lang w:val="en-US" w:eastAsia="zh-CN"/>
              </w:rPr>
            </w:pPr>
          </w:p>
        </w:tc>
        <w:tc>
          <w:tcPr>
            <w:tcW w:w="1680" w:type="dxa"/>
            <w:tcBorders>
              <w:top w:val="single" w:color="auto" w:sz="4" w:space="0"/>
              <w:left w:val="nil"/>
              <w:bottom w:val="single" w:color="auto" w:sz="4" w:space="0"/>
              <w:right w:val="single" w:color="auto" w:sz="4" w:space="0"/>
            </w:tcBorders>
            <w:vAlign w:val="center"/>
          </w:tcPr>
          <w:p w14:paraId="24C01A91">
            <w:pPr>
              <w:keepNext w:val="0"/>
              <w:keepLines w:val="0"/>
              <w:widowControl/>
              <w:suppressLineNumbers w:val="0"/>
              <w:spacing w:line="360" w:lineRule="auto"/>
              <w:jc w:val="center"/>
              <w:textAlignment w:val="center"/>
              <w:rPr>
                <w:rFonts w:hint="default" w:ascii="仿宋" w:hAnsi="仿宋" w:eastAsia="仿宋" w:cs="仿宋"/>
                <w:sz w:val="30"/>
                <w:szCs w:val="30"/>
                <w:highlight w:val="none"/>
                <w:lang w:val="en-US" w:eastAsia="zh-CN"/>
              </w:rPr>
            </w:pPr>
          </w:p>
        </w:tc>
        <w:tc>
          <w:tcPr>
            <w:tcW w:w="2113" w:type="dxa"/>
            <w:tcBorders>
              <w:top w:val="single" w:color="auto" w:sz="4" w:space="0"/>
              <w:left w:val="nil"/>
              <w:bottom w:val="single" w:color="auto" w:sz="4" w:space="0"/>
              <w:right w:val="single" w:color="auto" w:sz="4" w:space="0"/>
            </w:tcBorders>
            <w:vAlign w:val="center"/>
          </w:tcPr>
          <w:p w14:paraId="0513C375">
            <w:pPr>
              <w:keepNext w:val="0"/>
              <w:keepLines w:val="0"/>
              <w:widowControl/>
              <w:suppressLineNumbers w:val="0"/>
              <w:spacing w:line="360" w:lineRule="auto"/>
              <w:jc w:val="center"/>
              <w:textAlignment w:val="center"/>
              <w:rPr>
                <w:rFonts w:hint="eastAsia" w:ascii="仿宋" w:hAnsi="仿宋" w:eastAsia="仿宋" w:cs="仿宋"/>
                <w:sz w:val="30"/>
                <w:szCs w:val="30"/>
                <w:lang w:val="en-US" w:eastAsia="zh-CN"/>
              </w:rPr>
            </w:pPr>
          </w:p>
        </w:tc>
      </w:tr>
      <w:tr w14:paraId="391FDEA5">
        <w:tblPrEx>
          <w:tblCellMar>
            <w:top w:w="0" w:type="dxa"/>
            <w:left w:w="108" w:type="dxa"/>
            <w:bottom w:w="0" w:type="dxa"/>
            <w:right w:w="108" w:type="dxa"/>
          </w:tblCellMar>
        </w:tblPrEx>
        <w:trPr>
          <w:trHeight w:val="224" w:hRule="atLeast"/>
          <w:jc w:val="center"/>
        </w:trPr>
        <w:tc>
          <w:tcPr>
            <w:tcW w:w="8166"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03EF3547">
            <w:pPr>
              <w:keepNext w:val="0"/>
              <w:keepLines w:val="0"/>
              <w:widowControl/>
              <w:suppressLineNumbers w:val="0"/>
              <w:tabs>
                <w:tab w:val="left" w:pos="892"/>
              </w:tabs>
              <w:spacing w:line="360" w:lineRule="auto"/>
              <w:jc w:val="left"/>
              <w:textAlignment w:val="center"/>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注：详细调研清单详见《</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年川渝医院采购联盟医疗设备集中市场调研第</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批产品响应明细表（LC-202****-**）》</w:t>
            </w:r>
          </w:p>
        </w:tc>
      </w:tr>
    </w:tbl>
    <w:p w14:paraId="1ED8938E">
      <w:pPr>
        <w:pStyle w:val="17"/>
        <w:numPr>
          <w:ilvl w:val="0"/>
          <w:numId w:val="1"/>
        </w:numPr>
        <w:spacing w:line="360" w:lineRule="auto"/>
        <w:ind w:left="0" w:leftChars="0" w:firstLine="420" w:firstLineChars="0"/>
        <w:jc w:val="lef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调研要求</w:t>
      </w:r>
    </w:p>
    <w:p w14:paraId="68E73C68">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参与本次调研设备的生产厂家请于</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年</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月</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日</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 xml:space="preserve">前，准确填写《 </w:t>
      </w:r>
      <w:r>
        <w:rPr>
          <w:rFonts w:hint="eastAsia" w:ascii="仿宋" w:hAnsi="仿宋" w:eastAsia="仿宋" w:cs="仿宋"/>
          <w:sz w:val="30"/>
          <w:szCs w:val="30"/>
          <w:u w:val="single"/>
          <w:lang w:val="en-US" w:eastAsia="zh-CN"/>
        </w:rPr>
        <w:t xml:space="preserve">       年</w:t>
      </w:r>
      <w:r>
        <w:rPr>
          <w:rFonts w:hint="eastAsia" w:ascii="仿宋" w:hAnsi="仿宋" w:eastAsia="仿宋" w:cs="仿宋"/>
          <w:sz w:val="30"/>
          <w:szCs w:val="30"/>
          <w:lang w:val="en-US" w:eastAsia="zh-CN"/>
        </w:rPr>
        <w:t>川渝医院采购联盟医疗设备集中市场调研第</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批</w:t>
      </w:r>
      <w:r>
        <w:rPr>
          <w:rFonts w:hint="eastAsia" w:ascii="仿宋" w:hAnsi="仿宋" w:eastAsia="仿宋" w:cs="仿宋"/>
          <w:sz w:val="30"/>
          <w:szCs w:val="30"/>
          <w:u w:val="none"/>
          <w:lang w:val="en-US" w:eastAsia="zh-CN"/>
        </w:rPr>
        <w:t>响应</w:t>
      </w:r>
      <w:r>
        <w:rPr>
          <w:rFonts w:hint="eastAsia" w:ascii="仿宋" w:hAnsi="仿宋" w:eastAsia="仿宋" w:cs="仿宋"/>
          <w:sz w:val="30"/>
          <w:szCs w:val="30"/>
          <w:lang w:val="en-US" w:eastAsia="zh-CN"/>
        </w:rPr>
        <w:t>表》（附件1）及公告页面所须填报信息，并对所填信息的真实性、有效性负责。</w:t>
      </w:r>
    </w:p>
    <w:p w14:paraId="493A250F">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highlight w:val="none"/>
          <w:lang w:val="en-US" w:eastAsia="zh-CN"/>
        </w:rPr>
      </w:pPr>
      <w:r>
        <w:rPr>
          <w:rFonts w:hint="eastAsia" w:ascii="仿宋" w:hAnsi="仿宋" w:eastAsia="仿宋" w:cs="仿宋"/>
          <w:sz w:val="30"/>
          <w:szCs w:val="30"/>
          <w:lang w:val="en-US" w:eastAsia="zh-CN"/>
        </w:rPr>
        <w:t xml:space="preserve">本批次调研将于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年</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月</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日</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前在</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线下举行。</w:t>
      </w:r>
      <w:r>
        <w:rPr>
          <w:rFonts w:hint="eastAsia" w:ascii="仿宋" w:hAnsi="仿宋" w:eastAsia="仿宋" w:cs="仿宋"/>
          <w:b/>
          <w:bCs/>
          <w:color w:val="FF0000"/>
          <w:sz w:val="30"/>
          <w:szCs w:val="30"/>
          <w:highlight w:val="none"/>
          <w:lang w:val="en-US" w:eastAsia="zh-CN"/>
        </w:rPr>
        <w:t xml:space="preserve">请各参与厂家于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年</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月</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日</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none"/>
          <w:lang w:val="en-US" w:eastAsia="zh-CN"/>
        </w:rPr>
        <w:t xml:space="preserve">到 </w:t>
      </w:r>
      <w:r>
        <w:rPr>
          <w:rFonts w:hint="eastAsia" w:ascii="仿宋" w:hAnsi="仿宋" w:eastAsia="仿宋" w:cs="仿宋"/>
          <w:sz w:val="30"/>
          <w:szCs w:val="30"/>
          <w:u w:val="single"/>
          <w:lang w:val="en-US" w:eastAsia="zh-CN"/>
        </w:rPr>
        <w:t xml:space="preserve">   </w:t>
      </w:r>
      <w:r>
        <w:rPr>
          <w:rFonts w:hint="eastAsia" w:ascii="仿宋" w:hAnsi="仿宋" w:eastAsia="仿宋" w:cs="仿宋"/>
          <w:b/>
          <w:bCs/>
          <w:color w:val="FF0000"/>
          <w:sz w:val="30"/>
          <w:szCs w:val="30"/>
          <w:highlight w:val="none"/>
          <w:u w:val="single"/>
          <w:lang w:val="en-US" w:eastAsia="zh-CN"/>
        </w:rPr>
        <w:t xml:space="preserve">               </w:t>
      </w:r>
      <w:r>
        <w:rPr>
          <w:rFonts w:hint="eastAsia" w:ascii="仿宋" w:hAnsi="仿宋" w:eastAsia="仿宋" w:cs="仿宋"/>
          <w:b/>
          <w:bCs/>
          <w:color w:val="FF0000"/>
          <w:sz w:val="30"/>
          <w:szCs w:val="30"/>
          <w:highlight w:val="none"/>
          <w:lang w:val="en-US" w:eastAsia="zh-CN"/>
        </w:rPr>
        <w:t>供应商接待区（详细地址：</w:t>
      </w:r>
      <w:r>
        <w:rPr>
          <w:rFonts w:hint="eastAsia" w:ascii="仿宋" w:hAnsi="仿宋" w:eastAsia="仿宋" w:cs="仿宋"/>
          <w:b/>
          <w:bCs/>
          <w:color w:val="FF0000"/>
          <w:sz w:val="30"/>
          <w:szCs w:val="30"/>
          <w:highlight w:val="none"/>
          <w:u w:val="single"/>
          <w:lang w:val="en-US" w:eastAsia="zh-CN"/>
        </w:rPr>
        <w:t xml:space="preserve">            </w:t>
      </w:r>
      <w:r>
        <w:rPr>
          <w:rFonts w:hint="eastAsia" w:ascii="仿宋" w:hAnsi="仿宋" w:eastAsia="仿宋" w:cs="仿宋"/>
          <w:b/>
          <w:bCs/>
          <w:color w:val="FF0000"/>
          <w:sz w:val="30"/>
          <w:szCs w:val="30"/>
          <w:highlight w:val="none"/>
          <w:lang w:val="en-US" w:eastAsia="zh-CN"/>
        </w:rPr>
        <w:t>）签到并核验《生产厂家调研资料》（附件2）。</w:t>
      </w:r>
    </w:p>
    <w:p w14:paraId="55866E78">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本次调研分为两轮：</w:t>
      </w:r>
    </w:p>
    <w:p w14:paraId="0CC0197E">
      <w:pPr>
        <w:pStyle w:val="7"/>
        <w:keepNext w:val="0"/>
        <w:keepLines w:val="0"/>
        <w:pageBreakBefore w:val="0"/>
        <w:widowControl/>
        <w:numPr>
          <w:ilvl w:val="1"/>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资料研判：若报名家数≤***家的均纳入调研谈判范围，若报名家＞**家的则按照《医疗设备市场调研综合评价表综合评价表》取排名前**的纳入调研谈判范围。（请各生产厂家仔细填写本项目中涉及的内容，会议期间，请各生产厂家保持电话畅通，若因联系方式错误或其他原因不能联系由厂家自行负责）</w:t>
      </w:r>
    </w:p>
    <w:p w14:paraId="7193DFC3">
      <w:pPr>
        <w:pStyle w:val="7"/>
        <w:keepNext w:val="0"/>
        <w:keepLines w:val="0"/>
        <w:pageBreakBefore w:val="0"/>
        <w:widowControl/>
        <w:numPr>
          <w:ilvl w:val="1"/>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价格调研：由本项目谈判小组成员与纳入调研谈判的生产厂家进行谈判，按照《医疗设备市场调研综合评价表综合评价表》（附件3）推荐不少于3个生产厂家产品供后期执行参考。（请各生产厂家注意接听电话，需求研判后将以电话的形式通知各生产厂家到现场参与价格调研，请按通知要求及时到达指定地点）。</w:t>
      </w:r>
    </w:p>
    <w:p w14:paraId="0759BD20">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b/>
          <w:bCs/>
          <w:color w:val="FF0000"/>
          <w:sz w:val="30"/>
          <w:szCs w:val="30"/>
          <w:highlight w:val="none"/>
          <w:lang w:val="en-US" w:eastAsia="zh-CN"/>
        </w:rPr>
        <w:t>生产企业（若为代理商须为四川省及以上总代理商）</w:t>
      </w:r>
      <w:r>
        <w:rPr>
          <w:rFonts w:hint="eastAsia" w:ascii="仿宋" w:hAnsi="仿宋" w:eastAsia="仿宋" w:cs="仿宋"/>
          <w:sz w:val="30"/>
          <w:szCs w:val="30"/>
          <w:lang w:val="en-US" w:eastAsia="zh-CN"/>
        </w:rPr>
        <w:t>资格条件：具有独立承担民事责任的能力；具有良好的商业信誉和健全的财务会计制度；具有履行合同所必需的设备和专业技术能力；具有依法缴纳税收和社会保障资金的良好记录；参加本次调研活动前三年内，在经营活动中没有重大违法记录；法律、行政法规规定的其他条件：生产厂家须符合《医疗器械监督管理条例》等政策法规要求并具有医疗器械生产许可证或者医疗器械经营许可/备案凭证。投标产品须符合《医疗器械注册与备案管理办法》要求并提供产品的注册/备案证明材料。</w:t>
      </w:r>
    </w:p>
    <w:p w14:paraId="3F3523EE">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本次川渝医院采购联盟集中调研线下举行，报名结束后，将与各生产厂家在信息采集表中填写的联系方式联系，报名后至调研日期间，请务必保持通信畅通，并按照通知的时间准时参会。</w:t>
      </w:r>
    </w:p>
    <w:p w14:paraId="51DF5372">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价格调研参会要求</w:t>
      </w:r>
    </w:p>
    <w:p w14:paraId="024FC44B">
      <w:pPr>
        <w:pStyle w:val="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600" w:firstLineChars="20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参会人数。每家企业进入会场人员不得超过6人，所有人员需同时进场，不得二次进场或中途退出。</w:t>
      </w:r>
    </w:p>
    <w:p w14:paraId="289A589A">
      <w:pPr>
        <w:pStyle w:val="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600" w:firstLineChars="20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时间控制。各企业现场介绍时间严格控制按照要求进行，以现场计时为准。</w:t>
      </w:r>
    </w:p>
    <w:p w14:paraId="31B3D8B7">
      <w:pPr>
        <w:pStyle w:val="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600" w:firstLineChars="20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纪律要求。</w:t>
      </w:r>
    </w:p>
    <w:p w14:paraId="00E41164">
      <w:pPr>
        <w:pStyle w:val="7"/>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rightChars="0" w:firstLine="600" w:firstLineChars="20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现场交流结束后，需立即离场，不得在调研现场周围逗留。</w:t>
      </w:r>
    </w:p>
    <w:p w14:paraId="578D6BE1">
      <w:pPr>
        <w:pStyle w:val="7"/>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rightChars="0" w:firstLine="600" w:firstLineChars="20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所有参会人员需服从现场工作人员安排，不得扰乱会场秩序。</w:t>
      </w:r>
    </w:p>
    <w:p w14:paraId="2A4BE446">
      <w:pPr>
        <w:pStyle w:val="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材料提交要求</w:t>
      </w:r>
    </w:p>
    <w:p w14:paraId="05EC50EA">
      <w:pPr>
        <w:pStyle w:val="7"/>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600" w:firstLineChars="20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市场调研资料（附件2）纸质版，单独胶装并加盖公章（一正两副）。</w:t>
      </w:r>
    </w:p>
    <w:p w14:paraId="5E9B2DE9">
      <w:pPr>
        <w:pStyle w:val="7"/>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600" w:firstLineChars="200"/>
        <w:jc w:val="left"/>
        <w:textAlignment w:val="baseline"/>
        <w:rPr>
          <w:rFonts w:hint="eastAsia" w:ascii="仿宋" w:hAnsi="仿宋" w:eastAsia="仿宋" w:cs="仿宋"/>
          <w:sz w:val="30"/>
          <w:szCs w:val="30"/>
          <w:lang w:val="en-US" w:eastAsia="zh-CN"/>
        </w:rPr>
      </w:pPr>
      <w:r>
        <w:rPr>
          <w:rFonts w:hint="eastAsia" w:ascii="仿宋" w:hAnsi="仿宋" w:eastAsia="仿宋" w:cs="仿宋"/>
          <w:color w:val="FF0000"/>
          <w:sz w:val="30"/>
          <w:szCs w:val="30"/>
          <w:lang w:val="en-US" w:eastAsia="zh-CN"/>
        </w:rPr>
        <w:t>设备技术白皮书（包含详细参数、性能指标、认证文件及适配方案），</w:t>
      </w:r>
      <w:r>
        <w:rPr>
          <w:rFonts w:hint="eastAsia" w:ascii="仿宋" w:hAnsi="仿宋" w:eastAsia="仿宋" w:cs="仿宋"/>
          <w:sz w:val="30"/>
          <w:szCs w:val="30"/>
          <w:lang w:val="en-US" w:eastAsia="zh-CN"/>
        </w:rPr>
        <w:t>以及核心技术参数的第三方检测报告。单独密封加盖公章（一正两副</w:t>
      </w:r>
      <w:bookmarkStart w:id="0" w:name="_GoBack"/>
      <w:r>
        <w:rPr>
          <w:rFonts w:hint="eastAsia" w:ascii="仿宋" w:hAnsi="仿宋" w:eastAsia="仿宋" w:cs="仿宋"/>
          <w:sz w:val="30"/>
          <w:szCs w:val="30"/>
          <w:lang w:val="en-US" w:eastAsia="zh-CN"/>
        </w:rPr>
        <w:t>），</w:t>
      </w:r>
      <w:bookmarkEnd w:id="0"/>
      <w:r>
        <w:rPr>
          <w:rFonts w:hint="eastAsia" w:ascii="仿宋" w:hAnsi="仿宋" w:eastAsia="仿宋" w:cs="仿宋"/>
          <w:sz w:val="30"/>
          <w:szCs w:val="30"/>
          <w:lang w:val="en-US" w:eastAsia="zh-CN"/>
        </w:rPr>
        <w:t>封皮严格按统一格式标注：生产企业名称+产品类别+设备品目+对应选项+技术白皮书/第三方检测报告。</w:t>
      </w:r>
    </w:p>
    <w:p w14:paraId="0C22D9E9">
      <w:pPr>
        <w:pStyle w:val="7"/>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600" w:firstLineChars="200"/>
        <w:jc w:val="left"/>
        <w:textAlignment w:val="baseline"/>
        <w:rPr>
          <w:rFonts w:hint="eastAsia" w:ascii="仿宋" w:hAnsi="仿宋" w:eastAsia="仿宋" w:cs="仿宋"/>
          <w:color w:val="FF0000"/>
          <w:sz w:val="30"/>
          <w:szCs w:val="30"/>
          <w:lang w:val="en-US" w:eastAsia="zh-CN"/>
        </w:rPr>
      </w:pPr>
      <w:r>
        <w:rPr>
          <w:rFonts w:hint="eastAsia" w:ascii="仿宋" w:hAnsi="仿宋" w:eastAsia="仿宋" w:cs="仿宋"/>
          <w:color w:val="FF0000"/>
          <w:sz w:val="30"/>
          <w:szCs w:val="30"/>
          <w:lang w:val="en-US" w:eastAsia="zh-CN"/>
        </w:rPr>
        <w:t>所有参与调研生产厂家（代理商）须登录四川省人民医院一体化数字采购平台（网址</w:t>
      </w:r>
      <w:r>
        <w:rPr>
          <w:rFonts w:hint="eastAsia" w:ascii="仿宋" w:hAnsi="仿宋" w:eastAsia="仿宋" w:cs="仿宋"/>
          <w:color w:val="FF0000"/>
          <w:sz w:val="30"/>
          <w:szCs w:val="30"/>
          <w:lang w:val="en-US" w:eastAsia="zh-CN"/>
        </w:rPr>
        <w:fldChar w:fldCharType="begin"/>
      </w:r>
      <w:r>
        <w:rPr>
          <w:rFonts w:hint="eastAsia" w:ascii="仿宋" w:hAnsi="仿宋" w:eastAsia="仿宋" w:cs="仿宋"/>
          <w:color w:val="FF0000"/>
          <w:sz w:val="30"/>
          <w:szCs w:val="30"/>
          <w:lang w:val="en-US" w:eastAsia="zh-CN"/>
        </w:rPr>
        <w:instrText xml:space="preserve"> HYPERLINK "http://cg.samsph.com/" </w:instrText>
      </w:r>
      <w:r>
        <w:rPr>
          <w:rFonts w:hint="eastAsia" w:ascii="仿宋" w:hAnsi="仿宋" w:eastAsia="仿宋" w:cs="仿宋"/>
          <w:color w:val="FF0000"/>
          <w:sz w:val="30"/>
          <w:szCs w:val="30"/>
          <w:lang w:val="en-US" w:eastAsia="zh-CN"/>
        </w:rPr>
        <w:fldChar w:fldCharType="separate"/>
      </w:r>
      <w:r>
        <w:rPr>
          <w:rFonts w:hint="eastAsia" w:ascii="仿宋" w:hAnsi="仿宋" w:eastAsia="仿宋" w:cs="仿宋"/>
          <w:color w:val="FF0000"/>
          <w:sz w:val="30"/>
          <w:szCs w:val="30"/>
          <w:lang w:val="en-US" w:eastAsia="zh-CN"/>
        </w:rPr>
        <w:t>http://cg.samsph.com/</w:t>
      </w:r>
      <w:r>
        <w:rPr>
          <w:rFonts w:hint="eastAsia" w:ascii="仿宋" w:hAnsi="仿宋" w:eastAsia="仿宋" w:cs="仿宋"/>
          <w:color w:val="FF0000"/>
          <w:sz w:val="30"/>
          <w:szCs w:val="30"/>
          <w:lang w:val="en-US" w:eastAsia="zh-CN"/>
        </w:rPr>
        <w:fldChar w:fldCharType="end"/>
      </w:r>
      <w:r>
        <w:rPr>
          <w:rFonts w:hint="eastAsia" w:ascii="仿宋" w:hAnsi="仿宋" w:eastAsia="仿宋" w:cs="仿宋"/>
          <w:color w:val="FF0000"/>
          <w:sz w:val="30"/>
          <w:szCs w:val="30"/>
          <w:lang w:val="en-US" w:eastAsia="zh-CN"/>
        </w:rPr>
        <w:t xml:space="preserve"> ）报名并上传相关资料。（平台免费）</w:t>
      </w:r>
    </w:p>
    <w:p w14:paraId="34F261B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420" w:leftChars="0" w:right="0" w:rightChars="0"/>
        <w:jc w:val="left"/>
        <w:textAlignment w:val="baseline"/>
        <w:rPr>
          <w:rFonts w:hint="default" w:ascii="仿宋" w:hAnsi="仿宋" w:eastAsia="仿宋" w:cs="仿宋"/>
          <w:sz w:val="30"/>
          <w:szCs w:val="30"/>
          <w:lang w:val="en-US" w:eastAsia="zh-CN"/>
        </w:rPr>
      </w:pPr>
    </w:p>
    <w:p w14:paraId="23183A16">
      <w:pPr>
        <w:pStyle w:val="17"/>
        <w:numPr>
          <w:ilvl w:val="0"/>
          <w:numId w:val="1"/>
        </w:numPr>
        <w:spacing w:line="360" w:lineRule="auto"/>
        <w:ind w:left="0" w:leftChars="0" w:firstLine="420" w:firstLineChars="0"/>
        <w:jc w:val="lef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其他事项</w:t>
      </w:r>
    </w:p>
    <w:p w14:paraId="6FD45B2E">
      <w:pPr>
        <w:pStyle w:val="7"/>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未按要求提交或逾期提交的将视为未提交材料。</w:t>
      </w:r>
    </w:p>
    <w:p w14:paraId="33224B84">
      <w:pPr>
        <w:pStyle w:val="7"/>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本次调研不承诺和最终采购绝对关联，最终由各联盟单位作为采购主体按相关法律法规执行当地招标采购程序独立采购。</w:t>
      </w:r>
    </w:p>
    <w:p w14:paraId="0B1DD1B1">
      <w:pPr>
        <w:pStyle w:val="7"/>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b/>
          <w:bCs/>
          <w:color w:val="FF0000"/>
          <w:sz w:val="30"/>
          <w:szCs w:val="30"/>
          <w:highlight w:val="none"/>
          <w:lang w:val="en-US" w:eastAsia="zh-CN"/>
        </w:rPr>
      </w:pPr>
      <w:r>
        <w:rPr>
          <w:rFonts w:hint="eastAsia" w:ascii="仿宋" w:hAnsi="仿宋" w:eastAsia="仿宋" w:cs="仿宋"/>
          <w:b/>
          <w:bCs/>
          <w:color w:val="FF0000"/>
          <w:sz w:val="30"/>
          <w:szCs w:val="30"/>
          <w:highlight w:val="none"/>
          <w:lang w:val="en-US" w:eastAsia="zh-CN"/>
        </w:rPr>
        <w:t>同一厂家（品牌）仅限一份资料，请各生产企业做好内部沟通，避免重复递交。</w:t>
      </w:r>
    </w:p>
    <w:p w14:paraId="2E641CA1">
      <w:pPr>
        <w:pStyle w:val="7"/>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baseline"/>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各生产企业应遵守诚实信用原则，遵守调研规则，不得恶意诋毁，不得散布任何与本项目调研内容相关的信息。</w:t>
      </w:r>
    </w:p>
    <w:p w14:paraId="0C8FFCC9">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jc w:val="left"/>
        <w:textAlignment w:val="baseline"/>
        <w:rPr>
          <w:rFonts w:hint="eastAsia" w:ascii="仿宋" w:hAnsi="仿宋" w:eastAsia="仿宋" w:cs="仿宋"/>
          <w:sz w:val="30"/>
          <w:szCs w:val="30"/>
          <w:lang w:val="en-US" w:eastAsia="zh-CN"/>
        </w:rPr>
      </w:pPr>
    </w:p>
    <w:p w14:paraId="69606A68">
      <w:pPr>
        <w:pStyle w:val="17"/>
        <w:numPr>
          <w:ilvl w:val="0"/>
          <w:numId w:val="0"/>
        </w:numPr>
        <w:spacing w:line="360" w:lineRule="auto"/>
        <w:ind w:leftChars="0" w:firstLine="0" w:firstLineChars="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综合组  黄老师、林老师  028-87393387</w:t>
      </w:r>
    </w:p>
    <w:p w14:paraId="49D723EC">
      <w:pPr>
        <w:pStyle w:val="17"/>
        <w:numPr>
          <w:ilvl w:val="0"/>
          <w:numId w:val="0"/>
        </w:numPr>
        <w:spacing w:line="360" w:lineRule="auto"/>
        <w:ind w:leftChars="0" w:firstLine="0" w:firstLineChars="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 xml:space="preserve">监督组  ***老师       </w:t>
      </w:r>
    </w:p>
    <w:p w14:paraId="20B500DA">
      <w:pPr>
        <w:pStyle w:val="17"/>
        <w:numPr>
          <w:ilvl w:val="0"/>
          <w:numId w:val="0"/>
        </w:numPr>
        <w:spacing w:line="360" w:lineRule="auto"/>
        <w:ind w:leftChars="0" w:firstLine="1200" w:firstLineChars="400"/>
        <w:rPr>
          <w:rFonts w:hint="default" w:ascii="仿宋" w:hAnsi="仿宋" w:eastAsia="仿宋" w:cs="仿宋"/>
          <w:sz w:val="30"/>
          <w:szCs w:val="30"/>
          <w:lang w:val="en-US" w:eastAsia="zh-CN"/>
        </w:rPr>
      </w:pPr>
    </w:p>
    <w:sectPr>
      <w:headerReference r:id="rId3" w:type="default"/>
      <w:footerReference r:id="rId4" w:type="default"/>
      <w:pgSz w:w="11906" w:h="16838"/>
      <w:pgMar w:top="1440" w:right="1800" w:bottom="1440" w:left="1800"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D391C">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4837D67B">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4837D67B">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93AF35D">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85EA2">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29E1F6"/>
    <w:multiLevelType w:val="singleLevel"/>
    <w:tmpl w:val="B029E1F6"/>
    <w:lvl w:ilvl="0" w:tentative="0">
      <w:start w:val="1"/>
      <w:numFmt w:val="decimal"/>
      <w:lvlText w:val="%1."/>
      <w:lvlJc w:val="left"/>
      <w:pPr>
        <w:tabs>
          <w:tab w:val="left" w:pos="312"/>
        </w:tabs>
      </w:pPr>
    </w:lvl>
  </w:abstractNum>
  <w:abstractNum w:abstractNumId="1">
    <w:nsid w:val="D495C1E1"/>
    <w:multiLevelType w:val="singleLevel"/>
    <w:tmpl w:val="D495C1E1"/>
    <w:lvl w:ilvl="0" w:tentative="0">
      <w:start w:val="1"/>
      <w:numFmt w:val="decimal"/>
      <w:suff w:val="nothing"/>
      <w:lvlText w:val="（%1）"/>
      <w:lvlJc w:val="left"/>
    </w:lvl>
  </w:abstractNum>
  <w:abstractNum w:abstractNumId="2">
    <w:nsid w:val="0197DA85"/>
    <w:multiLevelType w:val="singleLevel"/>
    <w:tmpl w:val="0197DA85"/>
    <w:lvl w:ilvl="0" w:tentative="0">
      <w:start w:val="1"/>
      <w:numFmt w:val="chineseCounting"/>
      <w:suff w:val="nothing"/>
      <w:lvlText w:val="%1、"/>
      <w:lvlJc w:val="left"/>
      <w:pPr>
        <w:ind w:left="0" w:firstLine="420"/>
      </w:pPr>
      <w:rPr>
        <w:rFonts w:hint="eastAsia"/>
      </w:rPr>
    </w:lvl>
  </w:abstractNum>
  <w:abstractNum w:abstractNumId="3">
    <w:nsid w:val="0F55C346"/>
    <w:multiLevelType w:val="singleLevel"/>
    <w:tmpl w:val="0F55C346"/>
    <w:lvl w:ilvl="0" w:tentative="0">
      <w:start w:val="1"/>
      <w:numFmt w:val="chineseCounting"/>
      <w:suff w:val="nothing"/>
      <w:lvlText w:val="（%1）"/>
      <w:lvlJc w:val="left"/>
      <w:pPr>
        <w:ind w:left="0" w:firstLine="420"/>
      </w:pPr>
      <w:rPr>
        <w:rFonts w:hint="eastAsia"/>
      </w:rPr>
    </w:lvl>
  </w:abstractNum>
  <w:abstractNum w:abstractNumId="4">
    <w:nsid w:val="16CF15A7"/>
    <w:multiLevelType w:val="singleLevel"/>
    <w:tmpl w:val="16CF15A7"/>
    <w:lvl w:ilvl="0" w:tentative="0">
      <w:start w:val="1"/>
      <w:numFmt w:val="decimal"/>
      <w:lvlText w:val="%1."/>
      <w:lvlJc w:val="left"/>
      <w:pPr>
        <w:tabs>
          <w:tab w:val="left" w:pos="312"/>
        </w:tabs>
      </w:pPr>
    </w:lvl>
  </w:abstractNum>
  <w:abstractNum w:abstractNumId="5">
    <w:nsid w:val="3DA215A3"/>
    <w:multiLevelType w:val="multilevel"/>
    <w:tmpl w:val="3DA215A3"/>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jYWFiZmE0MGE1YTU0YmU5MjcwZTZhY2I4ZTZjNmY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4D428B"/>
    <w:rsid w:val="01AB7E9F"/>
    <w:rsid w:val="023C6A25"/>
    <w:rsid w:val="02C263E6"/>
    <w:rsid w:val="032820B0"/>
    <w:rsid w:val="036E40A4"/>
    <w:rsid w:val="03DE44D5"/>
    <w:rsid w:val="04B72AFD"/>
    <w:rsid w:val="04E01080"/>
    <w:rsid w:val="04FD3892"/>
    <w:rsid w:val="056C5696"/>
    <w:rsid w:val="06EB12F4"/>
    <w:rsid w:val="07F04BDA"/>
    <w:rsid w:val="09D07E47"/>
    <w:rsid w:val="09EE0FF8"/>
    <w:rsid w:val="0C195D3B"/>
    <w:rsid w:val="0C424183"/>
    <w:rsid w:val="0D3D4CA7"/>
    <w:rsid w:val="0D794FDC"/>
    <w:rsid w:val="0F374590"/>
    <w:rsid w:val="0FEC271B"/>
    <w:rsid w:val="109D7AEC"/>
    <w:rsid w:val="12930BE4"/>
    <w:rsid w:val="12A47F20"/>
    <w:rsid w:val="12EF3B6B"/>
    <w:rsid w:val="12FA2AF4"/>
    <w:rsid w:val="137A7C50"/>
    <w:rsid w:val="14282A6B"/>
    <w:rsid w:val="147B18A5"/>
    <w:rsid w:val="14854F63"/>
    <w:rsid w:val="154C2564"/>
    <w:rsid w:val="154C31D4"/>
    <w:rsid w:val="166C5F02"/>
    <w:rsid w:val="167D1421"/>
    <w:rsid w:val="167F721A"/>
    <w:rsid w:val="16A448E1"/>
    <w:rsid w:val="173832DC"/>
    <w:rsid w:val="178D7610"/>
    <w:rsid w:val="18887471"/>
    <w:rsid w:val="18B05C4F"/>
    <w:rsid w:val="18FD399C"/>
    <w:rsid w:val="18FE1EF8"/>
    <w:rsid w:val="1917789E"/>
    <w:rsid w:val="19E536C0"/>
    <w:rsid w:val="1A0C2D68"/>
    <w:rsid w:val="1C7A07E7"/>
    <w:rsid w:val="1D9E6999"/>
    <w:rsid w:val="1F923DD0"/>
    <w:rsid w:val="205846A5"/>
    <w:rsid w:val="20C431D9"/>
    <w:rsid w:val="216F1326"/>
    <w:rsid w:val="21A054A2"/>
    <w:rsid w:val="227A3997"/>
    <w:rsid w:val="238F217A"/>
    <w:rsid w:val="240C7746"/>
    <w:rsid w:val="244B5206"/>
    <w:rsid w:val="24515893"/>
    <w:rsid w:val="24893659"/>
    <w:rsid w:val="24AE16C8"/>
    <w:rsid w:val="24B7288E"/>
    <w:rsid w:val="25307422"/>
    <w:rsid w:val="25E450A1"/>
    <w:rsid w:val="25F63673"/>
    <w:rsid w:val="261008BA"/>
    <w:rsid w:val="274C0775"/>
    <w:rsid w:val="28811898"/>
    <w:rsid w:val="29AD31CE"/>
    <w:rsid w:val="2A877EEB"/>
    <w:rsid w:val="2ABB4B3B"/>
    <w:rsid w:val="2BD82B4B"/>
    <w:rsid w:val="2C352271"/>
    <w:rsid w:val="2C866EA9"/>
    <w:rsid w:val="2CED38FA"/>
    <w:rsid w:val="2CED701F"/>
    <w:rsid w:val="2D0C698D"/>
    <w:rsid w:val="2D253A5A"/>
    <w:rsid w:val="2E724E17"/>
    <w:rsid w:val="2F846EB6"/>
    <w:rsid w:val="30705C59"/>
    <w:rsid w:val="30995904"/>
    <w:rsid w:val="315275DB"/>
    <w:rsid w:val="31CD1C87"/>
    <w:rsid w:val="31D91E8E"/>
    <w:rsid w:val="31F824A8"/>
    <w:rsid w:val="337D32A8"/>
    <w:rsid w:val="34A97AA1"/>
    <w:rsid w:val="353233C7"/>
    <w:rsid w:val="3547435C"/>
    <w:rsid w:val="35E14113"/>
    <w:rsid w:val="36400E11"/>
    <w:rsid w:val="37F12E5F"/>
    <w:rsid w:val="389D4298"/>
    <w:rsid w:val="392A4327"/>
    <w:rsid w:val="393770AF"/>
    <w:rsid w:val="397415A9"/>
    <w:rsid w:val="398F635B"/>
    <w:rsid w:val="3A171BC5"/>
    <w:rsid w:val="3AE7693F"/>
    <w:rsid w:val="3BFF4A5F"/>
    <w:rsid w:val="3CAC47F1"/>
    <w:rsid w:val="3CD33517"/>
    <w:rsid w:val="40043079"/>
    <w:rsid w:val="4053410F"/>
    <w:rsid w:val="40F63B2B"/>
    <w:rsid w:val="43D11196"/>
    <w:rsid w:val="43D229DC"/>
    <w:rsid w:val="441F239D"/>
    <w:rsid w:val="442D38E9"/>
    <w:rsid w:val="449B1433"/>
    <w:rsid w:val="44D808D4"/>
    <w:rsid w:val="44D84EEA"/>
    <w:rsid w:val="454F7AC8"/>
    <w:rsid w:val="46527414"/>
    <w:rsid w:val="466F197D"/>
    <w:rsid w:val="47251FB0"/>
    <w:rsid w:val="47F950CF"/>
    <w:rsid w:val="49444EEC"/>
    <w:rsid w:val="49B7206D"/>
    <w:rsid w:val="4A2E7190"/>
    <w:rsid w:val="4AF6681E"/>
    <w:rsid w:val="4B3100F8"/>
    <w:rsid w:val="4B615048"/>
    <w:rsid w:val="4BB921C1"/>
    <w:rsid w:val="4D75703E"/>
    <w:rsid w:val="4E6D2783"/>
    <w:rsid w:val="4EE90790"/>
    <w:rsid w:val="50B430DA"/>
    <w:rsid w:val="50CB6249"/>
    <w:rsid w:val="51502BF3"/>
    <w:rsid w:val="51571481"/>
    <w:rsid w:val="51E01E85"/>
    <w:rsid w:val="521C0715"/>
    <w:rsid w:val="52766820"/>
    <w:rsid w:val="5277564A"/>
    <w:rsid w:val="52B71EE9"/>
    <w:rsid w:val="534F28CA"/>
    <w:rsid w:val="53B83C6D"/>
    <w:rsid w:val="53DC2ED2"/>
    <w:rsid w:val="54F62904"/>
    <w:rsid w:val="557C520F"/>
    <w:rsid w:val="55C725B1"/>
    <w:rsid w:val="56272082"/>
    <w:rsid w:val="57567C5A"/>
    <w:rsid w:val="58A7356F"/>
    <w:rsid w:val="58CF2D1F"/>
    <w:rsid w:val="59693AE8"/>
    <w:rsid w:val="5A0F2B69"/>
    <w:rsid w:val="5A3D2E70"/>
    <w:rsid w:val="5A554599"/>
    <w:rsid w:val="5ABF4FEF"/>
    <w:rsid w:val="5B3D346E"/>
    <w:rsid w:val="5B4C7989"/>
    <w:rsid w:val="5CD61B7B"/>
    <w:rsid w:val="5D85297E"/>
    <w:rsid w:val="5DC043B9"/>
    <w:rsid w:val="5DD97ED8"/>
    <w:rsid w:val="5DDC4AE4"/>
    <w:rsid w:val="5DED7975"/>
    <w:rsid w:val="5ED00BBA"/>
    <w:rsid w:val="60502BF3"/>
    <w:rsid w:val="61210847"/>
    <w:rsid w:val="618D0AC1"/>
    <w:rsid w:val="625F3BFA"/>
    <w:rsid w:val="6303441A"/>
    <w:rsid w:val="632E42ED"/>
    <w:rsid w:val="63C23F9D"/>
    <w:rsid w:val="63D93F15"/>
    <w:rsid w:val="656A42A8"/>
    <w:rsid w:val="65D44FCC"/>
    <w:rsid w:val="66AF5FB0"/>
    <w:rsid w:val="6A305D31"/>
    <w:rsid w:val="6A6D6B33"/>
    <w:rsid w:val="6B645AF6"/>
    <w:rsid w:val="6BAF6357"/>
    <w:rsid w:val="6BE26E4C"/>
    <w:rsid w:val="6BE74F5B"/>
    <w:rsid w:val="6C813156"/>
    <w:rsid w:val="6D1D46DA"/>
    <w:rsid w:val="6D66497E"/>
    <w:rsid w:val="6D76450F"/>
    <w:rsid w:val="6DA16DE6"/>
    <w:rsid w:val="6E320E92"/>
    <w:rsid w:val="6E8015BE"/>
    <w:rsid w:val="6E8219F4"/>
    <w:rsid w:val="70151EC5"/>
    <w:rsid w:val="710B5002"/>
    <w:rsid w:val="716C06B2"/>
    <w:rsid w:val="724A0539"/>
    <w:rsid w:val="73003C04"/>
    <w:rsid w:val="73A47E78"/>
    <w:rsid w:val="73CD0DF5"/>
    <w:rsid w:val="74B27425"/>
    <w:rsid w:val="75815424"/>
    <w:rsid w:val="76002FA2"/>
    <w:rsid w:val="76260BD7"/>
    <w:rsid w:val="768C01D5"/>
    <w:rsid w:val="76FA0196"/>
    <w:rsid w:val="7797401B"/>
    <w:rsid w:val="78CC1D13"/>
    <w:rsid w:val="79877D9D"/>
    <w:rsid w:val="79AC750A"/>
    <w:rsid w:val="79D944E0"/>
    <w:rsid w:val="7ADF746F"/>
    <w:rsid w:val="7AE1262E"/>
    <w:rsid w:val="7B10042A"/>
    <w:rsid w:val="7B2E4E05"/>
    <w:rsid w:val="7CCA34B0"/>
    <w:rsid w:val="7DAB4437"/>
    <w:rsid w:val="7EAE4D5B"/>
    <w:rsid w:val="7EC71435"/>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5"/>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Strong"/>
    <w:basedOn w:val="10"/>
    <w:qFormat/>
    <w:uiPriority w:val="0"/>
    <w:rPr>
      <w:b/>
    </w:rPr>
  </w:style>
  <w:style w:type="character" w:styleId="12">
    <w:name w:val="Hyperlink"/>
    <w:basedOn w:val="10"/>
    <w:unhideWhenUsed/>
    <w:qFormat/>
    <w:uiPriority w:val="99"/>
    <w:rPr>
      <w:color w:val="0000FF"/>
      <w:u w:val="single"/>
    </w:rPr>
  </w:style>
  <w:style w:type="character" w:customStyle="1" w:styleId="13">
    <w:name w:val="Header Char"/>
    <w:basedOn w:val="10"/>
    <w:link w:val="6"/>
    <w:qFormat/>
    <w:uiPriority w:val="99"/>
    <w:rPr>
      <w:sz w:val="18"/>
      <w:szCs w:val="18"/>
    </w:rPr>
  </w:style>
  <w:style w:type="character" w:customStyle="1" w:styleId="14">
    <w:name w:val="Footer Char"/>
    <w:basedOn w:val="10"/>
    <w:link w:val="5"/>
    <w:qFormat/>
    <w:uiPriority w:val="99"/>
    <w:rPr>
      <w:sz w:val="18"/>
      <w:szCs w:val="18"/>
    </w:rPr>
  </w:style>
  <w:style w:type="character" w:customStyle="1" w:styleId="15">
    <w:name w:val="Balloon Text Char"/>
    <w:basedOn w:val="10"/>
    <w:link w:val="4"/>
    <w:semiHidden/>
    <w:qFormat/>
    <w:uiPriority w:val="99"/>
    <w:rPr>
      <w:sz w:val="18"/>
      <w:szCs w:val="18"/>
    </w:rPr>
  </w:style>
  <w:style w:type="character" w:customStyle="1" w:styleId="16">
    <w:name w:val="未处理的提及1"/>
    <w:basedOn w:val="10"/>
    <w:semiHidden/>
    <w:unhideWhenUsed/>
    <w:qFormat/>
    <w:uiPriority w:val="99"/>
    <w:rPr>
      <w:color w:val="605E5C"/>
      <w:shd w:val="clear" w:color="auto" w:fill="E1DFDD"/>
    </w:rPr>
  </w:style>
  <w:style w:type="paragraph" w:styleId="17">
    <w:name w:val="List Paragraph"/>
    <w:basedOn w:val="1"/>
    <w:qFormat/>
    <w:uiPriority w:val="99"/>
    <w:pPr>
      <w:ind w:firstLine="420" w:firstLineChars="200"/>
    </w:p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3aa19a7d-c7e7-4afc-a23f-fa5fb16c08d3</errorID>
      <errorWord>:</errorWord>
      <group>L1_Format</group>
      <groupName>格式问题</groupName>
      <ability>L2_HalfPunc</ability>
      <abilityName>全半角检查</abilityName>
      <candidateList>
        <item>：</item>
      </candidateList>
      <explain>文本全半角错误。</explain>
      <paraID> A0438E4</paraID>
      <start>5</start>
      <end>6</end>
      <status>modified</status>
      <modifiedWord>：</modifiedWord>
      <trackRevisions>false</trackRevisions>
    </reviewItem>
    <reviewItem>
      <errorID>58ba188a-36c9-4bd4-b88b-6b4d15468688</errorID>
      <errorWord>(</errorWord>
      <group>L1_Format</group>
      <groupName>格式问题</groupName>
      <ability>L2_HalfPunc</ability>
      <abilityName>全半角检查</abilityName>
      <candidateList>
        <item>（</item>
      </candidateList>
      <explain>文本全半角错误。</explain>
      <paraID>4ED4C295</paraID>
      <start>0</start>
      <end>1</end>
      <status>modified</status>
      <modifiedWord>（</modifiedWord>
      <trackRevisions>false</trackRevisions>
    </reviewItem>
    <reviewItem>
      <errorID>d0931621-e9aa-4e91-a2e4-22c83fc6b570</errorID>
      <errorWord>(</errorWord>
      <group>L1_Format</group>
      <groupName>格式问题</groupName>
      <ability>L2_HalfPunc</ability>
      <abilityName>全半角检查</abilityName>
      <candidateList>
        <item>（</item>
      </candidateList>
      <explain>文本全半角错误。</explain>
      <paraID> 3EF3547</paraID>
      <start>51</start>
      <end>52</end>
      <status>modified</status>
      <modifiedWord>（</modifiedWord>
      <trackRevisions>false</trackRevisions>
    </reviewItem>
    <reviewItem>
      <errorID>1e3e346d-650f-442a-ab64-30b7f27c71d0</errorID>
      <errorWord>在</errorWord>
      <group>L1_Word</group>
      <groupName>字词问题</groupName>
      <ability>L2_Typo</ability>
      <abilityName>字词错误</abilityName>
      <candidateList>
        <item/>
      </candidateList>
      <explain/>
      <paraID>493A250F</paraID>
      <start>82</start>
      <end>82</end>
      <status>modified</status>
      <modifiedWord/>
      <trackRevisions>false</trackRevisions>
    </reviewItem>
    <reviewItem>
      <errorID>3f4a2b7f-886e-48f2-b6bd-75a62defc030</errorID>
      <errorWord>向</errorWord>
      <group>L1_Word</group>
      <groupName>字词问题</groupName>
      <ability>L2_Typo</ability>
      <abilityName>字词错误</abilityName>
      <candidateList>
        <item>与</item>
      </candidateList>
      <explain>存在字形相近字词的误用。</explain>
      <paraID>3F3523EE</paraID>
      <start>26</start>
      <end>27</end>
      <status>modified</status>
      <modifiedWord>与</modifiedWord>
      <trackRevisions>false</trackRevisions>
    </reviewItem>
    <reviewItem>
      <errorID>57a8d04f-d972-4b57-b54f-8a6bc941ee20</errorID>
      <errorWord>保持通讯畅通</errorWord>
      <group>L1_Word</group>
      <groupName>字词问题</groupName>
      <ability>L2_Typo</ability>
      <abilityName>字词错误</abilityName>
      <candidateList>
        <item>保持通信畅通</item>
      </candidateList>
      <explain/>
      <paraID>3F3523EE</paraID>
      <start>62</start>
      <end>68</end>
      <status>modified</status>
      <modifiedWord>保持通信畅通</modifiedWord>
      <trackRevisions>false</trackRevisions>
    </reviewItem>
    <reviewItem>
      <errorID>016d6417-3e55-4a94-ac66-09bf2f262ef8</errorID>
      <errorWord>(</errorWord>
      <group>L1_Format</group>
      <groupName>格式问题</groupName>
      <ability>L2_HalfPunc</ability>
      <abilityName>全半角检查</abilityName>
      <candidateList>
        <item>（</item>
      </candidateList>
      <explain>文本全半角错误。</explain>
      <paraID> 5EC50EA</paraID>
      <start>6</start>
      <end>7</end>
      <status>modified</status>
      <modifiedWord>（</modifiedWord>
      <trackRevisions>false</trackRevisions>
    </reviewItem>
    <reviewItem>
      <errorID>e1e70772-9d42-4174-bf5f-9ef1de859eec</errorID>
      <errorWord>)</errorWord>
      <group>L1_Format</group>
      <groupName>格式问题</groupName>
      <ability>L2_HalfPunc</ability>
      <abilityName>全半角检查</abilityName>
      <candidateList>
        <item>）</item>
      </candidateList>
      <explain>文本全半角错误。</explain>
      <paraID> 5EC50EA</paraID>
      <start>10</start>
      <end>11</end>
      <status>modified</status>
      <modifiedWord>）</modifiedWord>
      <trackRevisions>false</trackRevisions>
    </reviewItem>
    <reviewItem>
      <errorID>94e09ec7-8e78-4fdd-8714-06382e10af17</errorID>
      <errorWord>(</errorWord>
      <group>L1_Format</group>
      <groupName>格式问题</groupName>
      <ability>L2_HalfPunc</ability>
      <abilityName>全半角检查</abilityName>
      <candidateList>
        <item>（</item>
      </candidateList>
      <explain>文本全半角错误。</explain>
      <paraID> 5EC50EA</paraID>
      <start>24</start>
      <end>25</end>
      <status>modified</status>
      <modifiedWord>（</modifiedWord>
      <trackRevisions>false</trackRevisions>
    </reviewItem>
    <reviewItem>
      <errorID>1ef096a3-32ca-425a-a064-3591618677bd</errorID>
      <errorWord>)</errorWord>
      <group>L1_Format</group>
      <groupName>格式问题</groupName>
      <ability>L2_HalfPunc</ability>
      <abilityName>全半角检查</abilityName>
      <candidateList>
        <item>）</item>
      </candidateList>
      <explain>文本全半角错误。</explain>
      <paraID> 5EC50EA</paraID>
      <start>29</start>
      <end>30</end>
      <status>modified</status>
      <modifiedWord>）</modifiedWord>
      <trackRevisions>false</trackRevisions>
    </reviewItem>
    <reviewItem>
      <errorID>e0fab7f2-2008-4a91-8e75-ea70951e3f0a</errorID>
      <errorWord>(</errorWord>
      <group>L1_Format</group>
      <groupName>格式问题</groupName>
      <ability>L2_HalfPunc</ability>
      <abilityName>全半角检查</abilityName>
      <candidateList>
        <item>（</item>
      </candidateList>
      <explain>文本全半角错误。</explain>
      <paraID>5E9B2DE9</paraID>
      <start>7</start>
      <end>8</end>
      <status>modified</status>
      <modifiedWord>（</modifiedWord>
      <trackRevisions>false</trackRevisions>
    </reviewItem>
    <reviewItem>
      <errorID>f1e8d679-a423-48cd-b55f-0c44d42e9b7f</errorID>
      <errorWord>),</errorWord>
      <group>L1_Format</group>
      <groupName>格式问题</groupName>
      <ability>L2_HalfPunc</ability>
      <abilityName>全半角检查</abilityName>
      <candidateList>
        <item>），</item>
      </candidateList>
      <explain>文本全半角错误。</explain>
      <paraID>5E9B2DE9</paraID>
      <start>29</start>
      <end>31</end>
      <status>modified</status>
      <modifiedWord>），</modifiedWord>
      <trackRevisions>false</trackRevisions>
    </reviewItem>
    <reviewItem>
      <errorID>3b59244c-6a28-4f5b-a156-98e20e8472df</errorID>
      <errorWord>(</errorWord>
      <group>L1_Format</group>
      <groupName>格式问题</groupName>
      <ability>L2_HalfPunc</ability>
      <abilityName>全半角检查</abilityName>
      <candidateList>
        <item>（</item>
      </candidateList>
      <explain>文本全半角错误。</explain>
      <paraID>5E9B2DE9</paraID>
      <start>56</start>
      <end>57</end>
      <status>modified</status>
      <modifiedWord>（</modifiedWord>
      <trackRevisions>false</trackRevisions>
    </reviewItem>
    <reviewItem>
      <errorID>e1e14084-5a64-43ac-9417-669508584ab3</errorID>
      <errorWord>),</errorWord>
      <group>L1_Format</group>
      <groupName>格式问题</groupName>
      <ability>L2_HalfPunc</ability>
      <abilityName>全半角检查</abilityName>
      <candidateList>
        <item>），</item>
      </candidateList>
      <explain>文本全半角错误。</explain>
      <paraID>5E9B2DE9</paraID>
      <start>61</start>
      <end>63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72f1ec-5b09-4f2b-9833-f467989b791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1473</Words>
  <Characters>1540</Characters>
  <Lines>9</Lines>
  <Paragraphs>2</Paragraphs>
  <TotalTime>2</TotalTime>
  <ScaleCrop>false</ScaleCrop>
  <LinksUpToDate>false</LinksUpToDate>
  <CharactersWithSpaces>1696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林健</cp:lastModifiedBy>
  <cp:lastPrinted>2019-05-16T02:22:00Z</cp:lastPrinted>
  <dcterms:modified xsi:type="dcterms:W3CDTF">2026-03-31T09:36:28Z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532936299E33453F859E2DD6956AC9E1_13</vt:lpwstr>
  </property>
  <property fmtid="{D5CDD505-2E9C-101B-9397-08002B2CF9AE}" pid="4" name="KSOTemplateDocerSaveRecord">
    <vt:lpwstr>eyJoZGlkIjoiYzAzYTQ2NzkzMzdiZmVhYzE1NmQxZjgxMmYzZDYxZjkiLCJ1c2VySWQiOiIxNjE0NzIzNzA0In0=</vt:lpwstr>
  </property>
</Properties>
</file>