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keepNext w:val="0"/>
        <w:keepLines w:val="0"/>
        <w:pageBreakBefore w:val="0"/>
        <w:widowControl w:val="0"/>
        <w:kinsoku/>
        <w:wordWrap/>
        <w:overflowPunct/>
        <w:topLinePunct w:val="0"/>
        <w:autoSpaceDE/>
        <w:autoSpaceDN/>
        <w:bidi w:val="0"/>
        <w:adjustRightInd/>
        <w:snapToGrid/>
        <w:spacing w:before="1269" w:beforeLines="400" w:after="317" w:afterLines="100" w:line="360" w:lineRule="auto"/>
        <w:jc w:val="center"/>
        <w:textAlignment w:val="auto"/>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老年医学中心多联机空调维保服务</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21919"/>
      <w:bookmarkStart w:id="1" w:name="_Toc471310326"/>
      <w:bookmarkStart w:id="2" w:name="_Toc20358"/>
      <w:bookmarkStart w:id="3" w:name="_Toc62832406"/>
      <w:bookmarkStart w:id="4" w:name="_Toc3240"/>
      <w:bookmarkStart w:id="5" w:name="_Toc1907"/>
      <w:r>
        <w:rPr>
          <w:rFonts w:hint="eastAsia" w:ascii="Times New Roman" w:hAnsi="Times New Roman" w:eastAsia="黑体" w:cs="Times New Roman"/>
          <w:b/>
          <w:kern w:val="44"/>
          <w:sz w:val="36"/>
          <w:szCs w:val="22"/>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老年医学中心多联机空调维保服务</w:t>
            </w:r>
            <w:r>
              <w:rPr>
                <w:rFonts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CGZX-HQB20261135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E4BF282">
            <w:pPr>
              <w:spacing w:line="360" w:lineRule="auto"/>
              <w:ind w:left="210" w:leftChars="100"/>
              <w:rPr>
                <w:rFonts w:hint="eastAsia" w:ascii="Times New Roman" w:hAnsi="Times New Roman" w:eastAsia="仿宋" w:cs="Times New Roman"/>
                <w:sz w:val="22"/>
                <w:highlight w:val="none"/>
                <w:lang w:val="en-US" w:eastAsia="zh-CN"/>
              </w:rPr>
            </w:pPr>
            <w:r>
              <w:rPr>
                <w:rFonts w:hint="eastAsia" w:ascii="Times New Roman" w:hAnsi="Times New Roman" w:eastAsia="仿宋" w:cs="Times New Roman"/>
                <w:sz w:val="22"/>
                <w:lang w:val="en-US" w:eastAsia="zh-CN"/>
              </w:rPr>
              <w:t>维保费限高价为17.5万元；</w:t>
            </w:r>
            <w:r>
              <w:rPr>
                <w:rFonts w:hint="eastAsia" w:ascii="Times New Roman" w:hAnsi="Times New Roman" w:eastAsia="仿宋" w:cs="Times New Roman"/>
                <w:sz w:val="22"/>
                <w:highlight w:val="none"/>
                <w:lang w:val="en-US" w:eastAsia="zh-CN"/>
              </w:rPr>
              <w:t>维修配件费按实结算支付上限为5万元，维修配件限高单价详见第四章“配件限价清单</w:t>
            </w:r>
            <w:r>
              <w:rPr>
                <w:rFonts w:hint="eastAsia" w:ascii="仿宋" w:hAnsi="仿宋" w:eastAsia="仿宋" w:cs="仿宋"/>
                <w:kern w:val="2"/>
                <w:highlight w:val="none"/>
                <w:lang w:eastAsia="zh-CN"/>
              </w:rPr>
              <w:t>”</w:t>
            </w:r>
            <w:r>
              <w:rPr>
                <w:rFonts w:hint="eastAsia" w:ascii="Times New Roman" w:hAnsi="Times New Roman" w:eastAsia="仿宋" w:cs="Times New Roman"/>
                <w:sz w:val="22"/>
                <w:highlight w:val="none"/>
                <w:lang w:val="en-US" w:eastAsia="zh-CN"/>
              </w:rPr>
              <w:t>。</w:t>
            </w:r>
          </w:p>
          <w:p w14:paraId="71D9289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highlight w:val="none"/>
                <w:lang w:val="en-US" w:eastAsia="zh-CN"/>
              </w:rPr>
              <w:t>1.维保部分要求报总价，超过最高限价的报价，其响应文件做无效处理；2.维修配件部分要求报统一下浮率，下浮率＜0或≥100%，视为无效报价，其响应文件作无效处理。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不举行</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7"/>
              <w:numPr>
                <w:ilvl w:val="0"/>
                <w:numId w:val="0"/>
              </w:numPr>
              <w:spacing w:after="0" w:line="360" w:lineRule="auto"/>
              <w:ind w:left="216" w:leftChars="103" w:firstLine="202" w:firstLineChars="92"/>
              <w:rPr>
                <w:rFonts w:hint="eastAsia" w:ascii="仿宋" w:hAnsi="仿宋" w:eastAsia="仿宋" w:cs="仿宋"/>
                <w:sz w:val="22"/>
                <w:szCs w:val="22"/>
                <w:u w:color="000000"/>
              </w:rPr>
            </w:pPr>
            <w:r>
              <w:rPr>
                <w:rFonts w:hint="default" w:ascii="仿宋" w:hAnsi="仿宋" w:eastAsia="仿宋" w:cs="仿宋"/>
                <w:kern w:val="2"/>
                <w:sz w:val="22"/>
                <w:szCs w:val="22"/>
                <w:u w:color="000000"/>
                <w:lang w:val="en-US" w:eastAsia="zh-CN" w:bidi="ar-SA"/>
              </w:rPr>
              <w:t>(1)</w:t>
            </w:r>
            <w:r>
              <w:rPr>
                <w:rFonts w:ascii="Times New Roman" w:hAnsi="Times New Roman" w:eastAsia="仿宋" w:cs="Times New Roman"/>
                <w:sz w:val="22"/>
                <w:u w:color="000000"/>
              </w:rPr>
              <w:t>踏勘签到时间</w:t>
            </w:r>
            <w:r>
              <w:rPr>
                <w:rFonts w:hint="eastAsia" w:ascii="仿宋" w:hAnsi="仿宋" w:eastAsia="仿宋" w:cs="仿宋"/>
                <w:sz w:val="22"/>
                <w:szCs w:val="22"/>
                <w:u w:color="000000"/>
              </w:rPr>
              <w:t>：</w:t>
            </w:r>
            <w:r>
              <w:rPr>
                <w:rFonts w:hint="eastAsia" w:ascii="仿宋" w:hAnsi="仿宋" w:eastAsia="仿宋" w:cs="仿宋"/>
                <w:sz w:val="22"/>
                <w:szCs w:val="22"/>
                <w:u w:color="000000"/>
                <w:lang w:val="en-US" w:eastAsia="zh-CN"/>
              </w:rPr>
              <w:t>2026年8月7日</w:t>
            </w:r>
            <w:r>
              <w:rPr>
                <w:rFonts w:hint="eastAsia" w:ascii="仿宋" w:hAnsi="仿宋" w:eastAsia="仿宋" w:cs="仿宋"/>
                <w:b w:val="0"/>
                <w:bCs/>
                <w:color w:val="auto"/>
                <w:kern w:val="2"/>
                <w:sz w:val="22"/>
                <w:szCs w:val="22"/>
                <w:highlight w:val="none"/>
                <w:lang w:val="en-US" w:eastAsia="zh-CN" w:bidi="ar-SA"/>
              </w:rPr>
              <w:t>上午9：00-9：30</w:t>
            </w:r>
          </w:p>
          <w:p w14:paraId="72677446">
            <w:pPr>
              <w:pStyle w:val="7"/>
              <w:numPr>
                <w:ilvl w:val="0"/>
                <w:numId w:val="0"/>
              </w:numPr>
              <w:spacing w:after="0" w:line="360" w:lineRule="auto"/>
              <w:ind w:left="216" w:leftChars="103" w:firstLine="202" w:firstLineChars="92"/>
              <w:rPr>
                <w:rFonts w:hint="eastAsia" w:ascii="仿宋" w:hAnsi="仿宋" w:eastAsia="仿宋" w:cs="仿宋"/>
                <w:sz w:val="22"/>
                <w:szCs w:val="22"/>
                <w:u w:color="000000"/>
              </w:rPr>
            </w:pPr>
            <w:r>
              <w:rPr>
                <w:rFonts w:hint="default" w:ascii="仿宋" w:hAnsi="仿宋" w:eastAsia="仿宋" w:cs="仿宋"/>
                <w:kern w:val="2"/>
                <w:sz w:val="22"/>
                <w:szCs w:val="22"/>
                <w:u w:color="000000"/>
                <w:lang w:val="en-US" w:eastAsia="zh-CN" w:bidi="ar-SA"/>
              </w:rPr>
              <w:t>(2)</w:t>
            </w:r>
            <w:r>
              <w:rPr>
                <w:rFonts w:hint="eastAsia" w:ascii="仿宋" w:hAnsi="仿宋" w:eastAsia="仿宋" w:cs="仿宋"/>
                <w:sz w:val="22"/>
                <w:szCs w:val="22"/>
                <w:u w:color="000000"/>
              </w:rPr>
              <w:t>踏勘签到地点：</w:t>
            </w:r>
            <w:r>
              <w:rPr>
                <w:rFonts w:hint="eastAsia" w:ascii="仿宋" w:hAnsi="仿宋" w:eastAsia="仿宋" w:cs="仿宋"/>
                <w:b w:val="0"/>
                <w:bCs/>
                <w:color w:val="auto"/>
                <w:kern w:val="2"/>
                <w:sz w:val="22"/>
                <w:szCs w:val="22"/>
                <w:highlight w:val="none"/>
                <w:lang w:val="en-US" w:eastAsia="zh-CN" w:bidi="ar-SA"/>
              </w:rPr>
              <w:t>成都市青羊区浣花北路18号四川省人民医院医学图书馆4楼招标采购中心401办公室</w:t>
            </w:r>
          </w:p>
          <w:p w14:paraId="05E49845">
            <w:pPr>
              <w:pStyle w:val="7"/>
              <w:numPr>
                <w:ilvl w:val="0"/>
                <w:numId w:val="0"/>
              </w:numPr>
              <w:spacing w:after="0" w:line="360" w:lineRule="auto"/>
              <w:ind w:left="216" w:leftChars="103" w:firstLine="202" w:firstLineChars="92"/>
              <w:rPr>
                <w:rFonts w:hint="eastAsia" w:ascii="仿宋" w:hAnsi="仿宋" w:eastAsia="仿宋" w:cs="仿宋"/>
                <w:sz w:val="22"/>
                <w:szCs w:val="22"/>
                <w:u w:color="000000"/>
              </w:rPr>
            </w:pPr>
            <w:r>
              <w:rPr>
                <w:rFonts w:hint="default" w:ascii="仿宋" w:hAnsi="仿宋" w:eastAsia="仿宋" w:cs="仿宋"/>
                <w:kern w:val="2"/>
                <w:sz w:val="22"/>
                <w:szCs w:val="22"/>
                <w:u w:color="000000"/>
                <w:lang w:val="en-US" w:eastAsia="zh-CN" w:bidi="ar-SA"/>
              </w:rPr>
              <w:t>(3)</w:t>
            </w:r>
            <w:r>
              <w:rPr>
                <w:rFonts w:hint="eastAsia" w:ascii="仿宋" w:hAnsi="仿宋" w:eastAsia="仿宋" w:cs="仿宋"/>
                <w:sz w:val="22"/>
                <w:szCs w:val="22"/>
                <w:u w:color="000000"/>
              </w:rPr>
              <w:t>踏勘开始时间：</w:t>
            </w:r>
            <w:r>
              <w:rPr>
                <w:rFonts w:hint="eastAsia" w:ascii="仿宋" w:hAnsi="仿宋" w:eastAsia="仿宋" w:cs="仿宋"/>
                <w:sz w:val="22"/>
                <w:szCs w:val="22"/>
                <w:u w:color="000000"/>
                <w:lang w:val="en-US" w:eastAsia="zh-CN"/>
              </w:rPr>
              <w:t>2026年8月7日</w:t>
            </w:r>
            <w:r>
              <w:rPr>
                <w:rFonts w:hint="eastAsia" w:ascii="仿宋" w:hAnsi="仿宋" w:eastAsia="仿宋" w:cs="仿宋"/>
                <w:b w:val="0"/>
                <w:bCs/>
                <w:color w:val="auto"/>
                <w:kern w:val="2"/>
                <w:sz w:val="22"/>
                <w:szCs w:val="22"/>
                <w:highlight w:val="none"/>
                <w:lang w:val="en-US" w:eastAsia="zh-CN" w:bidi="ar-SA"/>
              </w:rPr>
              <w:t>10：00</w:t>
            </w:r>
          </w:p>
          <w:p w14:paraId="2DB245B1">
            <w:pPr>
              <w:pStyle w:val="7"/>
              <w:numPr>
                <w:ilvl w:val="0"/>
                <w:numId w:val="0"/>
              </w:numPr>
              <w:spacing w:after="0" w:line="360" w:lineRule="auto"/>
              <w:ind w:left="216" w:leftChars="103" w:firstLine="202" w:firstLineChars="92"/>
              <w:rPr>
                <w:rFonts w:hint="eastAsia" w:ascii="仿宋" w:hAnsi="仿宋" w:eastAsia="仿宋" w:cs="仿宋"/>
                <w:sz w:val="22"/>
                <w:szCs w:val="22"/>
                <w:u w:color="000000"/>
              </w:rPr>
            </w:pPr>
            <w:r>
              <w:rPr>
                <w:rFonts w:hint="default" w:ascii="仿宋" w:hAnsi="仿宋" w:eastAsia="仿宋" w:cs="仿宋"/>
                <w:kern w:val="2"/>
                <w:sz w:val="22"/>
                <w:szCs w:val="22"/>
                <w:u w:color="000000"/>
                <w:lang w:val="en-US" w:eastAsia="zh-CN" w:bidi="ar-SA"/>
              </w:rPr>
              <w:t>(4)</w:t>
            </w:r>
            <w:r>
              <w:rPr>
                <w:rFonts w:hint="eastAsia" w:ascii="仿宋" w:hAnsi="仿宋" w:eastAsia="仿宋" w:cs="仿宋"/>
                <w:sz w:val="22"/>
                <w:szCs w:val="22"/>
                <w:u w:color="000000"/>
              </w:rPr>
              <w:t>踏勘地点：</w:t>
            </w:r>
            <w:r>
              <w:rPr>
                <w:rFonts w:hint="eastAsia" w:ascii="仿宋" w:hAnsi="仿宋" w:eastAsia="仿宋" w:cs="仿宋"/>
                <w:b w:val="0"/>
                <w:bCs/>
                <w:color w:val="auto"/>
                <w:kern w:val="2"/>
                <w:sz w:val="22"/>
                <w:szCs w:val="22"/>
                <w:highlight w:val="none"/>
                <w:lang w:val="en-US" w:eastAsia="zh-CN" w:bidi="ar-SA"/>
              </w:rPr>
              <w:t>四川省人民医院老年医学中心（四川省成都市青羊区浣花滨河路49号）</w:t>
            </w:r>
          </w:p>
          <w:p w14:paraId="2B285ABD">
            <w:pPr>
              <w:pStyle w:val="7"/>
              <w:numPr>
                <w:ilvl w:val="0"/>
                <w:numId w:val="0"/>
              </w:numPr>
              <w:spacing w:after="0" w:line="360" w:lineRule="auto"/>
              <w:ind w:left="216" w:leftChars="103" w:firstLine="202" w:firstLineChars="92"/>
              <w:rPr>
                <w:rFonts w:hint="eastAsia" w:ascii="仿宋" w:hAnsi="仿宋" w:eastAsia="仿宋" w:cs="仿宋"/>
                <w:sz w:val="22"/>
                <w:szCs w:val="22"/>
                <w:u w:color="000000"/>
              </w:rPr>
            </w:pPr>
            <w:r>
              <w:rPr>
                <w:rFonts w:hint="default" w:ascii="仿宋" w:hAnsi="仿宋" w:eastAsia="仿宋" w:cs="仿宋"/>
                <w:kern w:val="2"/>
                <w:sz w:val="22"/>
                <w:szCs w:val="22"/>
                <w:u w:color="000000"/>
                <w:lang w:val="en-US" w:eastAsia="zh-CN" w:bidi="ar-SA"/>
              </w:rPr>
              <w:t>(5)</w:t>
            </w:r>
            <w:r>
              <w:rPr>
                <w:rFonts w:hint="eastAsia" w:ascii="仿宋" w:hAnsi="仿宋" w:eastAsia="仿宋" w:cs="仿宋"/>
                <w:sz w:val="22"/>
                <w:szCs w:val="22"/>
                <w:u w:color="000000"/>
              </w:rPr>
              <w:t>联系人：</w:t>
            </w:r>
            <w:r>
              <w:rPr>
                <w:rFonts w:hint="eastAsia" w:ascii="仿宋" w:hAnsi="仿宋" w:eastAsia="仿宋" w:cs="仿宋"/>
                <w:sz w:val="22"/>
                <w:szCs w:val="22"/>
                <w:u w:color="000000"/>
                <w:lang w:val="en-US" w:eastAsia="zh-CN"/>
              </w:rPr>
              <w:t>干老师</w:t>
            </w:r>
          </w:p>
          <w:p w14:paraId="462DCA6B">
            <w:pPr>
              <w:pStyle w:val="7"/>
              <w:numPr>
                <w:ilvl w:val="0"/>
                <w:numId w:val="0"/>
              </w:numPr>
              <w:spacing w:after="0" w:line="360" w:lineRule="auto"/>
              <w:ind w:left="216" w:leftChars="103" w:firstLine="202" w:firstLineChars="92"/>
              <w:rPr>
                <w:rFonts w:hint="eastAsia" w:ascii="仿宋" w:hAnsi="仿宋" w:eastAsia="仿宋" w:cs="仿宋"/>
                <w:b w:val="0"/>
                <w:bCs w:val="0"/>
                <w:sz w:val="22"/>
                <w:szCs w:val="22"/>
                <w:u w:color="000000"/>
              </w:rPr>
            </w:pPr>
            <w:r>
              <w:rPr>
                <w:rFonts w:hint="default" w:ascii="仿宋" w:hAnsi="仿宋" w:eastAsia="仿宋" w:cs="仿宋"/>
                <w:b w:val="0"/>
                <w:bCs w:val="0"/>
                <w:kern w:val="2"/>
                <w:sz w:val="22"/>
                <w:szCs w:val="22"/>
                <w:u w:color="000000"/>
                <w:lang w:val="en-US" w:eastAsia="zh-CN" w:bidi="ar-SA"/>
              </w:rPr>
              <w:t>(6)</w:t>
            </w:r>
            <w:r>
              <w:rPr>
                <w:rFonts w:hint="eastAsia" w:ascii="仿宋" w:hAnsi="仿宋" w:eastAsia="仿宋" w:cs="仿宋"/>
                <w:sz w:val="22"/>
                <w:szCs w:val="22"/>
                <w:u w:color="000000"/>
              </w:rPr>
              <w:t>联系电话：</w:t>
            </w:r>
            <w:r>
              <w:rPr>
                <w:rFonts w:hint="eastAsia" w:ascii="仿宋" w:hAnsi="仿宋" w:eastAsia="仿宋" w:cs="仿宋"/>
                <w:b w:val="0"/>
                <w:bCs w:val="0"/>
                <w:sz w:val="22"/>
                <w:szCs w:val="22"/>
                <w:u w:color="000000"/>
                <w:lang w:val="en-US" w:eastAsia="zh-CN"/>
              </w:rPr>
              <w:t>18981781808</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维保费用成交金额的10%</w:t>
            </w:r>
          </w:p>
          <w:p w14:paraId="00EA646A">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rPr>
            </w:pPr>
            <w:r>
              <w:rPr>
                <w:rFonts w:hint="default" w:ascii="Times New Roman" w:hAnsi="Times New Roman" w:eastAsia="仿宋" w:cs="Times New Roman"/>
                <w:sz w:val="22"/>
                <w:szCs w:val="22"/>
                <w:lang w:val="en-US" w:eastAsia="zh-CN" w:bidi="ar-SA"/>
              </w:rPr>
              <w:t>(2)</w:t>
            </w:r>
            <w:r>
              <w:rPr>
                <w:rFonts w:hint="eastAsia" w:ascii="Times New Roman" w:hAnsi="Times New Roman" w:eastAsia="仿宋" w:cs="Times New Roman"/>
                <w:sz w:val="22"/>
                <w:szCs w:val="22"/>
                <w:lang w:val="zh-CN" w:eastAsia="zh-CN"/>
              </w:rPr>
              <w:t>因供应商严重违约或其它违法违规行为等情形，导致双方无法继续履约。</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rPr>
              <w:t>报价最低</w:t>
            </w:r>
            <w:r>
              <w:rPr>
                <w:rFonts w:hint="eastAsia" w:ascii="Times New Roman" w:hAnsi="Times New Roman" w:eastAsia="仿宋" w:cs="Times New Roman"/>
                <w:i w:val="0"/>
                <w:iCs w:val="0"/>
                <w:sz w:val="22"/>
                <w:lang w:val="en-US" w:eastAsia="zh-CN"/>
              </w:rPr>
              <w:t>（</w:t>
            </w:r>
            <w:r>
              <w:rPr>
                <w:rFonts w:hint="eastAsia" w:ascii="Times New Roman" w:hAnsi="Times New Roman" w:eastAsia="仿宋" w:cs="Times New Roman"/>
                <w:sz w:val="22"/>
                <w:lang w:val="en-US" w:eastAsia="zh-CN"/>
              </w:rPr>
              <w:t>维保费价格得分与维修配件价格得分之和最高的）</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7C77D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D50AF4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何</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w:t>
            </w:r>
            <w:r>
              <w:rPr>
                <w:rFonts w:ascii="Times New Roman" w:hAnsi="Times New Roman" w:eastAsia="仿宋" w:cs="Times New Roman"/>
                <w:sz w:val="22"/>
                <w:u w:val="none"/>
              </w:rPr>
              <w:t>8-</w:t>
            </w:r>
            <w:r>
              <w:rPr>
                <w:rFonts w:hint="eastAsia" w:ascii="Times New Roman" w:hAnsi="Times New Roman" w:eastAsia="仿宋" w:cs="Times New Roman"/>
                <w:sz w:val="22"/>
                <w:u w:val="none"/>
                <w:lang w:val="en-US" w:eastAsia="zh-CN"/>
              </w:rPr>
              <w:t>87394783</w:t>
            </w:r>
          </w:p>
          <w:p w14:paraId="6A7547B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后勤保障部</w:t>
            </w:r>
          </w:p>
          <w:p w14:paraId="370E801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028-</w:t>
            </w:r>
            <w:r>
              <w:rPr>
                <w:rFonts w:hint="eastAsia" w:ascii="Times New Roman" w:hAnsi="Times New Roman" w:eastAsia="仿宋" w:cs="Times New Roman"/>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22329"/>
      <w:bookmarkStart w:id="8" w:name="_Toc14460"/>
      <w:r>
        <w:rPr>
          <w:rFonts w:hint="eastAsia" w:ascii="Times New Roman" w:hAnsi="Times New Roman" w:eastAsia="黑体" w:cs="Times New Roman"/>
          <w:b/>
          <w:kern w:val="44"/>
          <w:sz w:val="36"/>
          <w:szCs w:val="22"/>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28050"/>
      <w:bookmarkStart w:id="10" w:name="_Toc32181"/>
      <w:bookmarkStart w:id="11" w:name="_Toc19400"/>
      <w:r>
        <w:rPr>
          <w:rFonts w:hint="eastAsia" w:ascii="Times New Roman" w:hAnsi="Times New Roman" w:eastAsia="黑体" w:cs="Times New Roman"/>
          <w:b/>
          <w:kern w:val="44"/>
          <w:sz w:val="36"/>
          <w:szCs w:val="22"/>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none"/>
                <w:lang w:val="en-US" w:eastAsia="zh-CN"/>
              </w:rPr>
              <w:t>无</w:t>
            </w:r>
          </w:p>
        </w:tc>
        <w:tc>
          <w:tcPr>
            <w:tcW w:w="2846" w:type="pct"/>
            <w:vAlign w:val="center"/>
          </w:tcPr>
          <w:p w14:paraId="7D3D2FEC">
            <w:pPr>
              <w:jc w:val="center"/>
              <w:rPr>
                <w:rFonts w:hint="eastAsia" w:ascii="Times New Roman" w:hAnsi="Times New Roman" w:eastAsia="仿宋" w:cs="Times New Roman"/>
                <w:sz w:val="22"/>
                <w:u w:val="none"/>
                <w:lang w:val="en-US" w:eastAsia="zh-CN"/>
              </w:rPr>
            </w:pPr>
            <w:r>
              <w:rPr>
                <w:rFonts w:hint="eastAsia" w:ascii="Times New Roman" w:hAnsi="Times New Roman" w:eastAsia="仿宋" w:cs="Times New Roman"/>
                <w:sz w:val="22"/>
                <w:u w:val="none"/>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16403"/>
      <w:bookmarkStart w:id="13" w:name="_Toc3988"/>
      <w:bookmarkStart w:id="14" w:name="_Toc12668"/>
      <w:r>
        <w:rPr>
          <w:rFonts w:hint="eastAsia" w:ascii="Times New Roman" w:hAnsi="Times New Roman" w:eastAsia="黑体" w:cs="Times New Roman"/>
          <w:b/>
          <w:kern w:val="44"/>
          <w:sz w:val="36"/>
          <w:szCs w:val="22"/>
          <w:lang w:val="zh-CN" w:eastAsia="zh-CN" w:bidi="ar-SA"/>
        </w:rPr>
        <w:t xml:space="preserve">第四章 </w:t>
      </w:r>
      <w:r>
        <w:rPr>
          <w:rFonts w:ascii="Times New Roman" w:hAnsi="Times New Roman" w:cs="Times New Roman"/>
        </w:rPr>
        <w:t>采购需求</w:t>
      </w:r>
      <w:bookmarkEnd w:id="12"/>
      <w:bookmarkEnd w:id="13"/>
      <w:bookmarkEnd w:id="14"/>
    </w:p>
    <w:p w14:paraId="35758741">
      <w:pPr>
        <w:pStyle w:val="16"/>
        <w:keepNext w:val="0"/>
        <w:keepLines w:val="0"/>
        <w:pageBreakBefore w:val="0"/>
        <w:widowControl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一、</w:t>
      </w:r>
      <w:r>
        <w:rPr>
          <w:rFonts w:hint="eastAsia" w:ascii="仿宋" w:hAnsi="仿宋" w:eastAsia="仿宋" w:cs="仿宋"/>
          <w:b/>
          <w:bCs/>
          <w:color w:val="auto"/>
          <w:sz w:val="24"/>
          <w:szCs w:val="24"/>
          <w:highlight w:val="none"/>
        </w:rPr>
        <w:t>项目简介</w:t>
      </w:r>
    </w:p>
    <w:p w14:paraId="4DC3DD49">
      <w:pPr>
        <w:pStyle w:val="16"/>
        <w:keepNext w:val="0"/>
        <w:keepLines w:val="0"/>
        <w:pageBreakBefore w:val="0"/>
        <w:widowControl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因采购人实际工作需要，本项目拟确定一家供应商为四川省人民医院老年医学中心提供多联机空调（包括变频多联机（VRF）、风冷模块机组及精密空调等）维保服务。</w:t>
      </w:r>
    </w:p>
    <w:p w14:paraId="1EA94F75">
      <w:pPr>
        <w:pStyle w:val="16"/>
        <w:keepNext w:val="0"/>
        <w:keepLines w:val="0"/>
        <w:pageBreakBefore w:val="0"/>
        <w:widowControl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kern w:val="2"/>
          <w:sz w:val="24"/>
          <w:szCs w:val="24"/>
          <w:highlight w:val="none"/>
        </w:rPr>
        <w:t>★</w:t>
      </w:r>
      <w:r>
        <w:rPr>
          <w:rFonts w:hint="eastAsia" w:ascii="仿宋" w:hAnsi="仿宋" w:eastAsia="仿宋" w:cs="仿宋"/>
          <w:b/>
          <w:bCs/>
          <w:color w:val="auto"/>
          <w:sz w:val="24"/>
          <w:szCs w:val="24"/>
          <w:highlight w:val="none"/>
        </w:rPr>
        <w:t>二、</w:t>
      </w:r>
      <w:r>
        <w:rPr>
          <w:rFonts w:hint="eastAsia" w:ascii="仿宋" w:hAnsi="仿宋" w:eastAsia="仿宋" w:cs="仿宋"/>
          <w:b/>
          <w:bCs/>
          <w:color w:val="auto"/>
          <w:sz w:val="24"/>
          <w:szCs w:val="24"/>
          <w:highlight w:val="none"/>
          <w:lang w:val="en-US" w:eastAsia="zh-CN"/>
        </w:rPr>
        <w:t>维保设备及配件限价清单</w:t>
      </w:r>
    </w:p>
    <w:p w14:paraId="3CA60841">
      <w:pPr>
        <w:keepNext w:val="0"/>
        <w:keepLines w:val="0"/>
        <w:pageBreakBefore w:val="0"/>
        <w:widowControl w:val="0"/>
        <w:kinsoku/>
        <w:wordWrap/>
        <w:overflowPunct/>
        <w:topLinePunct w:val="0"/>
        <w:autoSpaceDE/>
        <w:autoSpaceDN/>
        <w:bidi w:val="0"/>
        <w:adjustRightIn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1.</w:t>
      </w:r>
      <w:r>
        <w:rPr>
          <w:rFonts w:hint="eastAsia" w:ascii="仿宋" w:hAnsi="仿宋" w:eastAsia="仿宋" w:cs="仿宋"/>
          <w:color w:val="auto"/>
          <w:kern w:val="2"/>
          <w:sz w:val="24"/>
          <w:szCs w:val="24"/>
          <w:highlight w:val="none"/>
        </w:rPr>
        <w:t>维保设备清单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59"/>
        <w:gridCol w:w="2049"/>
        <w:gridCol w:w="2451"/>
        <w:gridCol w:w="2872"/>
        <w:gridCol w:w="1725"/>
      </w:tblGrid>
      <w:tr w14:paraId="19CC8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859" w:type="dxa"/>
            <w:tcBorders>
              <w:top w:val="single" w:color="000000" w:sz="6" w:space="0"/>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D85BF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049" w:type="dxa"/>
            <w:tcBorders>
              <w:top w:val="single" w:color="000000" w:sz="6" w:space="0"/>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88F59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设备名称</w:t>
            </w:r>
          </w:p>
        </w:tc>
        <w:tc>
          <w:tcPr>
            <w:tcW w:w="2451" w:type="dxa"/>
            <w:tcBorders>
              <w:top w:val="single" w:color="000000" w:sz="6" w:space="0"/>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7477A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品牌</w:t>
            </w:r>
          </w:p>
        </w:tc>
        <w:tc>
          <w:tcPr>
            <w:tcW w:w="2872" w:type="dxa"/>
            <w:tcBorders>
              <w:top w:val="single" w:color="000000" w:sz="6" w:space="0"/>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F20B9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机型</w:t>
            </w:r>
          </w:p>
        </w:tc>
        <w:tc>
          <w:tcPr>
            <w:tcW w:w="1725" w:type="dxa"/>
            <w:tcBorders>
              <w:top w:val="single" w:color="000000" w:sz="6" w:space="0"/>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B9D413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数量</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单位）</w:t>
            </w:r>
          </w:p>
        </w:tc>
      </w:tr>
      <w:tr w14:paraId="693EA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316DF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31828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1E02A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艾美康</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98AE3F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BO-922F</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6922B2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套</w:t>
            </w:r>
          </w:p>
        </w:tc>
      </w:tr>
      <w:tr w14:paraId="77365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5DD9DC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24085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2E667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成都科斯特</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07CA8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LHGC-050S52SLK</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1A22E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套</w:t>
            </w:r>
          </w:p>
        </w:tc>
      </w:tr>
      <w:tr w14:paraId="4259C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9416A8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F20BA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CAC34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东芝</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ADBA9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MCY-MHP0806HT8-CF</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A9661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套</w:t>
            </w:r>
          </w:p>
        </w:tc>
      </w:tr>
      <w:tr w14:paraId="6A440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F7ACE0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F59000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54DAE5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东芝</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F99EF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MMY-MHP0804HT8-C1F</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24F25F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套</w:t>
            </w:r>
          </w:p>
        </w:tc>
      </w:tr>
      <w:tr w14:paraId="16EA1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39593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A965AD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3203F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东芝</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6B4CA0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MMY-MHP1004HT8-C1F</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EBE621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en-US" w:eastAsia="zh-CN"/>
              </w:rPr>
              <w:t>套</w:t>
            </w:r>
          </w:p>
        </w:tc>
      </w:tr>
      <w:tr w14:paraId="61BDA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97743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2B476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C7E7A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东芝</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820405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MMY-MHP1204HT8-C1F</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7F4A2B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套</w:t>
            </w:r>
          </w:p>
        </w:tc>
      </w:tr>
      <w:tr w14:paraId="2D168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B78DD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6B00E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712ADB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东芝</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4E5AD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MMY-MHP1604HT8-C1F</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DCFFD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套</w:t>
            </w:r>
          </w:p>
        </w:tc>
      </w:tr>
      <w:tr w14:paraId="03F4A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C16D5F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BA7395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A23E9F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东芝</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545ED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MMY-MAP1606HT8P-C</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8AB94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套</w:t>
            </w:r>
          </w:p>
        </w:tc>
      </w:tr>
      <w:tr w14:paraId="56D61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2B6809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A75CF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D4A17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精密空调：城钰电子</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F3FC0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LY-CY0261</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C71B5E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套</w:t>
            </w:r>
          </w:p>
        </w:tc>
      </w:tr>
      <w:tr w14:paraId="74583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62186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A46C3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E272F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克莱门特捷联制冷机</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97ED81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AQS0252-B/L</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718504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套</w:t>
            </w:r>
          </w:p>
        </w:tc>
      </w:tr>
      <w:tr w14:paraId="7D39D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3AFB7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10A9E1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AA3FA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美的多联机</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1B9D8B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MDV-785W/D2SN1-8*3(T)</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E087E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套</w:t>
            </w:r>
          </w:p>
        </w:tc>
      </w:tr>
      <w:tr w14:paraId="5B54D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D7D566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00B43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94ABD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南京天加环境</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42309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TSAV0160CRCR</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789471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套</w:t>
            </w:r>
          </w:p>
        </w:tc>
      </w:tr>
      <w:tr w14:paraId="6F943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A07C7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30106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51382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青岛海信日立空调</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FB976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RAS-450FSNYAQ</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4A197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套</w:t>
            </w:r>
          </w:p>
        </w:tc>
      </w:tr>
      <w:tr w14:paraId="797B1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5E215F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7E1A5C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9A5FA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青岛海信日立空调</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63A69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RAS-335FSNYAQ</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F56ABC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套</w:t>
            </w:r>
          </w:p>
        </w:tc>
      </w:tr>
      <w:tr w14:paraId="38A7F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CE14D7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04C8DB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5FC21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特灵空调</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758AA0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TWA150ADFECA</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388A5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套</w:t>
            </w:r>
          </w:p>
        </w:tc>
      </w:tr>
      <w:tr w14:paraId="1E6C3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CAE61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67A80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E0A88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特灵空调</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4B271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TWA100ADFECA</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59016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套</w:t>
            </w:r>
          </w:p>
        </w:tc>
      </w:tr>
      <w:tr w14:paraId="42795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7EE68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651C3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室外机主机</w:t>
            </w:r>
          </w:p>
        </w:tc>
        <w:tc>
          <w:tcPr>
            <w:tcW w:w="2451"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0DCB9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开利多联机</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80645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38VR005H102060</w:t>
            </w: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8BA2E6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套</w:t>
            </w:r>
          </w:p>
        </w:tc>
      </w:tr>
      <w:tr w14:paraId="7B504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859"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BB7424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204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969A5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室内机</w:t>
            </w:r>
          </w:p>
        </w:tc>
        <w:tc>
          <w:tcPr>
            <w:tcW w:w="2451"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C73CA5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室内机</w:t>
            </w:r>
          </w:p>
        </w:tc>
        <w:tc>
          <w:tcPr>
            <w:tcW w:w="28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ED6FD17">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p>
        </w:tc>
        <w:tc>
          <w:tcPr>
            <w:tcW w:w="172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94F109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193</w:t>
            </w:r>
            <w:r>
              <w:rPr>
                <w:rFonts w:hint="eastAsia" w:ascii="仿宋" w:hAnsi="仿宋" w:eastAsia="仿宋" w:cs="仿宋"/>
                <w:color w:val="auto"/>
                <w:sz w:val="24"/>
                <w:szCs w:val="24"/>
                <w:highlight w:val="none"/>
                <w:lang w:val="en-US" w:eastAsia="zh-CN"/>
              </w:rPr>
              <w:t>台</w:t>
            </w:r>
          </w:p>
        </w:tc>
      </w:tr>
    </w:tbl>
    <w:p w14:paraId="437610D6">
      <w:pPr>
        <w:keepNext w:val="0"/>
        <w:keepLines w:val="0"/>
        <w:pageBreakBefore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配件限价清单（含税包干价）</w:t>
      </w:r>
    </w:p>
    <w:p w14:paraId="43AFA3B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维保期内，所更换的维修配件费用不超过本项目维修配件成交单价（含人工、辅材、高空费）且质保期限不低于3个月。</w:t>
      </w:r>
    </w:p>
    <w:tbl>
      <w:tblPr>
        <w:tblStyle w:val="1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23"/>
        <w:gridCol w:w="2083"/>
        <w:gridCol w:w="1580"/>
        <w:gridCol w:w="2110"/>
        <w:gridCol w:w="1818"/>
        <w:gridCol w:w="1127"/>
      </w:tblGrid>
      <w:tr w14:paraId="090D5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c>
          <w:tcPr>
            <w:tcW w:w="112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8FF5F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序号</w:t>
            </w:r>
          </w:p>
        </w:tc>
        <w:tc>
          <w:tcPr>
            <w:tcW w:w="208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C9A31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材料名称</w:t>
            </w:r>
          </w:p>
        </w:tc>
        <w:tc>
          <w:tcPr>
            <w:tcW w:w="15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1D3C42A">
            <w:pPr>
              <w:pStyle w:val="14"/>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leftChars="0" w:right="0" w:rightChars="0" w:firstLine="0" w:firstLineChars="0"/>
              <w:jc w:val="center"/>
              <w:rPr>
                <w:rStyle w:val="21"/>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rPr>
              <w:t>计价单位</w:t>
            </w:r>
          </w:p>
        </w:tc>
        <w:tc>
          <w:tcPr>
            <w:tcW w:w="211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3C57B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规格/备注</w:t>
            </w:r>
          </w:p>
        </w:tc>
        <w:tc>
          <w:tcPr>
            <w:tcW w:w="1818"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309E6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限高单价(元)</w:t>
            </w:r>
          </w:p>
        </w:tc>
        <w:tc>
          <w:tcPr>
            <w:tcW w:w="112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6EA88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备注</w:t>
            </w:r>
          </w:p>
        </w:tc>
      </w:tr>
      <w:tr w14:paraId="4417C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533516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84B94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油分离器</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2541E1">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CF491D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E3A65A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602</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0A15CE">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062B6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57D65C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589399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风扇叶片</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6A0DCF">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B2182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6EAF2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1084</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9C3EAF">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70237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10335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3E576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风机电机</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FC6B3D9">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3CFCF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233EB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1761</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0FB776E">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6ABB3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B3F93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AC2A7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滤波模块</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87D13E">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6FB04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32FE6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1174</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E1B05D">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45965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FE2CF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B3715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压缩机</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BC6D13">
            <w:pPr>
              <w:pStyle w:val="14"/>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6D933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原装全新</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CB04B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10910</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49378A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需含冷冻油</w:t>
            </w:r>
          </w:p>
        </w:tc>
      </w:tr>
      <w:tr w14:paraId="7B789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D124A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7354D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控制模块</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AFEE0BC">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73D67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0D5235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3040</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C80693A">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7E76D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731B2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000B5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低压传感器</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3E5F14">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2AE4F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FC9303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406</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05DE22">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6A883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21679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E4F19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高压传感器</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9B523D">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E1C8F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DCD0C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361</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2D8DB1">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64BF9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E797D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3D2653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电抗器</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6BC5AE">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FB62E4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4D9781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572</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58F046">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22514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8FEBD0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92F52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压缩机油</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B5C9174">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1桶</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A657F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20L/桶(正品)</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288E6C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3087</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91EE45">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3A41A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E844E7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87255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制冷剂</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46E909">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1罐</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8C25E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R410A,10kg/罐</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10B099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729</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D134AC">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34285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A1EDFB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6EE81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制冷剂</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922B34">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1罐</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4EF43C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R22,10kg/罐</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B6125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643</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71538C">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2BFAC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C13312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D6680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电感</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2309878">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6A58F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233CBC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451</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B42EC7">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539F7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A83ED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FBAEF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整流桥</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0EA6AAF">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8763F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3CF28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677</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A6090D4">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3D9A4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89A19C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1C7F3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拨码集成电路板</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EAEAFA">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66F83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50C5B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6020</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89A977">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r w14:paraId="34D29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D65FA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332AF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空调气管铜管</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7B2E7A">
            <w:pPr>
              <w:pStyle w:val="14"/>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1米</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60DAE2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含保温焊接</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175009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227</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89CE6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米/单价</w:t>
            </w:r>
          </w:p>
        </w:tc>
      </w:tr>
      <w:tr w14:paraId="70406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2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2E95E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2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94F55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多联机外机主板</w:t>
            </w:r>
          </w:p>
        </w:tc>
        <w:tc>
          <w:tcPr>
            <w:tcW w:w="158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A1751D1">
            <w:pPr>
              <w:pStyle w:val="14"/>
              <w:keepNext w:val="0"/>
              <w:keepLines w:val="0"/>
              <w:pageBreakBefore w:val="0"/>
              <w:widowControl/>
              <w:suppressLineNumbers w:val="0"/>
              <w:kinsoku/>
              <w:wordWrap/>
              <w:overflowPunct/>
              <w:topLinePunct w:val="0"/>
              <w:autoSpaceDE/>
              <w:autoSpaceDN/>
              <w:bidi w:val="0"/>
              <w:adjustRightInd/>
              <w:spacing w:beforeAutospacing="0" w:afterAutospacing="0" w:line="400" w:lineRule="exact"/>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1个</w:t>
            </w:r>
          </w:p>
        </w:tc>
        <w:tc>
          <w:tcPr>
            <w:tcW w:w="211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2E795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原装</w:t>
            </w:r>
          </w:p>
        </w:tc>
        <w:tc>
          <w:tcPr>
            <w:tcW w:w="181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82B72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rPr>
              <w:t>2787</w:t>
            </w:r>
          </w:p>
        </w:tc>
        <w:tc>
          <w:tcPr>
            <w:tcW w:w="11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150031D">
            <w:pPr>
              <w:keepNext w:val="0"/>
              <w:keepLines w:val="0"/>
              <w:pageBreakBefore w:val="0"/>
              <w:widowControl/>
              <w:suppressLineNumbers w:val="0"/>
              <w:kinsoku/>
              <w:wordWrap/>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en-US" w:eastAsia="zh-CN" w:bidi="ar-SA"/>
              </w:rPr>
            </w:pPr>
          </w:p>
        </w:tc>
      </w:tr>
    </w:tbl>
    <w:p w14:paraId="3B117C4C">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color w:val="auto"/>
          <w:kern w:val="2"/>
          <w:sz w:val="24"/>
          <w:szCs w:val="24"/>
          <w:highlight w:val="none"/>
        </w:rPr>
        <w:t>★</w:t>
      </w:r>
      <w:r>
        <w:rPr>
          <w:rFonts w:hint="eastAsia" w:ascii="仿宋" w:hAnsi="仿宋" w:eastAsia="仿宋" w:cs="仿宋"/>
          <w:b/>
          <w:bCs/>
          <w:color w:val="auto"/>
          <w:kern w:val="2"/>
          <w:sz w:val="24"/>
          <w:szCs w:val="24"/>
          <w:highlight w:val="none"/>
          <w:lang w:val="en-US" w:eastAsia="zh-CN" w:bidi="ar-SA"/>
        </w:rPr>
        <w:t>三、</w:t>
      </w:r>
      <w:r>
        <w:rPr>
          <w:rFonts w:hint="eastAsia" w:ascii="仿宋" w:hAnsi="仿宋" w:eastAsia="仿宋" w:cs="仿宋"/>
          <w:b/>
          <w:bCs/>
          <w:color w:val="auto"/>
          <w:sz w:val="24"/>
          <w:szCs w:val="24"/>
          <w:highlight w:val="none"/>
          <w:lang w:val="en-US" w:eastAsia="zh-CN"/>
        </w:rPr>
        <w:t>服务内容及服务要求</w:t>
      </w:r>
    </w:p>
    <w:p w14:paraId="108F0169">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一）服务范围</w:t>
      </w:r>
    </w:p>
    <w:p w14:paraId="1FC6B87A">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rPr>
        <w:t>1.维保对象：清单内所有室外主机、</w:t>
      </w:r>
      <w:r>
        <w:rPr>
          <w:rFonts w:hint="eastAsia" w:ascii="仿宋" w:hAnsi="仿宋" w:eastAsia="仿宋" w:cs="仿宋"/>
          <w:color w:val="auto"/>
          <w:sz w:val="24"/>
          <w:szCs w:val="24"/>
          <w:lang w:val="en-US" w:eastAsia="zh-CN"/>
        </w:rPr>
        <w:t>室内机</w:t>
      </w:r>
      <w:r>
        <w:rPr>
          <w:rFonts w:hint="eastAsia" w:ascii="仿宋" w:hAnsi="仿宋" w:eastAsia="仿宋" w:cs="仿宋"/>
          <w:color w:val="auto"/>
          <w:sz w:val="24"/>
          <w:szCs w:val="24"/>
        </w:rPr>
        <w:t>（193台）、冷媒管路系统、冷凝水排水系统、控制系统（含线控器、集中控制器）。</w:t>
      </w:r>
    </w:p>
    <w:p w14:paraId="6DA5B0EA">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2.责任分界点：</w:t>
      </w:r>
    </w:p>
    <w:p w14:paraId="72C7EE81">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电源侧：以空调专用配电箱/柜的下口为界，</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负责下口至设备端的线路检查、紧固及维修。</w:t>
      </w:r>
    </w:p>
    <w:p w14:paraId="719641F2">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控制侧：包含室内机主板、室外机主板、遥控器及集中控制网关的维护。</w:t>
      </w:r>
    </w:p>
    <w:p w14:paraId="46EAE223">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3.包含内容：</w:t>
      </w:r>
    </w:p>
    <w:p w14:paraId="12C86E9F">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定期巡检、预防性保养、故障维修。</w:t>
      </w:r>
    </w:p>
    <w:p w14:paraId="079E38E9">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低值易耗品</w:t>
      </w:r>
      <w:r>
        <w:rPr>
          <w:rFonts w:hint="eastAsia" w:ascii="仿宋" w:hAnsi="仿宋" w:eastAsia="仿宋" w:cs="仿宋"/>
          <w:color w:val="auto"/>
          <w:sz w:val="24"/>
          <w:szCs w:val="24"/>
          <w:highlight w:val="none"/>
          <w:lang w:val="en-US" w:eastAsia="zh-CN"/>
        </w:rPr>
        <w:t>全包</w:t>
      </w:r>
      <w:r>
        <w:rPr>
          <w:rFonts w:hint="eastAsia" w:ascii="仿宋" w:hAnsi="仿宋" w:eastAsia="仿宋" w:cs="仿宋"/>
          <w:color w:val="auto"/>
          <w:sz w:val="24"/>
          <w:szCs w:val="24"/>
          <w:highlight w:val="none"/>
        </w:rPr>
        <w:t>：包括但不限于冷冻油、干燥过滤器、保温棉、扎带、密封胶泥、清洗剂、普通电容、接触器、空开、保险丝等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相关费用已包含在维保费用报价中，采购人不再额外支付费用</w:t>
      </w:r>
      <w:r>
        <w:rPr>
          <w:rFonts w:hint="eastAsia" w:ascii="仿宋" w:hAnsi="仿宋" w:eastAsia="仿宋" w:cs="仿宋"/>
          <w:color w:val="auto"/>
          <w:sz w:val="24"/>
          <w:szCs w:val="24"/>
          <w:highlight w:val="none"/>
        </w:rPr>
        <w:t>。</w:t>
      </w:r>
    </w:p>
    <w:p w14:paraId="504F9CF7">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高空作业：有室外机位于高处，维保产生的脚手架、吊篮、蜘蛛人等高空作业费用及安全责任由</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全权承担。</w:t>
      </w:r>
    </w:p>
    <w:p w14:paraId="232F3B33">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strike w:val="0"/>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strike w:val="0"/>
          <w:dstrike w:val="0"/>
          <w:color w:val="auto"/>
          <w:sz w:val="24"/>
          <w:szCs w:val="24"/>
          <w:highlight w:val="none"/>
          <w:lang w:val="en-US" w:eastAsia="zh-CN"/>
        </w:rPr>
        <w:t>服务内容</w:t>
      </w:r>
    </w:p>
    <w:p w14:paraId="64E81F5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1.供应商提供的零配件必须为设备原厂生产或原厂授权销售的全新产品，更换前，应向采购人提供来源证明材料，包括不限于购销合同、发票、授权书等复印件；</w:t>
      </w:r>
    </w:p>
    <w:p w14:paraId="0CBEB9F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i w:val="0"/>
          <w:iCs w:val="0"/>
          <w:color w:val="auto"/>
          <w:kern w:val="0"/>
          <w:sz w:val="24"/>
          <w:szCs w:val="24"/>
          <w:highlight w:val="none"/>
          <w:u w:val="none"/>
          <w:lang w:val="en-US" w:eastAsia="zh-CN" w:bidi="ar"/>
        </w:rPr>
        <w:t>每半年至少完成1次深度保养和2次定期巡检；</w:t>
      </w:r>
    </w:p>
    <w:p w14:paraId="59F25E5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3.提供多联机机组的季度维保样式报告</w:t>
      </w:r>
      <w:r>
        <w:rPr>
          <w:rFonts w:hint="eastAsia" w:ascii="仿宋" w:hAnsi="仿宋" w:eastAsia="仿宋" w:cs="仿宋"/>
          <w:color w:val="auto"/>
          <w:kern w:val="2"/>
          <w:sz w:val="24"/>
          <w:szCs w:val="24"/>
          <w:highlight w:val="none"/>
        </w:rPr>
        <w:t>；</w:t>
      </w:r>
    </w:p>
    <w:p w14:paraId="74973B4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提供年度维保报告的样式报告；</w:t>
      </w:r>
    </w:p>
    <w:p w14:paraId="1946812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5.供应商需按照</w:t>
      </w:r>
      <w:r>
        <w:rPr>
          <w:rFonts w:hint="eastAsia" w:ascii="仿宋" w:hAnsi="仿宋" w:eastAsia="仿宋" w:cs="仿宋"/>
          <w:color w:val="auto"/>
          <w:kern w:val="2"/>
          <w:sz w:val="24"/>
          <w:szCs w:val="24"/>
          <w:highlight w:val="none"/>
        </w:rPr>
        <w:t>空调生产厂</w:t>
      </w:r>
      <w:r>
        <w:rPr>
          <w:rFonts w:hint="eastAsia" w:ascii="仿宋" w:hAnsi="仿宋" w:eastAsia="仿宋" w:cs="仿宋"/>
          <w:color w:val="auto"/>
          <w:kern w:val="2"/>
          <w:sz w:val="24"/>
          <w:szCs w:val="24"/>
          <w:highlight w:val="none"/>
          <w:lang w:val="en-US" w:eastAsia="zh-CN"/>
        </w:rPr>
        <w:t>家</w:t>
      </w:r>
      <w:r>
        <w:rPr>
          <w:rFonts w:hint="eastAsia" w:ascii="仿宋" w:hAnsi="仿宋" w:eastAsia="仿宋" w:cs="仿宋"/>
          <w:color w:val="auto"/>
          <w:kern w:val="2"/>
          <w:sz w:val="24"/>
          <w:szCs w:val="24"/>
          <w:highlight w:val="none"/>
        </w:rPr>
        <w:t>提供的标准维保服务内容及工序</w:t>
      </w:r>
      <w:r>
        <w:rPr>
          <w:rFonts w:hint="eastAsia" w:ascii="仿宋" w:hAnsi="仿宋" w:eastAsia="仿宋" w:cs="仿宋"/>
          <w:color w:val="auto"/>
          <w:kern w:val="2"/>
          <w:sz w:val="24"/>
          <w:szCs w:val="24"/>
          <w:highlight w:val="none"/>
          <w:lang w:eastAsia="zh-CN"/>
        </w:rPr>
        <w:t>（</w:t>
      </w:r>
      <w:r>
        <w:rPr>
          <w:rFonts w:hint="eastAsia" w:ascii="仿宋" w:hAnsi="仿宋" w:eastAsia="仿宋" w:cs="仿宋"/>
          <w:b/>
          <w:bCs/>
          <w:color w:val="auto"/>
          <w:kern w:val="2"/>
          <w:sz w:val="24"/>
          <w:szCs w:val="24"/>
          <w:highlight w:val="none"/>
        </w:rPr>
        <w:t>在</w:t>
      </w:r>
      <w:r>
        <w:rPr>
          <w:rFonts w:hint="eastAsia" w:ascii="仿宋" w:hAnsi="仿宋" w:eastAsia="仿宋" w:cs="仿宋"/>
          <w:b/>
          <w:bCs/>
          <w:color w:val="auto"/>
          <w:kern w:val="2"/>
          <w:sz w:val="24"/>
          <w:szCs w:val="24"/>
          <w:highlight w:val="none"/>
          <w:lang w:val="en-US" w:eastAsia="zh-CN"/>
        </w:rPr>
        <w:t>响应文件</w:t>
      </w:r>
      <w:r>
        <w:rPr>
          <w:rFonts w:hint="eastAsia" w:ascii="仿宋" w:hAnsi="仿宋" w:eastAsia="仿宋" w:cs="仿宋"/>
          <w:b/>
          <w:bCs/>
          <w:color w:val="auto"/>
          <w:kern w:val="2"/>
          <w:sz w:val="24"/>
          <w:szCs w:val="24"/>
          <w:highlight w:val="none"/>
        </w:rPr>
        <w:t>中提供上述维保服务内容及工序</w:t>
      </w:r>
      <w:r>
        <w:rPr>
          <w:rFonts w:hint="eastAsia" w:ascii="仿宋" w:hAnsi="仿宋" w:eastAsia="仿宋" w:cs="仿宋"/>
          <w:b/>
          <w:bCs/>
          <w:color w:val="auto"/>
          <w:kern w:val="2"/>
          <w:sz w:val="24"/>
          <w:szCs w:val="24"/>
          <w:highlight w:val="none"/>
          <w:lang w:val="en-US" w:eastAsia="zh-CN"/>
        </w:rPr>
        <w:t>的</w:t>
      </w:r>
      <w:r>
        <w:rPr>
          <w:rFonts w:hint="eastAsia" w:ascii="仿宋" w:hAnsi="仿宋" w:eastAsia="仿宋" w:cs="仿宋"/>
          <w:b/>
          <w:bCs/>
          <w:color w:val="auto"/>
          <w:kern w:val="2"/>
          <w:sz w:val="24"/>
          <w:szCs w:val="24"/>
          <w:highlight w:val="none"/>
        </w:rPr>
        <w:t>相关格式文件</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在</w:t>
      </w:r>
      <w:r>
        <w:rPr>
          <w:rFonts w:hint="eastAsia" w:ascii="仿宋" w:hAnsi="仿宋" w:eastAsia="仿宋" w:cs="仿宋"/>
          <w:color w:val="auto"/>
          <w:kern w:val="2"/>
          <w:sz w:val="24"/>
          <w:szCs w:val="24"/>
          <w:highlight w:val="none"/>
          <w:lang w:val="en-US" w:eastAsia="zh-CN"/>
        </w:rPr>
        <w:t>合同签订后</w:t>
      </w:r>
      <w:r>
        <w:rPr>
          <w:rFonts w:hint="eastAsia" w:ascii="仿宋" w:hAnsi="仿宋" w:eastAsia="仿宋" w:cs="仿宋"/>
          <w:color w:val="auto"/>
          <w:kern w:val="2"/>
          <w:sz w:val="24"/>
          <w:szCs w:val="24"/>
          <w:highlight w:val="none"/>
        </w:rPr>
        <w:t>执行对应工作内容；</w:t>
      </w:r>
    </w:p>
    <w:p w14:paraId="3EA4CF3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strike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strike w:val="0"/>
          <w:dstrike w:val="0"/>
          <w:color w:val="auto"/>
          <w:sz w:val="24"/>
          <w:szCs w:val="24"/>
          <w:highlight w:val="none"/>
          <w:lang w:val="en-US" w:eastAsia="zh-CN"/>
        </w:rPr>
        <w:t>空调维保内容</w:t>
      </w:r>
    </w:p>
    <w:p w14:paraId="75FCACE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（1）空调使用季节开机前的检查（每个使用季节一次）</w:t>
      </w:r>
    </w:p>
    <w:p w14:paraId="4B04153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1）</w:t>
      </w:r>
      <w:r>
        <w:rPr>
          <w:rFonts w:hint="eastAsia" w:ascii="仿宋" w:hAnsi="仿宋" w:eastAsia="仿宋" w:cs="仿宋"/>
          <w:color w:val="auto"/>
          <w:kern w:val="2"/>
          <w:sz w:val="24"/>
          <w:szCs w:val="24"/>
          <w:highlight w:val="none"/>
        </w:rPr>
        <w:t>检查外接供电是否正常。</w:t>
      </w:r>
    </w:p>
    <w:p w14:paraId="57E2F57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检查制冷剂静态压力。</w:t>
      </w:r>
    </w:p>
    <w:p w14:paraId="0EE6C3B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清洁室外机组、室内机翅片换热器。</w:t>
      </w:r>
    </w:p>
    <w:p w14:paraId="0BBAD11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4</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检查压缩机油温加热。</w:t>
      </w:r>
    </w:p>
    <w:p w14:paraId="1EDD062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检查调整微电脑控制的设定值。</w:t>
      </w:r>
    </w:p>
    <w:p w14:paraId="0714202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6</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机组电气安全检查，接地电阻、绝缘电阻。</w:t>
      </w:r>
    </w:p>
    <w:p w14:paraId="2060C1F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7</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检查测试机组故障保护功能。</w:t>
      </w:r>
    </w:p>
    <w:p w14:paraId="5290B4B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8</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检查单向阀、电磁阀、四通阀</w:t>
      </w:r>
      <w:r>
        <w:rPr>
          <w:rFonts w:hint="eastAsia" w:ascii="仿宋" w:hAnsi="仿宋" w:eastAsia="仿宋" w:cs="仿宋"/>
          <w:color w:val="auto"/>
          <w:sz w:val="24"/>
          <w:szCs w:val="24"/>
          <w:highlight w:val="none"/>
          <w:lang w:val="en-US" w:eastAsia="zh-CN"/>
        </w:rPr>
        <w:t>是</w:t>
      </w:r>
      <w:r>
        <w:rPr>
          <w:rFonts w:hint="eastAsia" w:ascii="仿宋" w:hAnsi="仿宋" w:eastAsia="仿宋" w:cs="仿宋"/>
          <w:color w:val="auto"/>
          <w:kern w:val="2"/>
          <w:sz w:val="24"/>
          <w:szCs w:val="24"/>
          <w:highlight w:val="none"/>
        </w:rPr>
        <w:t>否正常。</w:t>
      </w:r>
    </w:p>
    <w:p w14:paraId="40FDCD9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9</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检查压缩机、风扇电机线圈绕组及对地绝缘。</w:t>
      </w:r>
    </w:p>
    <w:p w14:paraId="37239FF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10</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清洁电控箱异物。</w:t>
      </w:r>
    </w:p>
    <w:p w14:paraId="65FE2F0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11</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启动东芝机组，用东芝专用测试软件检查整机运行状况，记录机组运行参数。其他品牌机组，也要用其品牌专用测试软件检查整机运行状况，记录机组运行参数。</w:t>
      </w:r>
    </w:p>
    <w:p w14:paraId="09BB9B1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12</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根据运行记录，分析处理机组问题，并报告需要更换或修理的零部件。</w:t>
      </w:r>
    </w:p>
    <w:p w14:paraId="5C9B80E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（2）使用季节使用中的检查</w:t>
      </w:r>
    </w:p>
    <w:p w14:paraId="7AA3706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检查机组运行条件</w:t>
      </w:r>
    </w:p>
    <w:p w14:paraId="625FC39B">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记录机组运行压力。</w:t>
      </w:r>
    </w:p>
    <w:p w14:paraId="63C69FC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记录机组压缩机、风机运行电流。</w:t>
      </w:r>
    </w:p>
    <w:p w14:paraId="7592151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4</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检查机组油温、油位。</w:t>
      </w:r>
    </w:p>
    <w:p w14:paraId="6CCD2C7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检查显示板、显示数据。</w:t>
      </w:r>
    </w:p>
    <w:p w14:paraId="2E17F3D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6</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去除机组周围和内部脏物。</w:t>
      </w:r>
    </w:p>
    <w:p w14:paraId="1CEAA46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7</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检查各个室内机、室外机的温度运行参数值。</w:t>
      </w:r>
    </w:p>
    <w:p w14:paraId="2D7AC1F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8</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检查室内机、室外机的电子膨胀阀开启值。</w:t>
      </w:r>
    </w:p>
    <w:p w14:paraId="58ACD0A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9</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根据运行记录，分析处理机组问题。</w:t>
      </w:r>
    </w:p>
    <w:p w14:paraId="693B670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10</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室外机、室内机系统查漏。</w:t>
      </w:r>
    </w:p>
    <w:p w14:paraId="274BA8F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11</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提供检修保养报告并列出需要更换或修理的零部件。</w:t>
      </w:r>
    </w:p>
    <w:p w14:paraId="06CCE80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12</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管道保温巡查并修复。</w:t>
      </w:r>
    </w:p>
    <w:p w14:paraId="1FA5CFAD">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color w:val="auto"/>
          <w:kern w:val="2"/>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kern w:val="2"/>
          <w:sz w:val="24"/>
          <w:szCs w:val="24"/>
          <w:highlight w:val="none"/>
        </w:rPr>
        <w:t>故障维修与应急响应</w:t>
      </w:r>
    </w:p>
    <w:p w14:paraId="13F0E52F">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响应时效（SLA）</w:t>
      </w:r>
    </w:p>
    <w:p w14:paraId="68AB0A7F">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电话响应：提供7×24小时服务热线，</w:t>
      </w:r>
      <w:r>
        <w:rPr>
          <w:rFonts w:hint="eastAsia" w:ascii="仿宋" w:hAnsi="仿宋" w:eastAsia="仿宋" w:cs="仿宋"/>
          <w:color w:val="auto"/>
          <w:sz w:val="24"/>
          <w:szCs w:val="24"/>
          <w:highlight w:val="none"/>
          <w:lang w:val="en-US" w:eastAsia="zh-CN"/>
        </w:rPr>
        <w:t>接到电话30分钟内响应，</w:t>
      </w:r>
      <w:r>
        <w:rPr>
          <w:rFonts w:hint="eastAsia" w:ascii="仿宋" w:hAnsi="仿宋" w:eastAsia="仿宋" w:cs="仿宋"/>
          <w:color w:val="auto"/>
          <w:sz w:val="24"/>
          <w:szCs w:val="24"/>
          <w:highlight w:val="none"/>
        </w:rPr>
        <w:t>接到报修后15分钟内给予技术指导。</w:t>
      </w:r>
    </w:p>
    <w:p w14:paraId="1E8C13E3">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到场时间：</w:t>
      </w:r>
    </w:p>
    <w:p w14:paraId="4A0CD55A">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一般故障：4小时内到达现场。紧急故障（如主机停机、严重漏水、冒烟）：2小时内到达现场。</w:t>
      </w:r>
    </w:p>
    <w:p w14:paraId="0F425DCC">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修复时限：故障24小时内解决；需更换配件的，在配件到货后48小时内解决。</w:t>
      </w:r>
    </w:p>
    <w:p w14:paraId="52304E74">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备机与应急方案</w:t>
      </w:r>
    </w:p>
    <w:p w14:paraId="1C7994B8">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在夏季高温（7-8月）期间，若压缩机、主板等核心部件损坏且无法在24小时内修复，</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需提供备用空调或应急制冷方案，保障</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基本使用需求。</w:t>
      </w:r>
    </w:p>
    <w:p w14:paraId="0D5F6ED0">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四）人员配置与工具要求</w:t>
      </w:r>
    </w:p>
    <w:p w14:paraId="66C94615">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人员配置</w:t>
      </w:r>
    </w:p>
    <w:p w14:paraId="78DB0A54">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strike w:val="0"/>
          <w:dstrike w:val="0"/>
          <w:color w:val="auto"/>
          <w:sz w:val="24"/>
          <w:szCs w:val="24"/>
          <w:highlight w:val="none"/>
          <w:lang w:val="en-US" w:eastAsia="zh-CN"/>
        </w:rPr>
        <w:t>供应商</w:t>
      </w:r>
      <w:r>
        <w:rPr>
          <w:rFonts w:hint="eastAsia" w:ascii="仿宋" w:hAnsi="仿宋" w:eastAsia="仿宋" w:cs="仿宋"/>
          <w:color w:val="auto"/>
          <w:sz w:val="24"/>
          <w:szCs w:val="24"/>
          <w:highlight w:val="none"/>
        </w:rPr>
        <w:t>需为本项目组建专门的服务团队，</w:t>
      </w:r>
      <w:r>
        <w:rPr>
          <w:rFonts w:hint="eastAsia" w:ascii="仿宋" w:hAnsi="仿宋" w:eastAsia="仿宋" w:cs="仿宋"/>
          <w:color w:val="auto"/>
          <w:sz w:val="24"/>
          <w:szCs w:val="24"/>
          <w:highlight w:val="none"/>
          <w:lang w:val="en-US" w:eastAsia="zh-CN"/>
        </w:rPr>
        <w:t>须满足</w:t>
      </w:r>
      <w:r>
        <w:rPr>
          <w:rFonts w:hint="eastAsia" w:ascii="仿宋" w:hAnsi="仿宋" w:eastAsia="仿宋" w:cs="仿宋"/>
          <w:color w:val="auto"/>
          <w:sz w:val="24"/>
          <w:szCs w:val="24"/>
          <w:highlight w:val="none"/>
        </w:rPr>
        <w:t>以下人员要求</w:t>
      </w:r>
      <w:r>
        <w:rPr>
          <w:rFonts w:hint="eastAsia" w:ascii="仿宋" w:hAnsi="仿宋" w:eastAsia="仿宋" w:cs="仿宋"/>
          <w:strike w:val="0"/>
          <w:dstrike w:val="0"/>
          <w:color w:val="auto"/>
          <w:sz w:val="24"/>
          <w:szCs w:val="24"/>
          <w:highlight w:val="none"/>
        </w:rPr>
        <w:t>。</w:t>
      </w:r>
    </w:p>
    <w:p w14:paraId="41FCF8DC">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项目负责人（1名）：具备机电工程相关专业工程师</w:t>
      </w:r>
      <w:r>
        <w:rPr>
          <w:rFonts w:hint="eastAsia" w:ascii="仿宋" w:hAnsi="仿宋" w:eastAsia="仿宋" w:cs="仿宋"/>
          <w:color w:val="auto"/>
          <w:sz w:val="24"/>
          <w:szCs w:val="24"/>
          <w:highlight w:val="none"/>
          <w:lang w:val="en-US" w:eastAsia="zh-CN"/>
        </w:rPr>
        <w:t>中级</w:t>
      </w:r>
      <w:r>
        <w:rPr>
          <w:rFonts w:hint="eastAsia" w:ascii="仿宋" w:hAnsi="仿宋" w:eastAsia="仿宋" w:cs="仿宋"/>
          <w:color w:val="auto"/>
          <w:sz w:val="24"/>
          <w:szCs w:val="24"/>
          <w:highlight w:val="none"/>
        </w:rPr>
        <w:t>（含）</w:t>
      </w:r>
      <w:r>
        <w:rPr>
          <w:rFonts w:hint="eastAsia" w:ascii="仿宋" w:hAnsi="仿宋" w:eastAsia="仿宋" w:cs="仿宋"/>
          <w:color w:val="auto"/>
          <w:sz w:val="24"/>
          <w:szCs w:val="24"/>
          <w:highlight w:val="none"/>
          <w:lang w:val="en-US" w:eastAsia="zh-CN"/>
        </w:rPr>
        <w:t>及</w:t>
      </w:r>
      <w:r>
        <w:rPr>
          <w:rFonts w:hint="eastAsia" w:ascii="仿宋" w:hAnsi="仿宋" w:eastAsia="仿宋" w:cs="仿宋"/>
          <w:color w:val="auto"/>
          <w:sz w:val="24"/>
          <w:szCs w:val="24"/>
          <w:highlight w:val="none"/>
        </w:rPr>
        <w:t>以上职称。持有应急管理部门颁发的有效《特种作业操作证》，准操项目为“制冷与空调设备安装修理作业”。</w:t>
      </w:r>
      <w:r>
        <w:rPr>
          <w:rFonts w:hint="eastAsia" w:ascii="仿宋" w:hAnsi="仿宋" w:eastAsia="仿宋" w:cs="仿宋"/>
          <w:color w:val="auto"/>
          <w:sz w:val="24"/>
          <w:szCs w:val="24"/>
          <w:highlight w:val="none"/>
          <w:lang w:val="en-US" w:eastAsia="zh-CN"/>
        </w:rPr>
        <w:t>服务期内未经采购人书面同意不允许更换。</w:t>
      </w:r>
    </w:p>
    <w:p w14:paraId="4C7CC283">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维保团队：团队人员</w:t>
      </w:r>
      <w:r>
        <w:rPr>
          <w:rFonts w:hint="eastAsia" w:ascii="仿宋" w:hAnsi="仿宋" w:eastAsia="仿宋" w:cs="仿宋"/>
          <w:color w:val="auto"/>
          <w:sz w:val="24"/>
          <w:szCs w:val="24"/>
          <w:highlight w:val="none"/>
          <w:lang w:val="en-US" w:eastAsia="zh-CN"/>
        </w:rPr>
        <w:t>须具有以下</w:t>
      </w:r>
      <w:r>
        <w:rPr>
          <w:rFonts w:hint="eastAsia" w:ascii="仿宋" w:hAnsi="仿宋" w:eastAsia="仿宋" w:cs="仿宋"/>
          <w:color w:val="auto"/>
          <w:sz w:val="24"/>
          <w:szCs w:val="24"/>
          <w:highlight w:val="none"/>
        </w:rPr>
        <w:t>应急管理部门颁发的有效《特种作业操作证》，分别为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①制冷与空调作业证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1人）</w:t>
      </w:r>
      <w:r>
        <w:rPr>
          <w:rFonts w:hint="eastAsia" w:ascii="仿宋" w:hAnsi="仿宋" w:eastAsia="仿宋" w:cs="仿宋"/>
          <w:color w:val="auto"/>
          <w:sz w:val="24"/>
          <w:szCs w:val="24"/>
          <w:highlight w:val="none"/>
        </w:rPr>
        <w:t>、②低压电工作业</w:t>
      </w:r>
      <w:r>
        <w:rPr>
          <w:rFonts w:hint="eastAsia" w:ascii="仿宋" w:hAnsi="仿宋" w:eastAsia="仿宋" w:cs="仿宋"/>
          <w:color w:val="auto"/>
          <w:sz w:val="24"/>
          <w:szCs w:val="24"/>
          <w:highlight w:val="none"/>
          <w:lang w:val="en-US" w:eastAsia="zh-CN"/>
        </w:rPr>
        <w:t>证（1人）</w:t>
      </w:r>
      <w:r>
        <w:rPr>
          <w:rFonts w:hint="eastAsia" w:ascii="仿宋" w:hAnsi="仿宋" w:eastAsia="仿宋" w:cs="仿宋"/>
          <w:color w:val="auto"/>
          <w:sz w:val="24"/>
          <w:szCs w:val="24"/>
          <w:highlight w:val="none"/>
        </w:rPr>
        <w:t>。同一人员可同时持有多项特种作业操作证书。</w:t>
      </w:r>
    </w:p>
    <w:p w14:paraId="62986E0F">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提供上述人员</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证</w:t>
      </w:r>
      <w:r>
        <w:rPr>
          <w:rFonts w:hint="eastAsia" w:ascii="仿宋" w:hAnsi="仿宋" w:eastAsia="仿宋" w:cs="仿宋"/>
          <w:color w:val="auto"/>
          <w:sz w:val="24"/>
          <w:szCs w:val="24"/>
          <w:highlight w:val="none"/>
          <w:lang w:val="en-US" w:eastAsia="zh-CN"/>
        </w:rPr>
        <w:t>书扫描件以及</w:t>
      </w:r>
      <w:r>
        <w:rPr>
          <w:rFonts w:hint="eastAsia" w:ascii="仿宋" w:hAnsi="仿宋" w:eastAsia="仿宋" w:cs="仿宋"/>
          <w:color w:val="auto"/>
          <w:sz w:val="24"/>
          <w:szCs w:val="24"/>
          <w:highlight w:val="none"/>
        </w:rPr>
        <w:t>在职证明</w:t>
      </w:r>
      <w:r>
        <w:rPr>
          <w:rFonts w:hint="eastAsia" w:ascii="仿宋" w:hAnsi="仿宋" w:eastAsia="仿宋" w:cs="仿宋"/>
          <w:color w:val="auto"/>
          <w:sz w:val="24"/>
          <w:szCs w:val="24"/>
          <w:highlight w:val="none"/>
          <w:lang w:val="en-US" w:eastAsia="zh-CN"/>
        </w:rPr>
        <w:t>材料，加盖供应商公章</w:t>
      </w:r>
      <w:r>
        <w:rPr>
          <w:rFonts w:hint="eastAsia" w:ascii="仿宋" w:hAnsi="仿宋" w:eastAsia="仿宋" w:cs="仿宋"/>
          <w:color w:val="auto"/>
          <w:sz w:val="24"/>
          <w:szCs w:val="24"/>
          <w:highlight w:val="none"/>
        </w:rPr>
        <w:t>。</w:t>
      </w:r>
    </w:p>
    <w:p w14:paraId="4066BF6D">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必备工具</w:t>
      </w:r>
    </w:p>
    <w:p w14:paraId="4605C5DF">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须配置以下专业工具（</w:t>
      </w:r>
      <w:r>
        <w:rPr>
          <w:rFonts w:hint="eastAsia" w:ascii="仿宋" w:hAnsi="仿宋" w:eastAsia="仿宋" w:cs="仿宋"/>
          <w:color w:val="auto"/>
          <w:sz w:val="24"/>
          <w:szCs w:val="24"/>
          <w:highlight w:val="none"/>
          <w:lang w:val="en-US" w:eastAsia="zh-CN"/>
        </w:rPr>
        <w:t>供应商响应时</w:t>
      </w:r>
      <w:r>
        <w:rPr>
          <w:rFonts w:hint="eastAsia" w:ascii="仿宋" w:hAnsi="仿宋" w:eastAsia="仿宋" w:cs="仿宋"/>
          <w:color w:val="auto"/>
          <w:sz w:val="24"/>
          <w:szCs w:val="24"/>
          <w:highlight w:val="none"/>
        </w:rPr>
        <w:t>提供照片及清单</w:t>
      </w:r>
      <w:r>
        <w:rPr>
          <w:rFonts w:hint="eastAsia" w:ascii="仿宋" w:hAnsi="仿宋" w:eastAsia="仿宋" w:cs="仿宋"/>
          <w:color w:val="auto"/>
          <w:sz w:val="24"/>
          <w:szCs w:val="24"/>
          <w:highlight w:val="none"/>
          <w:lang w:val="en-US" w:eastAsia="zh-CN"/>
        </w:rPr>
        <w:t>并加盖供应商公章</w:t>
      </w:r>
      <w:r>
        <w:rPr>
          <w:rFonts w:hint="eastAsia" w:ascii="仿宋" w:hAnsi="仿宋" w:eastAsia="仿宋" w:cs="仿宋"/>
          <w:color w:val="auto"/>
          <w:sz w:val="24"/>
          <w:szCs w:val="24"/>
          <w:highlight w:val="none"/>
        </w:rPr>
        <w:t>）：</w:t>
      </w:r>
    </w:p>
    <w:p w14:paraId="6CB891A8">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检测类：电子检漏仪、红外热成像仪（排查电气隐患）、钳形电流表、数字压力表（R410A专用）、风速仪、噪音计。</w:t>
      </w:r>
    </w:p>
    <w:p w14:paraId="59879B5C">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清洗类：高压水枪（便携式）、空调专用清洗机（带水罩，防止弄脏墙面）。</w:t>
      </w:r>
    </w:p>
    <w:p w14:paraId="0606AE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维修类：真空泵（大排量）、扩口器、力矩扳手、冷媒回收机。</w:t>
      </w:r>
    </w:p>
    <w:p w14:paraId="248D24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（五）其他服务要求</w:t>
      </w:r>
    </w:p>
    <w:p w14:paraId="743334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1.维保服务期间供应商确保维保设备清单内的空调系统正常运行率需≥98%。</w:t>
      </w:r>
    </w:p>
    <w:p w14:paraId="77F128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olor w:val="auto"/>
          <w:kern w:val="0"/>
          <w:sz w:val="24"/>
          <w:szCs w:val="24"/>
          <w:u w:val="none"/>
          <w:lang w:val="en-US" w:eastAsia="zh-CN" w:bidi="ar"/>
        </w:rPr>
        <w:t>2.</w:t>
      </w:r>
      <w:r>
        <w:rPr>
          <w:rFonts w:hint="eastAsia" w:ascii="仿宋" w:hAnsi="仿宋" w:eastAsia="仿宋" w:cs="仿宋"/>
          <w:color w:val="auto"/>
          <w:kern w:val="2"/>
          <w:sz w:val="24"/>
          <w:szCs w:val="24"/>
          <w:highlight w:val="none"/>
          <w:lang w:val="en-US" w:eastAsia="zh-CN"/>
        </w:rPr>
        <w:t>维修完成后，供应商须确保设备正常运行，避免出现同一故障维修</w:t>
      </w:r>
      <w:r>
        <w:rPr>
          <w:rFonts w:hint="eastAsia" w:ascii="仿宋" w:hAnsi="仿宋" w:eastAsia="仿宋" w:cs="仿宋"/>
          <w:i w:val="0"/>
          <w:iCs w:val="0"/>
          <w:color w:val="auto"/>
          <w:kern w:val="0"/>
          <w:sz w:val="24"/>
          <w:szCs w:val="24"/>
          <w:u w:val="none"/>
          <w:lang w:val="en-US" w:eastAsia="zh-CN" w:bidi="ar"/>
        </w:rPr>
        <w:t>后1个月内重复发生</w:t>
      </w:r>
      <w:r>
        <w:rPr>
          <w:rFonts w:hint="eastAsia" w:ascii="仿宋" w:hAnsi="仿宋" w:eastAsia="仿宋" w:cs="仿宋"/>
          <w:color w:val="auto"/>
          <w:kern w:val="2"/>
          <w:sz w:val="24"/>
          <w:szCs w:val="24"/>
          <w:highlight w:val="none"/>
          <w:lang w:val="en-US" w:eastAsia="zh-CN"/>
        </w:rPr>
        <w:t>以及</w:t>
      </w:r>
      <w:r>
        <w:rPr>
          <w:rFonts w:hint="eastAsia" w:ascii="仿宋" w:hAnsi="仿宋" w:eastAsia="仿宋" w:cs="仿宋"/>
          <w:i w:val="0"/>
          <w:iCs w:val="0"/>
          <w:color w:val="auto"/>
          <w:kern w:val="0"/>
          <w:sz w:val="24"/>
          <w:szCs w:val="24"/>
          <w:u w:val="none"/>
          <w:lang w:val="en-US" w:eastAsia="zh-CN" w:bidi="ar"/>
        </w:rPr>
        <w:t>因维保不当（如未紧固、未检漏、清洗进水）导致的新增故障或设备损坏</w:t>
      </w:r>
      <w:r>
        <w:rPr>
          <w:rFonts w:hint="eastAsia" w:ascii="仿宋" w:hAnsi="仿宋" w:eastAsia="仿宋" w:cs="仿宋"/>
          <w:color w:val="auto"/>
          <w:kern w:val="2"/>
          <w:sz w:val="24"/>
          <w:szCs w:val="24"/>
          <w:highlight w:val="none"/>
          <w:lang w:val="en-US" w:eastAsia="zh-CN"/>
        </w:rPr>
        <w:t>情况。</w:t>
      </w:r>
      <w:bookmarkStart w:id="104" w:name="_GoBack"/>
      <w:bookmarkEnd w:id="104"/>
    </w:p>
    <w:p w14:paraId="0767FE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3.更换下来的旧配件需交由采购人查验并回收，不得随意丢弃。</w:t>
      </w:r>
    </w:p>
    <w:p w14:paraId="46DA8D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b/>
          <w:bCs/>
          <w:kern w:val="2"/>
          <w:sz w:val="24"/>
          <w:szCs w:val="24"/>
          <w:lang w:val="en-US" w:eastAsia="zh-CN" w:bidi="ar-SA"/>
        </w:rPr>
        <w:t>★四、</w:t>
      </w:r>
      <w:r>
        <w:rPr>
          <w:rFonts w:ascii="Times New Roman" w:hAnsi="Times New Roman" w:eastAsia="仿宋" w:cs="Times New Roman"/>
          <w:b/>
          <w:bCs/>
          <w:sz w:val="24"/>
          <w:szCs w:val="24"/>
        </w:rPr>
        <w:t>商务要求</w:t>
      </w:r>
    </w:p>
    <w:p w14:paraId="3F76A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一）服务期限</w:t>
      </w:r>
      <w:r>
        <w:rPr>
          <w:rFonts w:hint="eastAsia" w:ascii="仿宋" w:hAnsi="仿宋" w:eastAsia="仿宋" w:cs="仿宋"/>
          <w:b w:val="0"/>
          <w:bCs w:val="0"/>
          <w:color w:val="auto"/>
          <w:sz w:val="24"/>
          <w:szCs w:val="24"/>
          <w:highlight w:val="none"/>
          <w:lang w:val="en-US" w:eastAsia="zh-CN"/>
        </w:rPr>
        <w:t>：自合同签订之日起至2027年10月19日。</w:t>
      </w:r>
    </w:p>
    <w:p w14:paraId="74D3F1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（二）</w:t>
      </w:r>
      <w:r>
        <w:rPr>
          <w:rFonts w:hint="eastAsia" w:ascii="仿宋" w:hAnsi="仿宋" w:eastAsia="仿宋" w:cs="仿宋"/>
          <w:b/>
          <w:bCs/>
          <w:color w:val="auto"/>
          <w:sz w:val="24"/>
          <w:szCs w:val="24"/>
          <w:highlight w:val="none"/>
          <w:lang w:val="en-US" w:eastAsia="zh-CN"/>
        </w:rPr>
        <w:t>服务地点</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color w:val="auto"/>
          <w:sz w:val="24"/>
          <w:szCs w:val="24"/>
          <w:highlight w:val="none"/>
          <w:lang w:val="en-US" w:eastAsia="zh-CN"/>
        </w:rPr>
        <w:t>四川省人民医院老年医学中心。</w:t>
      </w:r>
    </w:p>
    <w:p w14:paraId="07764F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付款方式</w:t>
      </w:r>
    </w:p>
    <w:p w14:paraId="4313BC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维保服务费用：服务期满7个月且经采购人验收后，供应商5日内向采购人提供合法有效票据及其他相关请款资料，采购人自收到上述票据及资料后55日内，向供应商支付50%维保服务费用。服务期结束且经采购人验收后，供应商5日内向采购人提供合法有效票据及其他相关请款资料，采购人自收到上述票据及资料后55日内，向供应商支付50%维保服务费用，如存在因考核等原因导致的扣款，应在支付前予以扣除。</w:t>
      </w:r>
    </w:p>
    <w:p w14:paraId="60FA9E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维修配件费用：本部分费用按实结算，每月结算一次费用，供应商须根据本项目成交单价及实际服务情况向采购人提供结算费用清单进行确认，并在采购人确认后5日内按清单金额向采购人提供合法有效票据及其他相关请款资料，采购人自收到上述票据及资料后55日内，向供应商全额支付上述结算费用。</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default"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b w:val="0"/>
                <w:bCs/>
                <w:color w:val="auto"/>
                <w:sz w:val="24"/>
                <w:szCs w:val="24"/>
                <w:highlight w:val="none"/>
                <w:lang w:val="en-US" w:eastAsia="zh-CN"/>
              </w:rPr>
              <w:t>按照基于本项目采购需求编制的采购文件要求及供应商响应文件情况，由供应商向采购人提供的每一阶段全部服务的履约情况。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服务期满7个月及服务期结束时，供应商5日内通知采购人验收，采购人接供应商通知后10日内组织验收。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default"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5.参照《财政部关于进一步加强政府采购需求和履约验收管理的指导意见》（财库〔2016〕205号）的要求进行验收。</w:t>
            </w:r>
          </w:p>
          <w:p w14:paraId="63D35DD2">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lang w:val="en-US" w:eastAsia="zh-CN"/>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p>
        </w:tc>
      </w:tr>
    </w:tbl>
    <w:p w14:paraId="150D15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（五）考核表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3"/>
        <w:gridCol w:w="457"/>
        <w:gridCol w:w="1159"/>
        <w:gridCol w:w="3133"/>
        <w:gridCol w:w="579"/>
        <w:gridCol w:w="261"/>
        <w:gridCol w:w="2472"/>
        <w:gridCol w:w="639"/>
      </w:tblGrid>
      <w:tr w14:paraId="4278D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800" w:hRule="atLeast"/>
        </w:trPr>
        <w:tc>
          <w:tcPr>
            <w:tcW w:w="5000" w:type="pct"/>
            <w:gridSpan w:val="8"/>
            <w:tcBorders>
              <w:top w:val="nil"/>
              <w:left w:val="nil"/>
              <w:bottom w:val="nil"/>
              <w:right w:val="nil"/>
            </w:tcBorders>
            <w:shd w:val="clear" w:color="auto" w:fill="auto"/>
            <w:vAlign w:val="center"/>
          </w:tcPr>
          <w:p w14:paraId="4BB80B76">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多联机空调系统维保服务考核表</w:t>
            </w:r>
          </w:p>
        </w:tc>
      </w:tr>
      <w:tr w14:paraId="0FBC0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7" w:type="pct"/>
            <w:gridSpan w:val="2"/>
            <w:tcBorders>
              <w:top w:val="nil"/>
              <w:left w:val="nil"/>
              <w:bottom w:val="nil"/>
              <w:right w:val="nil"/>
            </w:tcBorders>
            <w:shd w:val="clear" w:color="auto" w:fill="auto"/>
            <w:vAlign w:val="center"/>
          </w:tcPr>
          <w:p w14:paraId="429503A8">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被考核单位：</w:t>
            </w:r>
          </w:p>
        </w:tc>
        <w:tc>
          <w:tcPr>
            <w:tcW w:w="2603" w:type="pct"/>
            <w:gridSpan w:val="4"/>
            <w:tcBorders>
              <w:top w:val="nil"/>
              <w:left w:val="nil"/>
              <w:bottom w:val="nil"/>
              <w:right w:val="nil"/>
            </w:tcBorders>
            <w:shd w:val="clear" w:color="auto" w:fill="auto"/>
            <w:vAlign w:val="center"/>
          </w:tcPr>
          <w:p w14:paraId="16B2A03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Style w:val="41"/>
                <w:rFonts w:hint="eastAsia" w:ascii="仿宋" w:hAnsi="仿宋" w:eastAsia="仿宋" w:cs="仿宋"/>
                <w:color w:val="auto"/>
                <w:sz w:val="24"/>
                <w:szCs w:val="24"/>
                <w:lang w:val="en-US" w:eastAsia="zh-CN" w:bidi="ar"/>
              </w:rPr>
              <w:t>考核周期：服务期满7个月及服务期结束</w:t>
            </w:r>
          </w:p>
        </w:tc>
        <w:tc>
          <w:tcPr>
            <w:tcW w:w="1579" w:type="pct"/>
            <w:gridSpan w:val="2"/>
            <w:tcBorders>
              <w:top w:val="nil"/>
              <w:left w:val="nil"/>
              <w:bottom w:val="nil"/>
              <w:right w:val="nil"/>
            </w:tcBorders>
            <w:shd w:val="clear" w:color="auto" w:fill="auto"/>
            <w:vAlign w:val="center"/>
          </w:tcPr>
          <w:p w14:paraId="05ACEE09">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考核日期：20__年__月__日</w:t>
            </w:r>
          </w:p>
        </w:tc>
      </w:tr>
      <w:tr w14:paraId="558E5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86" w:type="pct"/>
            <w:tcBorders>
              <w:top w:val="single" w:color="000000" w:sz="4" w:space="0"/>
              <w:left w:val="single" w:color="000000" w:sz="4" w:space="0"/>
              <w:bottom w:val="single" w:color="000000" w:sz="4" w:space="0"/>
              <w:right w:val="single" w:color="000000" w:sz="4" w:space="0"/>
            </w:tcBorders>
            <w:shd w:val="clear" w:color="1A4A7C" w:fill="auto"/>
            <w:vAlign w:val="center"/>
          </w:tcPr>
          <w:p w14:paraId="3FC01E7C">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考核维度</w:t>
            </w:r>
          </w:p>
        </w:tc>
        <w:tc>
          <w:tcPr>
            <w:tcW w:w="230" w:type="pct"/>
            <w:tcBorders>
              <w:top w:val="single" w:color="000000" w:sz="4" w:space="0"/>
              <w:left w:val="single" w:color="000000" w:sz="4" w:space="0"/>
              <w:bottom w:val="single" w:color="000000" w:sz="4" w:space="0"/>
              <w:right w:val="single" w:color="000000" w:sz="4" w:space="0"/>
            </w:tcBorders>
            <w:shd w:val="clear" w:color="1A4A7C" w:fill="auto"/>
            <w:vAlign w:val="center"/>
          </w:tcPr>
          <w:p w14:paraId="6EBB696D">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序号</w:t>
            </w:r>
          </w:p>
        </w:tc>
        <w:tc>
          <w:tcPr>
            <w:tcW w:w="589" w:type="pct"/>
            <w:tcBorders>
              <w:top w:val="single" w:color="000000" w:sz="4" w:space="0"/>
              <w:left w:val="single" w:color="000000" w:sz="4" w:space="0"/>
              <w:bottom w:val="single" w:color="000000" w:sz="4" w:space="0"/>
              <w:right w:val="single" w:color="000000" w:sz="4" w:space="0"/>
            </w:tcBorders>
            <w:shd w:val="clear" w:color="1A4A7C" w:fill="auto"/>
            <w:vAlign w:val="center"/>
          </w:tcPr>
          <w:p w14:paraId="0E3460B0">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考核项目</w:t>
            </w:r>
          </w:p>
        </w:tc>
        <w:tc>
          <w:tcPr>
            <w:tcW w:w="1591" w:type="pct"/>
            <w:tcBorders>
              <w:top w:val="single" w:color="000000" w:sz="4" w:space="0"/>
              <w:left w:val="single" w:color="000000" w:sz="4" w:space="0"/>
              <w:bottom w:val="single" w:color="000000" w:sz="4" w:space="0"/>
              <w:right w:val="single" w:color="000000" w:sz="4" w:space="0"/>
            </w:tcBorders>
            <w:shd w:val="clear" w:color="1A4A7C" w:fill="auto"/>
            <w:vAlign w:val="center"/>
          </w:tcPr>
          <w:p w14:paraId="78295FEF">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考核内容与评分标准</w:t>
            </w:r>
          </w:p>
        </w:tc>
        <w:tc>
          <w:tcPr>
            <w:tcW w:w="290" w:type="pct"/>
            <w:tcBorders>
              <w:top w:val="single" w:color="000000" w:sz="4" w:space="0"/>
              <w:left w:val="single" w:color="000000" w:sz="4" w:space="0"/>
              <w:bottom w:val="single" w:color="000000" w:sz="4" w:space="0"/>
              <w:right w:val="single" w:color="000000" w:sz="4" w:space="0"/>
            </w:tcBorders>
            <w:shd w:val="clear" w:color="1A4A7C" w:fill="auto"/>
            <w:vAlign w:val="center"/>
          </w:tcPr>
          <w:p w14:paraId="71B9CA93">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分值</w:t>
            </w:r>
          </w:p>
        </w:tc>
        <w:tc>
          <w:tcPr>
            <w:tcW w:w="1388" w:type="pct"/>
            <w:gridSpan w:val="2"/>
            <w:tcBorders>
              <w:top w:val="single" w:color="000000" w:sz="4" w:space="0"/>
              <w:left w:val="single" w:color="000000" w:sz="4" w:space="0"/>
              <w:bottom w:val="single" w:color="000000" w:sz="4" w:space="0"/>
              <w:right w:val="single" w:color="000000" w:sz="4" w:space="0"/>
            </w:tcBorders>
            <w:shd w:val="clear" w:color="1A4A7C" w:fill="auto"/>
            <w:vAlign w:val="center"/>
          </w:tcPr>
          <w:p w14:paraId="136621CF">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扣分细则</w:t>
            </w:r>
          </w:p>
        </w:tc>
        <w:tc>
          <w:tcPr>
            <w:tcW w:w="323" w:type="pct"/>
            <w:tcBorders>
              <w:top w:val="single" w:color="000000" w:sz="4" w:space="0"/>
              <w:left w:val="single" w:color="000000" w:sz="4" w:space="0"/>
              <w:bottom w:val="single" w:color="000000" w:sz="4" w:space="0"/>
              <w:right w:val="single" w:color="000000" w:sz="4" w:space="0"/>
            </w:tcBorders>
            <w:shd w:val="clear" w:color="1A4A7C" w:fill="auto"/>
            <w:vAlign w:val="center"/>
          </w:tcPr>
          <w:p w14:paraId="4270C818">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得分</w:t>
            </w:r>
          </w:p>
        </w:tc>
      </w:tr>
      <w:tr w14:paraId="11939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5CBB70">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一、维修质量</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(30分)</w:t>
            </w: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8B043">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1F969">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设备完好率</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E0E5D">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空调系统正常运行率需≥98%。除不可抗力因素导致的停机时间计入考核。</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0C17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15</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78F268">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每降低1个百分点，扣3分；低于95%本项不得分。</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AD37E">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1CE23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1C7BF">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A5198">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39D27">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故障修复质量</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3A9CA">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1.同一故障点在修复后1个月内重复发生。</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2.因维保不当（如未紧固、未检漏、清洗进水）导致的新增故障或设备损坏。</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29135">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BF9E78">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1.重复故障或新增故障每次扣5分。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2.造成设备损坏本项不得分，并追究赔偿责任。</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E6099">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1C279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8D684">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51512">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24A1A">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专项保养效果</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26F8B">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1.室外机换热器清洗不彻底，散热不良。</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2.室内机接水盘、过滤网清洗不净，有异味或堵塞。</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3.排水管不通畅，存在溢水隐患。</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8374F">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18FA2A">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发现一处不合格扣2分，扣完为止。</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3EE26">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2A191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EF9663">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二、巡检和记录</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(25分)</w:t>
            </w: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843DA">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723FC">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巡检频次与覆盖</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63286">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1.每半年至少完成1次深度保养和2次定期巡检。</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2.覆盖所有室外主机及193台室内机，无遗漏。</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F19B6">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2EF643">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1.少一次巡检扣5分。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2.漏检一台设备扣1分。</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CA396">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2EDE9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94BD1">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077CD">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73833">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记录完整性与真实性</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F6EEC">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1.维保记录表填写规范，数据真实（压力、电流、温度等）。</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2.提供东芝/日立等品牌的专用软件运行数据报告。</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3.提供红外热成像扫描记录。</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7D805">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02441">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1.记录缺失或造假，发现一次扣5分。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2.缺少关键运行参数记录，每处扣2分。</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C58EE">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1AC90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7350F">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E858B">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6</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0C546">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隐患报告及时性</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492D6">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巡检中发现的重大隐患（如冷媒泄漏、电气过热）需在24小时内书面报告</w:t>
            </w:r>
            <w:r>
              <w:rPr>
                <w:rFonts w:hint="eastAsia" w:ascii="仿宋" w:hAnsi="仿宋" w:eastAsia="仿宋" w:cs="仿宋"/>
                <w:i w:val="0"/>
                <w:iCs w:val="0"/>
                <w:color w:val="auto"/>
                <w:kern w:val="0"/>
                <w:sz w:val="24"/>
                <w:szCs w:val="24"/>
                <w:highlight w:val="none"/>
                <w:u w:val="none"/>
                <w:lang w:val="en-US" w:eastAsia="zh-CN" w:bidi="ar"/>
              </w:rPr>
              <w:t>采购人</w:t>
            </w:r>
            <w:r>
              <w:rPr>
                <w:rFonts w:hint="eastAsia" w:ascii="仿宋" w:hAnsi="仿宋" w:eastAsia="仿宋" w:cs="仿宋"/>
                <w:i w:val="0"/>
                <w:iCs w:val="0"/>
                <w:color w:val="auto"/>
                <w:kern w:val="0"/>
                <w:sz w:val="24"/>
                <w:szCs w:val="24"/>
                <w:u w:val="none"/>
                <w:lang w:val="en-US" w:eastAsia="zh-CN" w:bidi="ar"/>
              </w:rPr>
              <w:t>。</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0E722">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22B391">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未及时报告导致故障扩大的，本项不得分。</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FEAA1">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4F30F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BEBFE3">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三、配件管理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(20分)</w:t>
            </w: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295E5">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7</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FF2BB">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配件原厂率</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72F22">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更换的核心部件（压缩机、主板、传感器等）必须为原厂或原厂授权配件，严禁使用拆机件、翻新件。</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8C879">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68A4C">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发现使用非原厂/翻新配件，本项不得分。</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C3A46">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358A4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7CAD5">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BDEE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8</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00C4A">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配件价格合规性</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FC7EA">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更换配件价格不得高于《配件限价清单》约定价格。</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80A6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EC385C">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价格违规每例扣2分。</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2C265">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5B77E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33AC0">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2210C">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9</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3A330">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旧件回收与管理</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698F0">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更换下来的旧配件需交由</w:t>
            </w:r>
            <w:r>
              <w:rPr>
                <w:rFonts w:hint="eastAsia" w:ascii="仿宋" w:hAnsi="仿宋" w:eastAsia="仿宋" w:cs="仿宋"/>
                <w:i w:val="0"/>
                <w:iCs w:val="0"/>
                <w:color w:val="auto"/>
                <w:kern w:val="0"/>
                <w:sz w:val="24"/>
                <w:szCs w:val="24"/>
                <w:highlight w:val="none"/>
                <w:u w:val="none"/>
                <w:lang w:val="en-US" w:eastAsia="zh-CN" w:bidi="ar"/>
              </w:rPr>
              <w:t>采购人</w:t>
            </w:r>
            <w:r>
              <w:rPr>
                <w:rFonts w:hint="eastAsia" w:ascii="仿宋" w:hAnsi="仿宋" w:eastAsia="仿宋" w:cs="仿宋"/>
                <w:i w:val="0"/>
                <w:iCs w:val="0"/>
                <w:color w:val="auto"/>
                <w:kern w:val="0"/>
                <w:sz w:val="24"/>
                <w:szCs w:val="24"/>
                <w:u w:val="none"/>
                <w:lang w:val="en-US" w:eastAsia="zh-CN" w:bidi="ar"/>
              </w:rPr>
              <w:t>查验并回收，不得随意丢弃。</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82469">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C5469">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未回收或私自处理旧件，每次扣2分。</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DF804">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6EB8F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5D9BEF">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四、响应时效</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(25分)</w:t>
            </w: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68806">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2CB6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响应与到场时间</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88316">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1.电话响应：30分钟内。</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2.一般故障：4小时内到场。</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3.紧急故障（停机/漏水）：2小时内到场。</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01997">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84CCFB">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1.响应超时每次扣1分。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2.到场超时每次扣3分。</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5914D">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2BB81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AFA88">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91E6D">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11</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E74E2">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修复时限</w:t>
            </w:r>
          </w:p>
        </w:tc>
        <w:tc>
          <w:tcPr>
            <w:tcW w:w="1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199CA">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1.一般故障24小时内修复。</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2.需更换配件的，到货后48小时内修复。</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EC9BF">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138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23872C">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1.一般故障超时修复，每24小时扣2分。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2.配件到位后超时修复，每24小时扣3分。</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1C155">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547CA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6"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227AC4A8">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c>
          <w:tcPr>
            <w:tcW w:w="230" w:type="pct"/>
            <w:tcBorders>
              <w:top w:val="single" w:color="000000" w:sz="4" w:space="0"/>
              <w:left w:val="single" w:color="000000" w:sz="4" w:space="0"/>
              <w:bottom w:val="single" w:color="auto" w:sz="4" w:space="0"/>
              <w:right w:val="single" w:color="000000" w:sz="4" w:space="0"/>
            </w:tcBorders>
            <w:shd w:val="clear" w:color="auto" w:fill="auto"/>
            <w:vAlign w:val="center"/>
          </w:tcPr>
          <w:p w14:paraId="562DE3F8">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12</w:t>
            </w:r>
          </w:p>
        </w:tc>
        <w:tc>
          <w:tcPr>
            <w:tcW w:w="589" w:type="pct"/>
            <w:tcBorders>
              <w:top w:val="single" w:color="000000" w:sz="4" w:space="0"/>
              <w:left w:val="single" w:color="000000" w:sz="4" w:space="0"/>
              <w:bottom w:val="single" w:color="auto" w:sz="4" w:space="0"/>
              <w:right w:val="single" w:color="000000" w:sz="4" w:space="0"/>
            </w:tcBorders>
            <w:shd w:val="clear" w:color="auto" w:fill="auto"/>
            <w:vAlign w:val="center"/>
          </w:tcPr>
          <w:p w14:paraId="0475D5D3">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应急预案执行</w:t>
            </w:r>
          </w:p>
        </w:tc>
        <w:tc>
          <w:tcPr>
            <w:tcW w:w="1591" w:type="pct"/>
            <w:tcBorders>
              <w:top w:val="single" w:color="000000" w:sz="4" w:space="0"/>
              <w:left w:val="single" w:color="000000" w:sz="4" w:space="0"/>
              <w:bottom w:val="single" w:color="auto" w:sz="4" w:space="0"/>
              <w:right w:val="single" w:color="000000" w:sz="4" w:space="0"/>
            </w:tcBorders>
            <w:shd w:val="clear" w:color="auto" w:fill="auto"/>
            <w:vAlign w:val="center"/>
          </w:tcPr>
          <w:p w14:paraId="0522F29A">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夏季高温期间核心部件损坏无法24小时修复时，未提供备用机或应急制冷方案。</w:t>
            </w:r>
          </w:p>
        </w:tc>
        <w:tc>
          <w:tcPr>
            <w:tcW w:w="290" w:type="pct"/>
            <w:tcBorders>
              <w:top w:val="single" w:color="000000" w:sz="4" w:space="0"/>
              <w:left w:val="single" w:color="000000" w:sz="4" w:space="0"/>
              <w:bottom w:val="single" w:color="auto" w:sz="4" w:space="0"/>
              <w:right w:val="single" w:color="000000" w:sz="4" w:space="0"/>
            </w:tcBorders>
            <w:shd w:val="clear" w:color="auto" w:fill="auto"/>
            <w:vAlign w:val="center"/>
          </w:tcPr>
          <w:p w14:paraId="4A8749C7">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1388" w:type="pct"/>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5F0927C1">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未提供备用机或应急方案导致用户投诉，本项不得分。</w:t>
            </w:r>
          </w:p>
        </w:tc>
        <w:tc>
          <w:tcPr>
            <w:tcW w:w="323" w:type="pct"/>
            <w:tcBorders>
              <w:top w:val="single" w:color="000000" w:sz="4" w:space="0"/>
              <w:left w:val="single" w:color="000000" w:sz="4" w:space="0"/>
              <w:bottom w:val="single" w:color="auto" w:sz="4" w:space="0"/>
              <w:right w:val="single" w:color="000000" w:sz="4" w:space="0"/>
            </w:tcBorders>
            <w:shd w:val="clear" w:color="auto" w:fill="auto"/>
            <w:vAlign w:val="center"/>
          </w:tcPr>
          <w:p w14:paraId="02EAFAB1">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i w:val="0"/>
                <w:iCs w:val="0"/>
                <w:color w:val="auto"/>
                <w:sz w:val="24"/>
                <w:szCs w:val="24"/>
                <w:u w:val="none"/>
              </w:rPr>
            </w:pPr>
          </w:p>
        </w:tc>
      </w:tr>
      <w:tr w14:paraId="59DD7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06" w:type="pct"/>
            <w:gridSpan w:val="3"/>
            <w:tcBorders>
              <w:top w:val="single" w:color="auto" w:sz="4" w:space="0"/>
              <w:left w:val="single" w:color="auto" w:sz="4" w:space="0"/>
              <w:bottom w:val="single" w:color="auto" w:sz="4" w:space="0"/>
              <w:right w:val="single" w:color="auto" w:sz="4" w:space="0"/>
            </w:tcBorders>
            <w:shd w:val="clear" w:color="F2F2F2" w:fill="auto"/>
            <w:vAlign w:val="center"/>
          </w:tcPr>
          <w:p w14:paraId="7DD9DBD3">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总计</w:t>
            </w:r>
          </w:p>
        </w:tc>
        <w:tc>
          <w:tcPr>
            <w:tcW w:w="1591" w:type="pct"/>
            <w:tcBorders>
              <w:top w:val="single" w:color="auto" w:sz="4" w:space="0"/>
              <w:left w:val="single" w:color="auto" w:sz="4" w:space="0"/>
              <w:bottom w:val="single" w:color="auto" w:sz="4" w:space="0"/>
              <w:right w:val="single" w:color="auto" w:sz="4" w:space="0"/>
            </w:tcBorders>
            <w:shd w:val="clear" w:color="F2F2F2" w:fill="auto"/>
            <w:vAlign w:val="center"/>
          </w:tcPr>
          <w:p w14:paraId="7B732F6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总分</w:t>
            </w:r>
          </w:p>
        </w:tc>
        <w:tc>
          <w:tcPr>
            <w:tcW w:w="290" w:type="pct"/>
            <w:tcBorders>
              <w:top w:val="single" w:color="auto" w:sz="4" w:space="0"/>
              <w:left w:val="single" w:color="auto" w:sz="4" w:space="0"/>
              <w:bottom w:val="single" w:color="auto" w:sz="4" w:space="0"/>
              <w:right w:val="single" w:color="auto" w:sz="4" w:space="0"/>
            </w:tcBorders>
            <w:shd w:val="clear" w:color="F2F2F2" w:fill="auto"/>
            <w:vAlign w:val="center"/>
          </w:tcPr>
          <w:p w14:paraId="5FF9FDB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100</w:t>
            </w:r>
          </w:p>
        </w:tc>
        <w:tc>
          <w:tcPr>
            <w:tcW w:w="1388" w:type="pct"/>
            <w:gridSpan w:val="2"/>
            <w:tcBorders>
              <w:top w:val="single" w:color="auto" w:sz="4" w:space="0"/>
              <w:left w:val="single" w:color="auto" w:sz="4" w:space="0"/>
              <w:bottom w:val="single" w:color="auto" w:sz="4" w:space="0"/>
              <w:right w:val="single" w:color="auto" w:sz="4" w:space="0"/>
            </w:tcBorders>
            <w:shd w:val="clear" w:color="F2F2F2" w:fill="auto"/>
            <w:noWrap/>
            <w:vAlign w:val="bottom"/>
          </w:tcPr>
          <w:p w14:paraId="34F0C38E">
            <w:pPr>
              <w:keepNext w:val="0"/>
              <w:keepLines w:val="0"/>
              <w:pageBreakBefore w:val="0"/>
              <w:kinsoku/>
              <w:wordWrap/>
              <w:overflowPunct/>
              <w:topLinePunct w:val="0"/>
              <w:autoSpaceDE/>
              <w:autoSpaceDN/>
              <w:bidi w:val="0"/>
              <w:spacing w:line="400" w:lineRule="exact"/>
              <w:rPr>
                <w:rFonts w:hint="eastAsia" w:ascii="仿宋" w:hAnsi="仿宋" w:eastAsia="仿宋" w:cs="仿宋"/>
                <w:i w:val="0"/>
                <w:iCs w:val="0"/>
                <w:color w:val="auto"/>
                <w:sz w:val="24"/>
                <w:szCs w:val="24"/>
                <w:u w:val="none"/>
              </w:rPr>
            </w:pPr>
          </w:p>
        </w:tc>
        <w:tc>
          <w:tcPr>
            <w:tcW w:w="323" w:type="pct"/>
            <w:tcBorders>
              <w:top w:val="single" w:color="auto" w:sz="4" w:space="0"/>
              <w:left w:val="single" w:color="auto" w:sz="4" w:space="0"/>
              <w:bottom w:val="single" w:color="auto" w:sz="4" w:space="0"/>
              <w:right w:val="single" w:color="auto" w:sz="4" w:space="0"/>
            </w:tcBorders>
            <w:shd w:val="clear" w:color="F2F2F2" w:fill="auto"/>
            <w:vAlign w:val="center"/>
          </w:tcPr>
          <w:p w14:paraId="78CB3E3A">
            <w:pPr>
              <w:keepNext w:val="0"/>
              <w:keepLines w:val="0"/>
              <w:pageBreakBefore w:val="0"/>
              <w:kinsoku/>
              <w:wordWrap/>
              <w:overflowPunct/>
              <w:topLinePunct w:val="0"/>
              <w:autoSpaceDE/>
              <w:autoSpaceDN/>
              <w:bidi w:val="0"/>
              <w:spacing w:line="400" w:lineRule="exact"/>
              <w:jc w:val="center"/>
              <w:rPr>
                <w:rFonts w:hint="eastAsia" w:ascii="仿宋" w:hAnsi="仿宋" w:eastAsia="仿宋" w:cs="仿宋"/>
                <w:b/>
                <w:bCs/>
                <w:i w:val="0"/>
                <w:iCs w:val="0"/>
                <w:color w:val="auto"/>
                <w:sz w:val="24"/>
                <w:szCs w:val="24"/>
                <w:u w:val="none"/>
              </w:rPr>
            </w:pPr>
          </w:p>
        </w:tc>
      </w:tr>
      <w:tr w14:paraId="5D236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pct"/>
            <w:tcBorders>
              <w:top w:val="single" w:color="auto" w:sz="4" w:space="0"/>
              <w:left w:val="nil"/>
              <w:bottom w:val="nil"/>
              <w:right w:val="nil"/>
            </w:tcBorders>
            <w:shd w:val="clear" w:color="auto" w:fill="auto"/>
            <w:noWrap/>
            <w:vAlign w:val="bottom"/>
          </w:tcPr>
          <w:p w14:paraId="0BDC9BBB">
            <w:pPr>
              <w:keepNext w:val="0"/>
              <w:keepLines w:val="0"/>
              <w:pageBreakBefore w:val="0"/>
              <w:kinsoku/>
              <w:wordWrap/>
              <w:overflowPunct/>
              <w:topLinePunct w:val="0"/>
              <w:autoSpaceDE/>
              <w:autoSpaceDN/>
              <w:bidi w:val="0"/>
              <w:spacing w:line="400" w:lineRule="exact"/>
              <w:rPr>
                <w:rFonts w:hint="eastAsia" w:ascii="仿宋" w:hAnsi="仿宋" w:eastAsia="仿宋" w:cs="仿宋"/>
                <w:i w:val="0"/>
                <w:iCs w:val="0"/>
                <w:color w:val="auto"/>
                <w:sz w:val="24"/>
                <w:szCs w:val="24"/>
                <w:u w:val="none"/>
              </w:rPr>
            </w:pPr>
          </w:p>
        </w:tc>
        <w:tc>
          <w:tcPr>
            <w:tcW w:w="230" w:type="pct"/>
            <w:tcBorders>
              <w:top w:val="single" w:color="auto" w:sz="4" w:space="0"/>
              <w:left w:val="nil"/>
              <w:bottom w:val="nil"/>
              <w:right w:val="nil"/>
            </w:tcBorders>
            <w:shd w:val="clear" w:color="auto" w:fill="auto"/>
            <w:noWrap/>
            <w:vAlign w:val="bottom"/>
          </w:tcPr>
          <w:p w14:paraId="2BAE4908">
            <w:pPr>
              <w:keepNext w:val="0"/>
              <w:keepLines w:val="0"/>
              <w:pageBreakBefore w:val="0"/>
              <w:kinsoku/>
              <w:wordWrap/>
              <w:overflowPunct/>
              <w:topLinePunct w:val="0"/>
              <w:autoSpaceDE/>
              <w:autoSpaceDN/>
              <w:bidi w:val="0"/>
              <w:spacing w:line="400" w:lineRule="exact"/>
              <w:rPr>
                <w:rFonts w:hint="eastAsia" w:ascii="仿宋" w:hAnsi="仿宋" w:eastAsia="仿宋" w:cs="仿宋"/>
                <w:i w:val="0"/>
                <w:iCs w:val="0"/>
                <w:color w:val="auto"/>
                <w:sz w:val="24"/>
                <w:szCs w:val="24"/>
                <w:u w:val="none"/>
              </w:rPr>
            </w:pPr>
          </w:p>
        </w:tc>
        <w:tc>
          <w:tcPr>
            <w:tcW w:w="589" w:type="pct"/>
            <w:tcBorders>
              <w:top w:val="single" w:color="auto" w:sz="4" w:space="0"/>
              <w:left w:val="nil"/>
              <w:bottom w:val="nil"/>
              <w:right w:val="nil"/>
            </w:tcBorders>
            <w:shd w:val="clear" w:color="auto" w:fill="auto"/>
            <w:noWrap/>
            <w:vAlign w:val="bottom"/>
          </w:tcPr>
          <w:p w14:paraId="3285B610">
            <w:pPr>
              <w:keepNext w:val="0"/>
              <w:keepLines w:val="0"/>
              <w:pageBreakBefore w:val="0"/>
              <w:kinsoku/>
              <w:wordWrap/>
              <w:overflowPunct/>
              <w:topLinePunct w:val="0"/>
              <w:autoSpaceDE/>
              <w:autoSpaceDN/>
              <w:bidi w:val="0"/>
              <w:spacing w:line="400" w:lineRule="exact"/>
              <w:rPr>
                <w:rFonts w:hint="eastAsia" w:ascii="仿宋" w:hAnsi="仿宋" w:eastAsia="仿宋" w:cs="仿宋"/>
                <w:i w:val="0"/>
                <w:iCs w:val="0"/>
                <w:color w:val="auto"/>
                <w:sz w:val="24"/>
                <w:szCs w:val="24"/>
                <w:u w:val="none"/>
              </w:rPr>
            </w:pPr>
          </w:p>
        </w:tc>
        <w:tc>
          <w:tcPr>
            <w:tcW w:w="1591" w:type="pct"/>
            <w:tcBorders>
              <w:top w:val="single" w:color="auto" w:sz="4" w:space="0"/>
              <w:left w:val="nil"/>
              <w:bottom w:val="nil"/>
              <w:right w:val="nil"/>
            </w:tcBorders>
            <w:shd w:val="clear" w:color="auto" w:fill="auto"/>
            <w:noWrap/>
            <w:vAlign w:val="bottom"/>
          </w:tcPr>
          <w:p w14:paraId="0457054E">
            <w:pPr>
              <w:keepNext w:val="0"/>
              <w:keepLines w:val="0"/>
              <w:pageBreakBefore w:val="0"/>
              <w:kinsoku/>
              <w:wordWrap/>
              <w:overflowPunct/>
              <w:topLinePunct w:val="0"/>
              <w:autoSpaceDE/>
              <w:autoSpaceDN/>
              <w:bidi w:val="0"/>
              <w:spacing w:line="400" w:lineRule="exact"/>
              <w:rPr>
                <w:rFonts w:hint="eastAsia" w:ascii="仿宋" w:hAnsi="仿宋" w:eastAsia="仿宋" w:cs="仿宋"/>
                <w:i w:val="0"/>
                <w:iCs w:val="0"/>
                <w:color w:val="auto"/>
                <w:sz w:val="24"/>
                <w:szCs w:val="24"/>
                <w:u w:val="none"/>
              </w:rPr>
            </w:pPr>
          </w:p>
        </w:tc>
        <w:tc>
          <w:tcPr>
            <w:tcW w:w="290" w:type="pct"/>
            <w:tcBorders>
              <w:top w:val="single" w:color="auto" w:sz="4" w:space="0"/>
              <w:left w:val="nil"/>
              <w:bottom w:val="nil"/>
              <w:right w:val="nil"/>
            </w:tcBorders>
            <w:shd w:val="clear" w:color="auto" w:fill="auto"/>
            <w:noWrap/>
            <w:vAlign w:val="bottom"/>
          </w:tcPr>
          <w:p w14:paraId="642300B5">
            <w:pPr>
              <w:keepNext w:val="0"/>
              <w:keepLines w:val="0"/>
              <w:pageBreakBefore w:val="0"/>
              <w:kinsoku/>
              <w:wordWrap/>
              <w:overflowPunct/>
              <w:topLinePunct w:val="0"/>
              <w:autoSpaceDE/>
              <w:autoSpaceDN/>
              <w:bidi w:val="0"/>
              <w:spacing w:line="400" w:lineRule="exact"/>
              <w:rPr>
                <w:rFonts w:hint="eastAsia" w:ascii="仿宋" w:hAnsi="仿宋" w:eastAsia="仿宋" w:cs="仿宋"/>
                <w:i w:val="0"/>
                <w:iCs w:val="0"/>
                <w:color w:val="auto"/>
                <w:sz w:val="24"/>
                <w:szCs w:val="24"/>
                <w:u w:val="none"/>
              </w:rPr>
            </w:pPr>
          </w:p>
        </w:tc>
        <w:tc>
          <w:tcPr>
            <w:tcW w:w="1388" w:type="pct"/>
            <w:gridSpan w:val="2"/>
            <w:tcBorders>
              <w:top w:val="single" w:color="auto" w:sz="4" w:space="0"/>
              <w:left w:val="nil"/>
              <w:bottom w:val="nil"/>
              <w:right w:val="nil"/>
            </w:tcBorders>
            <w:shd w:val="clear" w:color="auto" w:fill="auto"/>
            <w:noWrap/>
            <w:vAlign w:val="bottom"/>
          </w:tcPr>
          <w:p w14:paraId="698691FB">
            <w:pPr>
              <w:keepNext w:val="0"/>
              <w:keepLines w:val="0"/>
              <w:pageBreakBefore w:val="0"/>
              <w:kinsoku/>
              <w:wordWrap/>
              <w:overflowPunct/>
              <w:topLinePunct w:val="0"/>
              <w:autoSpaceDE/>
              <w:autoSpaceDN/>
              <w:bidi w:val="0"/>
              <w:spacing w:line="400" w:lineRule="exact"/>
              <w:rPr>
                <w:rFonts w:hint="eastAsia" w:ascii="仿宋" w:hAnsi="仿宋" w:eastAsia="仿宋" w:cs="仿宋"/>
                <w:i w:val="0"/>
                <w:iCs w:val="0"/>
                <w:color w:val="auto"/>
                <w:sz w:val="24"/>
                <w:szCs w:val="24"/>
                <w:u w:val="none"/>
              </w:rPr>
            </w:pPr>
          </w:p>
        </w:tc>
        <w:tc>
          <w:tcPr>
            <w:tcW w:w="323" w:type="pct"/>
            <w:tcBorders>
              <w:top w:val="single" w:color="auto" w:sz="4" w:space="0"/>
              <w:left w:val="nil"/>
              <w:bottom w:val="nil"/>
              <w:right w:val="nil"/>
            </w:tcBorders>
            <w:shd w:val="clear" w:color="auto" w:fill="auto"/>
            <w:noWrap/>
            <w:vAlign w:val="bottom"/>
          </w:tcPr>
          <w:p w14:paraId="15A9F1DA">
            <w:pPr>
              <w:keepNext w:val="0"/>
              <w:keepLines w:val="0"/>
              <w:pageBreakBefore w:val="0"/>
              <w:kinsoku/>
              <w:wordWrap/>
              <w:overflowPunct/>
              <w:topLinePunct w:val="0"/>
              <w:autoSpaceDE/>
              <w:autoSpaceDN/>
              <w:bidi w:val="0"/>
              <w:spacing w:line="400" w:lineRule="exact"/>
              <w:rPr>
                <w:rFonts w:hint="eastAsia" w:ascii="仿宋" w:hAnsi="仿宋" w:eastAsia="仿宋" w:cs="仿宋"/>
                <w:i w:val="0"/>
                <w:iCs w:val="0"/>
                <w:color w:val="auto"/>
                <w:sz w:val="24"/>
                <w:szCs w:val="24"/>
                <w:u w:val="none"/>
              </w:rPr>
            </w:pPr>
          </w:p>
        </w:tc>
      </w:tr>
      <w:tr w14:paraId="319DF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5000" w:type="pct"/>
            <w:gridSpan w:val="8"/>
            <w:tcBorders>
              <w:top w:val="nil"/>
              <w:left w:val="nil"/>
              <w:bottom w:val="nil"/>
              <w:right w:val="nil"/>
            </w:tcBorders>
            <w:shd w:val="clear" w:color="auto" w:fill="auto"/>
            <w:vAlign w:val="center"/>
          </w:tcPr>
          <w:p w14:paraId="5A2A9021">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仿宋" w:hAnsi="仿宋" w:eastAsia="仿宋" w:cs="仿宋"/>
                <w:b/>
                <w:bCs/>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考核结果运用：</w:t>
            </w:r>
          </w:p>
          <w:p w14:paraId="2BCE687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1.合格标准：考核得分≥90分为合格，</w:t>
            </w:r>
            <w:r>
              <w:rPr>
                <w:rFonts w:hint="eastAsia" w:ascii="仿宋" w:hAnsi="仿宋" w:eastAsia="仿宋" w:cs="仿宋"/>
                <w:i w:val="0"/>
                <w:iCs w:val="0"/>
                <w:color w:val="auto"/>
                <w:kern w:val="0"/>
                <w:sz w:val="24"/>
                <w:szCs w:val="24"/>
                <w:highlight w:val="none"/>
                <w:u w:val="none"/>
                <w:lang w:val="en-US" w:eastAsia="zh-CN" w:bidi="ar"/>
              </w:rPr>
              <w:t>采购人</w:t>
            </w:r>
            <w:r>
              <w:rPr>
                <w:rFonts w:hint="eastAsia" w:ascii="仿宋" w:hAnsi="仿宋" w:eastAsia="仿宋" w:cs="仿宋"/>
                <w:i w:val="0"/>
                <w:iCs w:val="0"/>
                <w:color w:val="auto"/>
                <w:kern w:val="0"/>
                <w:sz w:val="24"/>
                <w:szCs w:val="24"/>
                <w:u w:val="none"/>
                <w:lang w:val="en-US" w:eastAsia="zh-CN" w:bidi="ar"/>
              </w:rPr>
              <w:t>全额支付当期维保服务费。</w:t>
            </w:r>
          </w:p>
          <w:p w14:paraId="5064992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2.不合格扣款机制：</w:t>
            </w:r>
          </w:p>
          <w:p w14:paraId="7AAEF74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80分≤考核得分</w:t>
            </w:r>
            <w:r>
              <w:rPr>
                <w:rStyle w:val="42"/>
                <w:rFonts w:hint="eastAsia" w:ascii="仿宋" w:hAnsi="仿宋" w:eastAsia="仿宋" w:cs="仿宋"/>
                <w:color w:val="auto"/>
                <w:sz w:val="24"/>
                <w:szCs w:val="24"/>
                <w:lang w:val="en-US" w:eastAsia="zh-CN" w:bidi="ar"/>
              </w:rPr>
              <w:t>＜</w:t>
            </w:r>
            <w:r>
              <w:rPr>
                <w:rFonts w:hint="eastAsia" w:ascii="仿宋" w:hAnsi="仿宋" w:eastAsia="仿宋" w:cs="仿宋"/>
                <w:i w:val="0"/>
                <w:iCs w:val="0"/>
                <w:color w:val="auto"/>
                <w:kern w:val="0"/>
                <w:sz w:val="24"/>
                <w:szCs w:val="24"/>
                <w:u w:val="none"/>
                <w:lang w:val="en-US" w:eastAsia="zh-CN" w:bidi="ar"/>
              </w:rPr>
              <w:t>90分：视为基本合格但存在瑕疵，以90分为基准，每低1分扣除当期维保服务费的1%。（例如：考核得分为85分，则扣除当期服务费的5%；考核得分为82分，则扣除8%。）</w:t>
            </w:r>
          </w:p>
          <w:p w14:paraId="4B69F5E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i w:val="0"/>
                <w:iCs w:val="0"/>
                <w:color w:val="auto"/>
                <w:sz w:val="24"/>
                <w:szCs w:val="24"/>
                <w:u w:val="none"/>
              </w:rPr>
            </w:pPr>
            <w:r>
              <w:rPr>
                <w:rStyle w:val="42"/>
                <w:rFonts w:hint="eastAsia" w:ascii="仿宋" w:hAnsi="仿宋" w:eastAsia="仿宋" w:cs="仿宋"/>
                <w:color w:val="auto"/>
                <w:sz w:val="24"/>
                <w:szCs w:val="24"/>
                <w:lang w:val="en-US" w:eastAsia="zh-CN" w:bidi="ar"/>
              </w:rPr>
              <w:t>70</w:t>
            </w:r>
            <w:r>
              <w:rPr>
                <w:rStyle w:val="41"/>
                <w:rFonts w:hint="eastAsia" w:ascii="仿宋" w:hAnsi="仿宋" w:eastAsia="仿宋" w:cs="仿宋"/>
                <w:color w:val="auto"/>
                <w:sz w:val="24"/>
                <w:szCs w:val="24"/>
                <w:lang w:val="en-US" w:eastAsia="zh-CN" w:bidi="ar"/>
              </w:rPr>
              <w:t>分</w:t>
            </w:r>
            <w:r>
              <w:rPr>
                <w:rStyle w:val="42"/>
                <w:rFonts w:hint="eastAsia" w:ascii="仿宋" w:hAnsi="仿宋" w:eastAsia="仿宋" w:cs="仿宋"/>
                <w:color w:val="auto"/>
                <w:sz w:val="24"/>
                <w:szCs w:val="24"/>
                <w:lang w:val="en-US" w:eastAsia="zh-CN" w:bidi="ar"/>
              </w:rPr>
              <w:t>≤</w:t>
            </w:r>
            <w:r>
              <w:rPr>
                <w:rStyle w:val="41"/>
                <w:rFonts w:hint="eastAsia" w:ascii="仿宋" w:hAnsi="仿宋" w:eastAsia="仿宋" w:cs="仿宋"/>
                <w:color w:val="auto"/>
                <w:sz w:val="24"/>
                <w:szCs w:val="24"/>
                <w:lang w:val="en-US" w:eastAsia="zh-CN" w:bidi="ar"/>
              </w:rPr>
              <w:t>考核得分</w:t>
            </w:r>
            <w:r>
              <w:rPr>
                <w:rStyle w:val="42"/>
                <w:rFonts w:hint="eastAsia" w:ascii="仿宋" w:hAnsi="仿宋" w:eastAsia="仿宋" w:cs="仿宋"/>
                <w:color w:val="auto"/>
                <w:sz w:val="24"/>
                <w:szCs w:val="24"/>
                <w:lang w:val="en-US" w:eastAsia="zh-CN" w:bidi="ar"/>
              </w:rPr>
              <w:t>＜80</w:t>
            </w:r>
            <w:r>
              <w:rPr>
                <w:rStyle w:val="41"/>
                <w:rFonts w:hint="eastAsia" w:ascii="仿宋" w:hAnsi="仿宋" w:eastAsia="仿宋" w:cs="仿宋"/>
                <w:color w:val="auto"/>
                <w:sz w:val="24"/>
                <w:szCs w:val="24"/>
                <w:lang w:val="en-US" w:eastAsia="zh-CN" w:bidi="ar"/>
              </w:rPr>
              <w:t>分：视为不合格，扣除当期维保服务费的</w:t>
            </w:r>
            <w:r>
              <w:rPr>
                <w:rStyle w:val="42"/>
                <w:rFonts w:hint="eastAsia" w:ascii="仿宋" w:hAnsi="仿宋" w:eastAsia="仿宋" w:cs="仿宋"/>
                <w:color w:val="auto"/>
                <w:sz w:val="24"/>
                <w:szCs w:val="24"/>
                <w:lang w:val="en-US" w:eastAsia="zh-CN" w:bidi="ar"/>
              </w:rPr>
              <w:t>20%</w:t>
            </w:r>
            <w:r>
              <w:rPr>
                <w:rStyle w:val="41"/>
                <w:rFonts w:hint="eastAsia" w:ascii="仿宋" w:hAnsi="仿宋" w:eastAsia="仿宋" w:cs="仿宋"/>
                <w:color w:val="auto"/>
                <w:sz w:val="24"/>
                <w:szCs w:val="24"/>
                <w:lang w:val="en-US" w:eastAsia="zh-CN" w:bidi="ar"/>
              </w:rPr>
              <w:t>，并要求供应商提交整改报告。</w:t>
            </w:r>
          </w:p>
          <w:p w14:paraId="610CA66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i w:val="0"/>
                <w:iCs w:val="0"/>
                <w:color w:val="auto"/>
                <w:sz w:val="24"/>
                <w:szCs w:val="24"/>
                <w:u w:val="none"/>
              </w:rPr>
            </w:pPr>
            <w:r>
              <w:rPr>
                <w:rStyle w:val="41"/>
                <w:rFonts w:hint="eastAsia" w:ascii="仿宋" w:hAnsi="仿宋" w:eastAsia="仿宋" w:cs="仿宋"/>
                <w:color w:val="auto"/>
                <w:sz w:val="24"/>
                <w:szCs w:val="24"/>
                <w:lang w:val="en-US" w:eastAsia="zh-CN" w:bidi="ar"/>
              </w:rPr>
              <w:t>考核得分</w:t>
            </w:r>
            <w:r>
              <w:rPr>
                <w:rStyle w:val="42"/>
                <w:rFonts w:hint="eastAsia" w:ascii="仿宋" w:hAnsi="仿宋" w:eastAsia="仿宋" w:cs="仿宋"/>
                <w:color w:val="auto"/>
                <w:sz w:val="24"/>
                <w:szCs w:val="24"/>
                <w:lang w:val="en-US" w:eastAsia="zh-CN" w:bidi="ar"/>
              </w:rPr>
              <w:t>＜70</w:t>
            </w:r>
            <w:r>
              <w:rPr>
                <w:rStyle w:val="41"/>
                <w:rFonts w:hint="eastAsia" w:ascii="仿宋" w:hAnsi="仿宋" w:eastAsia="仿宋" w:cs="仿宋"/>
                <w:color w:val="auto"/>
                <w:sz w:val="24"/>
                <w:szCs w:val="24"/>
                <w:lang w:val="en-US" w:eastAsia="zh-CN" w:bidi="ar"/>
              </w:rPr>
              <w:t>分：视为严重违约，扣除当期维保服务费，若整改不到位或拒绝整改、推诿责任，采购人有权单方面立即解除合同，并没收履约保证金。</w:t>
            </w:r>
          </w:p>
          <w:p w14:paraId="68B5F75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3.一票否决项：发生因维保不当导致的安全事故（如火灾、触电、严重漏水造成重大财产损失）；发现使用假冒伪劣配件或欺诈行为。出现上述情况，当期维保费用不予支付，并追究</w:t>
            </w:r>
            <w:r>
              <w:rPr>
                <w:rFonts w:hint="eastAsia" w:ascii="仿宋" w:hAnsi="仿宋" w:eastAsia="仿宋" w:cs="仿宋"/>
                <w:i w:val="0"/>
                <w:iCs w:val="0"/>
                <w:color w:val="auto"/>
                <w:kern w:val="0"/>
                <w:sz w:val="24"/>
                <w:szCs w:val="24"/>
                <w:highlight w:val="none"/>
                <w:u w:val="none"/>
                <w:lang w:val="en-US" w:eastAsia="zh-CN" w:bidi="ar"/>
              </w:rPr>
              <w:t>供应商</w:t>
            </w:r>
            <w:r>
              <w:rPr>
                <w:rFonts w:hint="eastAsia" w:ascii="仿宋" w:hAnsi="仿宋" w:eastAsia="仿宋" w:cs="仿宋"/>
                <w:i w:val="0"/>
                <w:iCs w:val="0"/>
                <w:color w:val="auto"/>
                <w:kern w:val="0"/>
                <w:sz w:val="24"/>
                <w:szCs w:val="24"/>
                <w:u w:val="none"/>
                <w:lang w:val="en-US" w:eastAsia="zh-CN" w:bidi="ar"/>
              </w:rPr>
              <w:t>法律及赔偿责任。</w:t>
            </w:r>
          </w:p>
        </w:tc>
      </w:tr>
    </w:tbl>
    <w:p w14:paraId="1370D432">
      <w:pPr>
        <w:pStyle w:val="16"/>
        <w:keepNext w:val="0"/>
        <w:keepLines w:val="0"/>
        <w:pageBreakBefore w:val="0"/>
        <w:widowControl w:val="0"/>
        <w:kinsoku/>
        <w:wordWrap/>
        <w:overflowPunct/>
        <w:topLinePunct w:val="0"/>
        <w:autoSpaceDE/>
        <w:autoSpaceDN/>
        <w:bidi w:val="0"/>
        <w:adjustRightInd/>
        <w:spacing w:before="0" w:after="0"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7C7DA51E">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textAlignment w:val="auto"/>
        <w:rPr>
          <w:rFonts w:hint="eastAsia" w:ascii="仿宋" w:hAnsi="仿宋" w:eastAsia="仿宋" w:cs="仿宋"/>
          <w:b w:val="0"/>
          <w:bCs/>
          <w:color w:val="auto"/>
          <w:kern w:val="2"/>
          <w:sz w:val="24"/>
          <w:szCs w:val="24"/>
          <w:highlight w:val="none"/>
          <w:lang w:val="en-US" w:eastAsia="zh-CN"/>
        </w:rPr>
      </w:pPr>
      <w:r>
        <w:rPr>
          <w:rFonts w:hint="eastAsia" w:ascii="仿宋" w:hAnsi="仿宋" w:eastAsia="仿宋" w:cs="仿宋"/>
          <w:b w:val="0"/>
          <w:bCs/>
          <w:color w:val="auto"/>
          <w:kern w:val="2"/>
          <w:sz w:val="24"/>
          <w:szCs w:val="24"/>
          <w:highlight w:val="none"/>
          <w:lang w:val="en-US" w:eastAsia="zh-CN"/>
        </w:rPr>
        <w:t>1.供应商提供自2023年1月1日（含）至响应文件递交截止之日类似项目业绩（类似项目是指多联机机组空调维保服务项目），提供合同复印件并加盖供应商公章。</w:t>
      </w:r>
    </w:p>
    <w:p w14:paraId="5340C985">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color w:val="auto"/>
          <w:kern w:val="2"/>
          <w:sz w:val="24"/>
          <w:szCs w:val="24"/>
          <w:highlight w:val="none"/>
          <w:lang w:val="en-US" w:eastAsia="zh-CN"/>
        </w:rPr>
        <w:t>2.</w:t>
      </w:r>
      <w:r>
        <w:rPr>
          <w:rFonts w:hint="eastAsia" w:ascii="仿宋" w:hAnsi="仿宋" w:eastAsia="仿宋" w:cs="仿宋"/>
          <w:sz w:val="24"/>
          <w:szCs w:val="24"/>
          <w:highlight w:val="none"/>
          <w:lang w:val="en-US" w:eastAsia="zh-CN"/>
        </w:rPr>
        <w:t>供应商为本项目拟配备的维保团队人员：</w:t>
      </w:r>
    </w:p>
    <w:p w14:paraId="0E55DB65">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textAlignment w:val="auto"/>
        <w:rPr>
          <w:rFonts w:hint="default"/>
          <w:sz w:val="24"/>
          <w:szCs w:val="24"/>
          <w:lang w:val="en-US" w:eastAsia="zh-CN"/>
        </w:rPr>
      </w:pPr>
      <w:r>
        <w:rPr>
          <w:rFonts w:hint="default"/>
          <w:sz w:val="24"/>
          <w:szCs w:val="24"/>
          <w:lang w:val="en-US" w:eastAsia="zh-CN"/>
        </w:rPr>
        <w:t>（1）具有机电工程相关专业高级工程师职称。</w:t>
      </w:r>
    </w:p>
    <w:p w14:paraId="4196A464">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textAlignment w:val="auto"/>
        <w:rPr>
          <w:rFonts w:hint="default"/>
          <w:sz w:val="24"/>
          <w:szCs w:val="24"/>
          <w:lang w:val="en-US" w:eastAsia="zh-CN"/>
        </w:rPr>
      </w:pPr>
      <w:r>
        <w:rPr>
          <w:rFonts w:hint="default"/>
          <w:sz w:val="24"/>
          <w:szCs w:val="24"/>
          <w:lang w:val="en-US" w:eastAsia="zh-CN"/>
        </w:rPr>
        <w:t>（2）具有电气工程相关专业初级职称。</w:t>
      </w:r>
    </w:p>
    <w:p w14:paraId="090F3EB5">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textAlignment w:val="auto"/>
        <w:rPr>
          <w:rFonts w:hint="default"/>
          <w:sz w:val="24"/>
          <w:szCs w:val="24"/>
          <w:lang w:val="en-US" w:eastAsia="zh-CN"/>
        </w:rPr>
      </w:pPr>
      <w:r>
        <w:rPr>
          <w:rFonts w:hint="default"/>
          <w:sz w:val="24"/>
          <w:szCs w:val="24"/>
          <w:lang w:val="en-US" w:eastAsia="zh-CN"/>
        </w:rPr>
        <w:t>（3）满足本项目对维保团队人员制冷与空调作业证（1人）要求的基础上，另外包含具有制冷与空调作业证的团队人员。</w:t>
      </w:r>
    </w:p>
    <w:p w14:paraId="5946F7A1">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textAlignment w:val="auto"/>
        <w:rPr>
          <w:rFonts w:hint="default"/>
          <w:sz w:val="24"/>
          <w:szCs w:val="24"/>
          <w:lang w:val="en-US" w:eastAsia="zh-CN"/>
        </w:rPr>
      </w:pPr>
      <w:r>
        <w:rPr>
          <w:rFonts w:hint="default"/>
          <w:sz w:val="24"/>
          <w:szCs w:val="24"/>
          <w:lang w:val="en-US" w:eastAsia="zh-CN"/>
        </w:rPr>
        <w:t>（4）满足本项目对维保团队人员低压电工作业证（1人）要求的基础上，另外包含具有低压电工作业证的团队人员。</w:t>
      </w:r>
    </w:p>
    <w:p w14:paraId="422FB2A6">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textAlignment w:val="auto"/>
        <w:rPr>
          <w:rFonts w:hint="default"/>
          <w:sz w:val="24"/>
          <w:szCs w:val="24"/>
          <w:lang w:val="en-US" w:eastAsia="zh-CN"/>
        </w:rPr>
      </w:pPr>
      <w:r>
        <w:rPr>
          <w:rFonts w:hint="default"/>
          <w:sz w:val="24"/>
          <w:szCs w:val="24"/>
          <w:lang w:val="en-US" w:eastAsia="zh-CN"/>
        </w:rPr>
        <w:t>（5）具有高压电工作业证。</w:t>
      </w:r>
    </w:p>
    <w:p w14:paraId="38308A49">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textAlignment w:val="auto"/>
        <w:rPr>
          <w:rFonts w:hint="default"/>
          <w:sz w:val="24"/>
          <w:szCs w:val="24"/>
          <w:lang w:val="en-US" w:eastAsia="zh-CN"/>
        </w:rPr>
      </w:pPr>
      <w:r>
        <w:rPr>
          <w:rFonts w:hint="default"/>
          <w:sz w:val="24"/>
          <w:szCs w:val="24"/>
          <w:lang w:val="en-US" w:eastAsia="zh-CN"/>
        </w:rPr>
        <w:t>（6）具有高处作业证。</w:t>
      </w:r>
    </w:p>
    <w:p w14:paraId="02A0EC58">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textAlignment w:val="auto"/>
        <w:rPr>
          <w:rFonts w:hint="eastAsia" w:ascii="仿宋" w:hAnsi="仿宋" w:eastAsia="仿宋" w:cs="仿宋"/>
          <w:b w:val="0"/>
          <w:bCs/>
          <w:color w:val="auto"/>
          <w:kern w:val="2"/>
          <w:sz w:val="24"/>
          <w:szCs w:val="24"/>
          <w:highlight w:val="none"/>
          <w:lang w:val="en-US" w:eastAsia="zh-CN"/>
        </w:rPr>
      </w:pPr>
      <w:r>
        <w:rPr>
          <w:rFonts w:hint="eastAsia" w:ascii="仿宋" w:hAnsi="仿宋" w:eastAsia="仿宋" w:cs="仿宋"/>
          <w:b w:val="0"/>
          <w:bCs/>
          <w:color w:val="auto"/>
          <w:kern w:val="2"/>
          <w:sz w:val="24"/>
          <w:szCs w:val="24"/>
          <w:highlight w:val="none"/>
          <w:lang w:val="en-US" w:eastAsia="zh-CN"/>
        </w:rPr>
        <w:t>3.供应商针对本项目提供维保服务方案，包括：①设备维护保养计划；②维护保养巡检措施；③设备的维护保养流程、工序；④备品备件更换及质量保障方案。</w:t>
      </w:r>
    </w:p>
    <w:p w14:paraId="7AAAE8F2">
      <w:pPr>
        <w:pStyle w:val="16"/>
        <w:keepNext w:val="0"/>
        <w:keepLines w:val="0"/>
        <w:pageBreakBefore w:val="0"/>
        <w:widowControl w:val="0"/>
        <w:kinsoku/>
        <w:wordWrap/>
        <w:overflowPunct/>
        <w:topLinePunct w:val="0"/>
        <w:autoSpaceDE/>
        <w:autoSpaceDN/>
        <w:bidi w:val="0"/>
        <w:adjustRightInd/>
        <w:spacing w:before="0" w:after="0" w:line="400" w:lineRule="exact"/>
        <w:ind w:firstLine="480" w:firstLineChars="200"/>
        <w:textAlignment w:val="auto"/>
        <w:rPr>
          <w:rFonts w:hint="default" w:ascii="Times New Roman" w:hAnsi="Times New Roman" w:eastAsia="仿宋" w:cs="Times New Roman"/>
          <w:sz w:val="24"/>
          <w:szCs w:val="24"/>
          <w:lang w:val="en-US" w:eastAsia="zh-CN"/>
        </w:rPr>
      </w:pPr>
      <w:r>
        <w:rPr>
          <w:rFonts w:hint="eastAsia" w:ascii="仿宋" w:hAnsi="仿宋" w:eastAsia="仿宋" w:cs="仿宋"/>
          <w:b w:val="0"/>
          <w:bCs/>
          <w:color w:val="auto"/>
          <w:kern w:val="2"/>
          <w:sz w:val="24"/>
          <w:szCs w:val="24"/>
          <w:highlight w:val="none"/>
          <w:lang w:val="en-US" w:eastAsia="zh-CN"/>
        </w:rPr>
        <w:t>4.供应商针对本项目提供安全、应急保障方案，包括：①作业安全与人员保障方案；②应急事件响应方案；③设备故障响应与抢修方案。</w:t>
      </w:r>
    </w:p>
    <w:p w14:paraId="5014D632">
      <w:pPr>
        <w:pStyle w:val="16"/>
        <w:keepNext w:val="0"/>
        <w:keepLines w:val="0"/>
        <w:pageBreakBefore w:val="0"/>
        <w:kinsoku/>
        <w:wordWrap/>
        <w:overflowPunct/>
        <w:topLinePunct w:val="0"/>
        <w:autoSpaceDE/>
        <w:autoSpaceDN/>
        <w:bidi w:val="0"/>
        <w:spacing w:before="0" w:after="0" w:line="400" w:lineRule="exact"/>
        <w:ind w:firstLine="0"/>
        <w:rPr>
          <w:rFonts w:ascii="Times New Roman" w:hAnsi="Times New Roman" w:eastAsia="仿宋" w:cs="Times New Roman"/>
          <w:sz w:val="24"/>
          <w:szCs w:val="24"/>
        </w:rPr>
      </w:pPr>
    </w:p>
    <w:p w14:paraId="4A6A2942">
      <w:pPr>
        <w:pStyle w:val="16"/>
        <w:keepNext w:val="0"/>
        <w:keepLines w:val="0"/>
        <w:pageBreakBefore w:val="0"/>
        <w:kinsoku/>
        <w:wordWrap/>
        <w:overflowPunct/>
        <w:topLinePunct w:val="0"/>
        <w:autoSpaceDE/>
        <w:autoSpaceDN/>
        <w:bidi w:val="0"/>
        <w:spacing w:before="0" w:after="0" w:line="400" w:lineRule="exact"/>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5" w:name="_Toc13768"/>
      <w:bookmarkStart w:id="16" w:name="_Toc28789"/>
      <w:bookmarkStart w:id="17" w:name="_Toc22588"/>
      <w:r>
        <w:rPr>
          <w:rFonts w:hint="eastAsia" w:ascii="Times New Roman" w:hAnsi="Times New Roman" w:eastAsia="黑体" w:cs="Times New Roman"/>
          <w:b/>
          <w:kern w:val="44"/>
          <w:sz w:val="36"/>
          <w:szCs w:val="22"/>
          <w:lang w:val="zh-CN" w:eastAsia="zh-CN" w:bidi="ar-SA"/>
        </w:rPr>
        <w:t>第</w:t>
      </w:r>
      <w:r>
        <w:rPr>
          <w:rFonts w:hint="eastAsia" w:ascii="Times New Roman" w:hAnsi="Times New Roman" w:cs="Times New Roman"/>
          <w:b/>
          <w:kern w:val="44"/>
          <w:sz w:val="36"/>
          <w:szCs w:val="22"/>
          <w:lang w:val="en-US" w:eastAsia="zh-CN" w:bidi="ar-SA"/>
        </w:rPr>
        <w:t>五</w:t>
      </w:r>
      <w:r>
        <w:rPr>
          <w:rFonts w:hint="eastAsia" w:ascii="Times New Roman" w:hAnsi="Times New Roman" w:eastAsia="黑体" w:cs="Times New Roman"/>
          <w:b/>
          <w:kern w:val="44"/>
          <w:sz w:val="36"/>
          <w:szCs w:val="22"/>
          <w:lang w:val="zh-CN" w:eastAsia="zh-CN" w:bidi="ar-SA"/>
        </w:rPr>
        <w:t xml:space="preserve">章 </w:t>
      </w:r>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201"/>
        <w:gridCol w:w="1203"/>
        <w:gridCol w:w="4103"/>
        <w:gridCol w:w="2367"/>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0E123AE4">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01" w:type="dxa"/>
            <w:tcBorders>
              <w:top w:val="single" w:color="auto" w:sz="4" w:space="0"/>
              <w:left w:val="single" w:color="auto" w:sz="4" w:space="0"/>
              <w:bottom w:val="single" w:color="auto" w:sz="4" w:space="0"/>
              <w:right w:val="single" w:color="auto" w:sz="4" w:space="0"/>
            </w:tcBorders>
            <w:vAlign w:val="center"/>
          </w:tcPr>
          <w:p w14:paraId="6C69E609">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1203" w:type="dxa"/>
            <w:tcBorders>
              <w:top w:val="single" w:color="auto" w:sz="4" w:space="0"/>
              <w:left w:val="single" w:color="auto" w:sz="4" w:space="0"/>
              <w:bottom w:val="single" w:color="auto" w:sz="4" w:space="0"/>
              <w:right w:val="single" w:color="auto" w:sz="4" w:space="0"/>
            </w:tcBorders>
            <w:vAlign w:val="center"/>
          </w:tcPr>
          <w:p w14:paraId="35AAE3BA">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103" w:type="dxa"/>
            <w:tcBorders>
              <w:top w:val="single" w:color="auto" w:sz="4" w:space="0"/>
              <w:left w:val="single" w:color="auto" w:sz="4" w:space="0"/>
              <w:bottom w:val="single" w:color="auto" w:sz="4" w:space="0"/>
              <w:right w:val="single" w:color="auto" w:sz="4" w:space="0"/>
            </w:tcBorders>
            <w:vAlign w:val="center"/>
          </w:tcPr>
          <w:p w14:paraId="77EF252B">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367" w:type="dxa"/>
            <w:tcBorders>
              <w:top w:val="single" w:color="auto" w:sz="4" w:space="0"/>
              <w:left w:val="single" w:color="auto" w:sz="4" w:space="0"/>
              <w:bottom w:val="single" w:color="auto" w:sz="4" w:space="0"/>
              <w:right w:val="single" w:color="auto" w:sz="4" w:space="0"/>
            </w:tcBorders>
            <w:vAlign w:val="center"/>
          </w:tcPr>
          <w:p w14:paraId="2C71D137">
            <w:pPr>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6F7F373C">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1</w:t>
            </w:r>
          </w:p>
        </w:tc>
        <w:tc>
          <w:tcPr>
            <w:tcW w:w="1201" w:type="dxa"/>
            <w:tcBorders>
              <w:top w:val="single" w:color="auto" w:sz="4" w:space="0"/>
              <w:left w:val="single" w:color="auto" w:sz="4" w:space="0"/>
              <w:bottom w:val="single" w:color="auto" w:sz="4" w:space="0"/>
              <w:right w:val="single" w:color="auto" w:sz="4" w:space="0"/>
            </w:tcBorders>
            <w:vAlign w:val="center"/>
          </w:tcPr>
          <w:p w14:paraId="7E76E211">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维保费报价</w:t>
            </w:r>
          </w:p>
        </w:tc>
        <w:tc>
          <w:tcPr>
            <w:tcW w:w="1203" w:type="dxa"/>
            <w:tcBorders>
              <w:top w:val="single" w:color="auto" w:sz="4" w:space="0"/>
              <w:left w:val="single" w:color="auto" w:sz="4" w:space="0"/>
              <w:bottom w:val="single" w:color="auto" w:sz="4" w:space="0"/>
              <w:right w:val="single" w:color="auto" w:sz="4" w:space="0"/>
            </w:tcBorders>
            <w:vAlign w:val="center"/>
          </w:tcPr>
          <w:p w14:paraId="31CBAE5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24分</w:t>
            </w:r>
          </w:p>
        </w:tc>
        <w:tc>
          <w:tcPr>
            <w:tcW w:w="4103" w:type="dxa"/>
            <w:tcBorders>
              <w:top w:val="single" w:color="auto" w:sz="4" w:space="0"/>
              <w:left w:val="single" w:color="auto" w:sz="4" w:space="0"/>
              <w:bottom w:val="single" w:color="auto" w:sz="4" w:space="0"/>
              <w:right w:val="single" w:color="auto" w:sz="4" w:space="0"/>
            </w:tcBorders>
            <w:vAlign w:val="center"/>
          </w:tcPr>
          <w:p w14:paraId="6DEB5B4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满足谈判文件要求且响应价格最低的报价为评审基准价，其价格分为满分</w:t>
            </w:r>
            <w:r>
              <w:rPr>
                <w:rFonts w:hint="eastAsia" w:ascii="仿宋" w:hAnsi="仿宋" w:eastAsia="仿宋" w:cs="仿宋"/>
                <w:sz w:val="24"/>
                <w:szCs w:val="24"/>
                <w:highlight w:val="none"/>
              </w:rPr>
              <w:t>；报价得分=(基准价／报价)×</w:t>
            </w:r>
            <w:r>
              <w:rPr>
                <w:rFonts w:hint="eastAsia" w:ascii="仿宋" w:hAnsi="仿宋" w:eastAsia="仿宋" w:cs="仿宋"/>
                <w:sz w:val="24"/>
                <w:szCs w:val="24"/>
                <w:highlight w:val="none"/>
                <w:lang w:val="en-US" w:eastAsia="zh-CN"/>
              </w:rPr>
              <w:t>24</w:t>
            </w:r>
            <w:r>
              <w:rPr>
                <w:rFonts w:hint="eastAsia" w:ascii="仿宋" w:hAnsi="仿宋" w:eastAsia="仿宋" w:cs="仿宋"/>
                <w:sz w:val="24"/>
                <w:szCs w:val="24"/>
                <w:highlight w:val="none"/>
              </w:rPr>
              <w:t>分。</w:t>
            </w:r>
          </w:p>
        </w:tc>
        <w:tc>
          <w:tcPr>
            <w:tcW w:w="2367" w:type="dxa"/>
            <w:tcBorders>
              <w:top w:val="single" w:color="auto" w:sz="4" w:space="0"/>
              <w:left w:val="single" w:color="auto" w:sz="4" w:space="0"/>
              <w:bottom w:val="single" w:color="auto" w:sz="4" w:space="0"/>
              <w:right w:val="single" w:color="auto" w:sz="4" w:space="0"/>
            </w:tcBorders>
            <w:vAlign w:val="center"/>
          </w:tcPr>
          <w:p w14:paraId="79198450">
            <w:pPr>
              <w:jc w:val="center"/>
              <w:rPr>
                <w:rFonts w:ascii="Times New Roman" w:hAnsi="Times New Roman" w:eastAsia="仿宋" w:cs="Times New Roman"/>
                <w:sz w:val="24"/>
                <w:szCs w:val="24"/>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979" w:type="dxa"/>
            <w:tcBorders>
              <w:top w:val="single" w:color="auto" w:sz="4" w:space="0"/>
              <w:left w:val="single" w:color="auto" w:sz="4" w:space="0"/>
              <w:right w:val="single" w:color="auto" w:sz="4" w:space="0"/>
            </w:tcBorders>
            <w:vAlign w:val="center"/>
          </w:tcPr>
          <w:p w14:paraId="0E0DA849">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2</w:t>
            </w:r>
          </w:p>
        </w:tc>
        <w:tc>
          <w:tcPr>
            <w:tcW w:w="1201" w:type="dxa"/>
            <w:tcBorders>
              <w:top w:val="single" w:color="auto" w:sz="4" w:space="0"/>
              <w:left w:val="single" w:color="auto" w:sz="4" w:space="0"/>
              <w:right w:val="single" w:color="auto" w:sz="4" w:space="0"/>
            </w:tcBorders>
            <w:vAlign w:val="center"/>
          </w:tcPr>
          <w:p w14:paraId="3CFDA421">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维修</w:t>
            </w:r>
            <w:r>
              <w:rPr>
                <w:rFonts w:hint="eastAsia" w:ascii="仿宋" w:hAnsi="仿宋" w:eastAsia="仿宋" w:cs="仿宋"/>
                <w:sz w:val="24"/>
                <w:szCs w:val="24"/>
                <w:highlight w:val="none"/>
                <w:lang w:val="en-US" w:eastAsia="zh-CN"/>
              </w:rPr>
              <w:t>配件</w:t>
            </w:r>
            <w:r>
              <w:rPr>
                <w:rFonts w:hint="eastAsia" w:ascii="仿宋" w:hAnsi="仿宋" w:eastAsia="仿宋" w:cs="仿宋"/>
                <w:sz w:val="24"/>
                <w:szCs w:val="24"/>
                <w:highlight w:val="none"/>
              </w:rPr>
              <w:t>报价</w:t>
            </w:r>
          </w:p>
        </w:tc>
        <w:tc>
          <w:tcPr>
            <w:tcW w:w="1203" w:type="dxa"/>
            <w:tcBorders>
              <w:top w:val="single" w:color="auto" w:sz="4" w:space="0"/>
              <w:left w:val="single" w:color="auto" w:sz="4" w:space="0"/>
              <w:bottom w:val="single" w:color="auto" w:sz="4" w:space="0"/>
              <w:right w:val="single" w:color="auto" w:sz="4" w:space="0"/>
            </w:tcBorders>
            <w:vAlign w:val="center"/>
          </w:tcPr>
          <w:p w14:paraId="698E54E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bCs/>
                <w:sz w:val="24"/>
                <w:szCs w:val="24"/>
                <w:lang w:val="en-US"/>
              </w:rPr>
            </w:pPr>
            <w:r>
              <w:rPr>
                <w:rFonts w:hint="eastAsia" w:ascii="仿宋" w:hAnsi="仿宋" w:eastAsia="仿宋" w:cs="仿宋"/>
                <w:sz w:val="24"/>
                <w:szCs w:val="24"/>
                <w:highlight w:val="none"/>
                <w:lang w:val="en-US" w:eastAsia="zh-CN"/>
              </w:rPr>
              <w:t>6分</w:t>
            </w:r>
          </w:p>
        </w:tc>
        <w:tc>
          <w:tcPr>
            <w:tcW w:w="4103" w:type="dxa"/>
            <w:tcBorders>
              <w:top w:val="single" w:color="auto" w:sz="4" w:space="0"/>
              <w:left w:val="single" w:color="auto" w:sz="4" w:space="0"/>
              <w:bottom w:val="single" w:color="auto" w:sz="4" w:space="0"/>
              <w:right w:val="single" w:color="auto" w:sz="4" w:space="0"/>
            </w:tcBorders>
            <w:vAlign w:val="center"/>
          </w:tcPr>
          <w:p w14:paraId="145B6C9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以本次有效的最低响应报价（1-最大下浮率）为基准价，其价格分为满分。其他供应商的报价得分=[基准价／（1-下浮率）]×6分。</w:t>
            </w:r>
          </w:p>
        </w:tc>
        <w:tc>
          <w:tcPr>
            <w:tcW w:w="2367" w:type="dxa"/>
            <w:tcBorders>
              <w:top w:val="single" w:color="auto" w:sz="4" w:space="0"/>
              <w:left w:val="single" w:color="auto" w:sz="4" w:space="0"/>
              <w:bottom w:val="single" w:color="auto" w:sz="4" w:space="0"/>
              <w:right w:val="single" w:color="auto" w:sz="4" w:space="0"/>
            </w:tcBorders>
            <w:vAlign w:val="center"/>
          </w:tcPr>
          <w:p w14:paraId="1260EA4B">
            <w:pPr>
              <w:jc w:val="center"/>
              <w:rPr>
                <w:rFonts w:ascii="Times New Roman" w:hAnsi="Times New Roman" w:eastAsia="仿宋" w:cs="Times New Roman"/>
                <w:sz w:val="24"/>
                <w:szCs w:val="24"/>
              </w:rPr>
            </w:pP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979" w:type="dxa"/>
            <w:tcBorders>
              <w:left w:val="single" w:color="auto" w:sz="4" w:space="0"/>
              <w:bottom w:val="single" w:color="auto" w:sz="4" w:space="0"/>
              <w:right w:val="single" w:color="auto" w:sz="4" w:space="0"/>
            </w:tcBorders>
            <w:vAlign w:val="center"/>
          </w:tcPr>
          <w:p w14:paraId="12E402E8">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01" w:type="dxa"/>
            <w:tcBorders>
              <w:left w:val="single" w:color="auto" w:sz="4" w:space="0"/>
              <w:bottom w:val="single" w:color="auto" w:sz="4" w:space="0"/>
              <w:right w:val="single" w:color="auto" w:sz="4" w:space="0"/>
            </w:tcBorders>
            <w:vAlign w:val="center"/>
          </w:tcPr>
          <w:p w14:paraId="505033E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1203" w:type="dxa"/>
            <w:tcBorders>
              <w:top w:val="single" w:color="auto" w:sz="4" w:space="0"/>
              <w:left w:val="single" w:color="auto" w:sz="4" w:space="0"/>
              <w:bottom w:val="single" w:color="auto" w:sz="4" w:space="0"/>
              <w:right w:val="single" w:color="auto" w:sz="4" w:space="0"/>
            </w:tcBorders>
            <w:vAlign w:val="center"/>
          </w:tcPr>
          <w:p w14:paraId="2FE50D6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42</w:t>
            </w:r>
            <w:r>
              <w:rPr>
                <w:rFonts w:hint="eastAsia" w:ascii="仿宋" w:hAnsi="仿宋" w:eastAsia="仿宋" w:cs="仿宋"/>
                <w:sz w:val="24"/>
                <w:szCs w:val="24"/>
                <w:highlight w:val="none"/>
                <w:lang w:val="en-US" w:eastAsia="zh-CN"/>
              </w:rPr>
              <w:t>分</w:t>
            </w:r>
          </w:p>
        </w:tc>
        <w:tc>
          <w:tcPr>
            <w:tcW w:w="4103" w:type="dxa"/>
            <w:tcBorders>
              <w:top w:val="single" w:color="auto" w:sz="4" w:space="0"/>
              <w:left w:val="single" w:color="auto" w:sz="4" w:space="0"/>
              <w:bottom w:val="single" w:color="auto" w:sz="4" w:space="0"/>
              <w:right w:val="single" w:color="auto" w:sz="4" w:space="0"/>
            </w:tcBorders>
            <w:vAlign w:val="center"/>
          </w:tcPr>
          <w:p w14:paraId="013FD707">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供应商自2023年1月1日（含）至响应文件递交截止之日，每具有1个类似项目业绩（</w:t>
            </w:r>
            <w:r>
              <w:rPr>
                <w:rFonts w:hint="eastAsia" w:ascii="仿宋" w:hAnsi="仿宋" w:eastAsia="仿宋" w:cs="仿宋"/>
                <w:b w:val="0"/>
                <w:bCs/>
                <w:color w:val="auto"/>
                <w:kern w:val="2"/>
                <w:sz w:val="24"/>
                <w:szCs w:val="24"/>
                <w:highlight w:val="none"/>
                <w:lang w:val="en-US" w:eastAsia="zh-CN"/>
              </w:rPr>
              <w:t>类似项目是指多联机机组空调维保服务项目</w:t>
            </w:r>
            <w:r>
              <w:rPr>
                <w:rFonts w:hint="eastAsia" w:ascii="仿宋" w:hAnsi="仿宋" w:eastAsia="仿宋" w:cs="仿宋"/>
                <w:sz w:val="24"/>
                <w:szCs w:val="24"/>
                <w:lang w:val="en-US" w:eastAsia="zh-CN"/>
              </w:rPr>
              <w:t>）得6分，本项最高得42分。</w:t>
            </w:r>
          </w:p>
        </w:tc>
        <w:tc>
          <w:tcPr>
            <w:tcW w:w="2367" w:type="dxa"/>
            <w:tcBorders>
              <w:top w:val="single" w:color="auto" w:sz="4" w:space="0"/>
              <w:left w:val="single" w:color="auto" w:sz="4" w:space="0"/>
              <w:bottom w:val="single" w:color="auto" w:sz="4" w:space="0"/>
              <w:right w:val="single" w:color="auto" w:sz="4" w:space="0"/>
            </w:tcBorders>
            <w:vAlign w:val="center"/>
          </w:tcPr>
          <w:p w14:paraId="0928DA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提供合同复印件并加盖供应商公章</w:t>
            </w:r>
            <w:r>
              <w:rPr>
                <w:rFonts w:hint="eastAsia" w:ascii="仿宋" w:hAnsi="仿宋" w:eastAsia="仿宋" w:cs="仿宋"/>
                <w:sz w:val="24"/>
                <w:szCs w:val="24"/>
              </w:rPr>
              <w:t>。</w:t>
            </w:r>
          </w:p>
        </w:tc>
      </w:tr>
      <w:tr w14:paraId="7CC4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7" w:hRule="atLeast"/>
          <w:jc w:val="center"/>
        </w:trPr>
        <w:tc>
          <w:tcPr>
            <w:tcW w:w="979" w:type="dxa"/>
            <w:tcBorders>
              <w:left w:val="single" w:color="auto" w:sz="4" w:space="0"/>
              <w:bottom w:val="single" w:color="auto" w:sz="4" w:space="0"/>
              <w:right w:val="single" w:color="auto" w:sz="4" w:space="0"/>
            </w:tcBorders>
            <w:vAlign w:val="center"/>
          </w:tcPr>
          <w:p w14:paraId="63961D65">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4</w:t>
            </w:r>
          </w:p>
        </w:tc>
        <w:tc>
          <w:tcPr>
            <w:tcW w:w="1201" w:type="dxa"/>
            <w:tcBorders>
              <w:left w:val="single" w:color="auto" w:sz="4" w:space="0"/>
              <w:bottom w:val="single" w:color="auto" w:sz="4" w:space="0"/>
              <w:right w:val="single" w:color="auto" w:sz="4" w:space="0"/>
            </w:tcBorders>
            <w:vAlign w:val="center"/>
          </w:tcPr>
          <w:p w14:paraId="10F284C9">
            <w:pPr>
              <w:ind w:firstLine="28"/>
              <w:jc w:val="center"/>
              <w:rPr>
                <w:rFonts w:ascii="Times New Roman" w:hAnsi="Times New Roman" w:eastAsia="仿宋" w:cs="Times New Roman"/>
                <w:sz w:val="24"/>
                <w:szCs w:val="24"/>
              </w:rPr>
            </w:pPr>
            <w:r>
              <w:rPr>
                <w:rFonts w:hint="eastAsia" w:ascii="仿宋" w:hAnsi="仿宋" w:eastAsia="仿宋" w:cs="仿宋"/>
                <w:sz w:val="24"/>
                <w:szCs w:val="24"/>
                <w:lang w:val="en-US" w:eastAsia="zh-CN"/>
              </w:rPr>
              <w:t>维保团队</w:t>
            </w:r>
            <w:r>
              <w:rPr>
                <w:rFonts w:hint="eastAsia" w:ascii="Times New Roman" w:hAnsi="Times New Roman" w:eastAsia="仿宋" w:cs="Times New Roman"/>
                <w:bCs/>
                <w:sz w:val="24"/>
                <w:szCs w:val="24"/>
                <w:lang w:val="en-US" w:eastAsia="zh-CN"/>
              </w:rPr>
              <w:t>人员</w:t>
            </w:r>
          </w:p>
        </w:tc>
        <w:tc>
          <w:tcPr>
            <w:tcW w:w="1203" w:type="dxa"/>
            <w:tcBorders>
              <w:top w:val="single" w:color="auto" w:sz="4" w:space="0"/>
              <w:left w:val="single" w:color="auto" w:sz="4" w:space="0"/>
              <w:bottom w:val="single" w:color="auto" w:sz="4" w:space="0"/>
              <w:right w:val="single" w:color="auto" w:sz="4" w:space="0"/>
            </w:tcBorders>
            <w:vAlign w:val="center"/>
          </w:tcPr>
          <w:p w14:paraId="42DCC55F">
            <w:pPr>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14</w:t>
            </w:r>
            <w:r>
              <w:rPr>
                <w:rFonts w:ascii="Times New Roman" w:hAnsi="Times New Roman" w:eastAsia="仿宋" w:cs="Times New Roman"/>
                <w:bCs/>
                <w:sz w:val="24"/>
                <w:szCs w:val="24"/>
              </w:rPr>
              <w:t>分</w:t>
            </w:r>
          </w:p>
        </w:tc>
        <w:tc>
          <w:tcPr>
            <w:tcW w:w="4103" w:type="dxa"/>
            <w:tcBorders>
              <w:top w:val="single" w:color="auto" w:sz="4" w:space="0"/>
              <w:left w:val="single" w:color="auto" w:sz="4" w:space="0"/>
              <w:bottom w:val="single" w:color="auto" w:sz="4" w:space="0"/>
              <w:right w:val="single" w:color="auto" w:sz="4" w:space="0"/>
            </w:tcBorders>
            <w:vAlign w:val="center"/>
          </w:tcPr>
          <w:p w14:paraId="1CF378F4">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根据供应商为本项目拟配备的维保团队人员进行评审：</w:t>
            </w:r>
          </w:p>
          <w:p w14:paraId="3FFC67F7">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1.具有机电工程相关专业高级工程师职称的得4分，本项最多得4分，未提供不得分。</w:t>
            </w:r>
          </w:p>
          <w:p w14:paraId="6CC53EE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2.具有电气工程相关专业初级职称的得2分，本项最多得2分，未提供不得分。</w:t>
            </w:r>
          </w:p>
          <w:p w14:paraId="6BD0A2E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3.在满足本项目对维保团队人员制冷与空调作业证（1人）要求的基础上，每增加1人具有制冷与空调作业证的得2分，本项最高得2分。</w:t>
            </w:r>
          </w:p>
          <w:p w14:paraId="6DE608D0">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4.在满足本项目对维保团队人员低压电工作业证（1人）要求的基础上，每增加1人具有低压电工作业证的得2分，本项最高得2分。</w:t>
            </w:r>
          </w:p>
          <w:p w14:paraId="1D9999F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5.具有高压电工作业证的得2分，本项最高得2分。</w:t>
            </w:r>
          </w:p>
          <w:p w14:paraId="01A6406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imes New Roman" w:hAnsi="Times New Roman" w:eastAsia="仿宋" w:cs="Times New Roman"/>
                <w:sz w:val="24"/>
                <w:szCs w:val="24"/>
                <w:lang w:val="en-US" w:eastAsia="zh-CN"/>
              </w:rPr>
            </w:pPr>
            <w:r>
              <w:rPr>
                <w:rFonts w:hint="eastAsia" w:ascii="仿宋" w:hAnsi="仿宋" w:eastAsia="仿宋" w:cs="仿宋"/>
                <w:sz w:val="24"/>
                <w:szCs w:val="24"/>
                <w:lang w:val="en-US" w:eastAsia="zh-CN"/>
              </w:rPr>
              <w:t>6.具有高处作业证的得2分，本项最高得2分。</w:t>
            </w:r>
          </w:p>
        </w:tc>
        <w:tc>
          <w:tcPr>
            <w:tcW w:w="2367" w:type="dxa"/>
            <w:tcBorders>
              <w:top w:val="single" w:color="auto" w:sz="4" w:space="0"/>
              <w:left w:val="single" w:color="auto" w:sz="4" w:space="0"/>
              <w:bottom w:val="single" w:color="auto" w:sz="4" w:space="0"/>
              <w:right w:val="single" w:color="auto" w:sz="4" w:space="0"/>
            </w:tcBorders>
            <w:vAlign w:val="center"/>
          </w:tcPr>
          <w:p w14:paraId="1F647E4E">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同一人员同时持有多项证书的，按最高一项分值计分，不重复累计。</w:t>
            </w:r>
          </w:p>
          <w:p w14:paraId="1DF2E5A1">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rPr>
              <w:t>提供人员清单（格式自拟）及相关证书复印件</w:t>
            </w:r>
            <w:r>
              <w:rPr>
                <w:rFonts w:hint="eastAsia" w:ascii="Times New Roman" w:hAnsi="Times New Roman" w:eastAsia="仿宋" w:cs="Times New Roman"/>
                <w:sz w:val="24"/>
                <w:szCs w:val="24"/>
                <w:lang w:val="en-US" w:eastAsia="zh-CN"/>
              </w:rPr>
              <w:t>并加盖供应商公章。</w:t>
            </w: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1E62D6EC">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5</w:t>
            </w:r>
          </w:p>
        </w:tc>
        <w:tc>
          <w:tcPr>
            <w:tcW w:w="1201" w:type="dxa"/>
            <w:tcBorders>
              <w:top w:val="single" w:color="auto" w:sz="4" w:space="0"/>
              <w:left w:val="single" w:color="auto" w:sz="4" w:space="0"/>
              <w:bottom w:val="single" w:color="auto" w:sz="4" w:space="0"/>
              <w:right w:val="single" w:color="auto" w:sz="4" w:space="0"/>
            </w:tcBorders>
            <w:vAlign w:val="center"/>
          </w:tcPr>
          <w:p w14:paraId="50DBF0ED">
            <w:pPr>
              <w:ind w:firstLine="28" w:firstLineChars="0"/>
              <w:jc w:val="center"/>
              <w:rPr>
                <w:rFonts w:ascii="Times New Roman" w:hAnsi="Times New Roman" w:eastAsia="仿宋" w:cs="Times New Roman"/>
                <w:sz w:val="24"/>
                <w:szCs w:val="24"/>
              </w:rPr>
            </w:pPr>
            <w:r>
              <w:rPr>
                <w:rFonts w:hint="eastAsia" w:ascii="Times New Roman" w:hAnsi="Times New Roman" w:eastAsia="仿宋" w:cs="Times New Roman"/>
                <w:bCs/>
                <w:sz w:val="24"/>
                <w:szCs w:val="24"/>
                <w:lang w:val="en-US" w:eastAsia="zh-CN"/>
              </w:rPr>
              <w:t>维保服务方案</w:t>
            </w:r>
          </w:p>
        </w:tc>
        <w:tc>
          <w:tcPr>
            <w:tcW w:w="1203" w:type="dxa"/>
            <w:tcBorders>
              <w:top w:val="single" w:color="auto" w:sz="4" w:space="0"/>
              <w:left w:val="single" w:color="auto" w:sz="4" w:space="0"/>
              <w:bottom w:val="single" w:color="auto" w:sz="4" w:space="0"/>
              <w:right w:val="single" w:color="auto" w:sz="4" w:space="0"/>
            </w:tcBorders>
            <w:vAlign w:val="center"/>
          </w:tcPr>
          <w:p w14:paraId="20B6A218">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sz w:val="24"/>
                <w:szCs w:val="24"/>
              </w:rPr>
            </w:pPr>
            <w:r>
              <w:rPr>
                <w:rFonts w:hint="eastAsia" w:ascii="仿宋" w:hAnsi="仿宋" w:eastAsia="仿宋" w:cs="仿宋"/>
                <w:kern w:val="2"/>
                <w:sz w:val="24"/>
                <w:szCs w:val="24"/>
                <w:highlight w:val="none"/>
                <w:lang w:val="en-US" w:eastAsia="zh-CN" w:bidi="ar-SA"/>
              </w:rPr>
              <w:t>8分</w:t>
            </w:r>
          </w:p>
        </w:tc>
        <w:tc>
          <w:tcPr>
            <w:tcW w:w="4103" w:type="dxa"/>
            <w:tcBorders>
              <w:top w:val="single" w:color="auto" w:sz="4" w:space="0"/>
              <w:left w:val="single" w:color="auto" w:sz="4" w:space="0"/>
              <w:bottom w:val="single" w:color="auto" w:sz="4" w:space="0"/>
              <w:right w:val="single" w:color="auto" w:sz="4" w:space="0"/>
            </w:tcBorders>
            <w:vAlign w:val="center"/>
          </w:tcPr>
          <w:p w14:paraId="3DAF47C4">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维保服务方案，包括：①设备维护保养计划；②维护保养巡检措施；③设备的维护保养流程、工序；④备品备件更换及质量保障方案。涵盖以上内容且不存在缺陷得8分，在此基础上，每缺少一项内容扣2分，每有一处内容存在缺陷扣1分，扣完为止。</w:t>
            </w:r>
          </w:p>
          <w:p w14:paraId="7AA5588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367" w:type="dxa"/>
            <w:tcBorders>
              <w:top w:val="single" w:color="auto" w:sz="4" w:space="0"/>
              <w:left w:val="single" w:color="auto" w:sz="4" w:space="0"/>
              <w:bottom w:val="single" w:color="auto" w:sz="4" w:space="0"/>
              <w:right w:val="single" w:color="auto" w:sz="4" w:space="0"/>
            </w:tcBorders>
            <w:vAlign w:val="center"/>
          </w:tcPr>
          <w:p w14:paraId="420172E6">
            <w:pPr>
              <w:jc w:val="center"/>
              <w:rPr>
                <w:rFonts w:ascii="Times New Roman" w:hAnsi="Times New Roman" w:eastAsia="仿宋" w:cs="Times New Roman"/>
                <w:sz w:val="24"/>
                <w:szCs w:val="24"/>
              </w:rPr>
            </w:pPr>
          </w:p>
        </w:tc>
      </w:tr>
      <w:tr w14:paraId="3A1A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57C0DE4">
            <w:pPr>
              <w:ind w:firstLine="28"/>
              <w:jc w:val="center"/>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lang w:val="en-US" w:eastAsia="zh-CN"/>
              </w:rPr>
              <w:t>6</w:t>
            </w:r>
          </w:p>
        </w:tc>
        <w:tc>
          <w:tcPr>
            <w:tcW w:w="1201" w:type="dxa"/>
            <w:tcBorders>
              <w:top w:val="single" w:color="auto" w:sz="4" w:space="0"/>
              <w:left w:val="single" w:color="auto" w:sz="4" w:space="0"/>
              <w:bottom w:val="single" w:color="auto" w:sz="4" w:space="0"/>
              <w:right w:val="single" w:color="auto" w:sz="4" w:space="0"/>
            </w:tcBorders>
            <w:vAlign w:val="center"/>
          </w:tcPr>
          <w:p w14:paraId="332DEA07">
            <w:pPr>
              <w:ind w:firstLine="28" w:firstLineChars="0"/>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安全、应急保障方案</w:t>
            </w:r>
          </w:p>
        </w:tc>
        <w:tc>
          <w:tcPr>
            <w:tcW w:w="1203" w:type="dxa"/>
            <w:tcBorders>
              <w:top w:val="single" w:color="auto" w:sz="4" w:space="0"/>
              <w:left w:val="single" w:color="auto" w:sz="4" w:space="0"/>
              <w:bottom w:val="single" w:color="auto" w:sz="4" w:space="0"/>
              <w:right w:val="single" w:color="auto" w:sz="4" w:space="0"/>
            </w:tcBorders>
            <w:vAlign w:val="center"/>
          </w:tcPr>
          <w:p w14:paraId="0377CE50">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sz w:val="24"/>
                <w:szCs w:val="24"/>
              </w:rPr>
            </w:pPr>
            <w:r>
              <w:rPr>
                <w:rFonts w:hint="eastAsia" w:ascii="仿宋" w:hAnsi="仿宋" w:eastAsia="仿宋" w:cs="仿宋"/>
                <w:kern w:val="2"/>
                <w:sz w:val="24"/>
                <w:szCs w:val="24"/>
                <w:highlight w:val="none"/>
                <w:lang w:val="en-US" w:eastAsia="zh-CN" w:bidi="ar-SA"/>
              </w:rPr>
              <w:t>6分</w:t>
            </w:r>
          </w:p>
        </w:tc>
        <w:tc>
          <w:tcPr>
            <w:tcW w:w="4103" w:type="dxa"/>
            <w:tcBorders>
              <w:top w:val="single" w:color="auto" w:sz="4" w:space="0"/>
              <w:left w:val="single" w:color="auto" w:sz="4" w:space="0"/>
              <w:bottom w:val="single" w:color="auto" w:sz="4" w:space="0"/>
              <w:right w:val="single" w:color="auto" w:sz="4" w:space="0"/>
            </w:tcBorders>
            <w:vAlign w:val="center"/>
          </w:tcPr>
          <w:p w14:paraId="4BCABDB7">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安全、应急保障方案，包括：①作业安全与人员保障方案；②应急事件响应方案；③设备故障响应与抢修方案。涵盖以上内容且不存在缺陷得6分，在此基础上，每缺少一项内容扣2分，每有一处内容存在缺陷扣1分，扣完为止。</w:t>
            </w:r>
          </w:p>
          <w:p w14:paraId="4E67BC78">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bCs/>
                <w:sz w:val="24"/>
                <w:szCs w:val="24"/>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367" w:type="dxa"/>
            <w:tcBorders>
              <w:top w:val="single" w:color="auto" w:sz="4" w:space="0"/>
              <w:left w:val="single" w:color="auto" w:sz="4" w:space="0"/>
              <w:bottom w:val="single" w:color="auto" w:sz="4" w:space="0"/>
              <w:right w:val="single" w:color="auto" w:sz="4" w:space="0"/>
            </w:tcBorders>
            <w:vAlign w:val="center"/>
          </w:tcPr>
          <w:p w14:paraId="78F069DD">
            <w:pPr>
              <w:jc w:val="center"/>
              <w:rPr>
                <w:rFonts w:ascii="Times New Roman" w:hAnsi="Times New Roman" w:eastAsia="仿宋" w:cs="Times New Roman"/>
                <w:bCs/>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18" w:name="_Toc28171"/>
      <w:bookmarkStart w:id="19" w:name="_Toc22827"/>
      <w:bookmarkStart w:id="20" w:name="_Toc3094"/>
      <w:r>
        <w:rPr>
          <w:rFonts w:hint="eastAsia" w:ascii="Times New Roman" w:hAnsi="Times New Roman" w:eastAsia="黑体" w:cs="Times New Roman"/>
          <w:b/>
          <w:kern w:val="44"/>
          <w:sz w:val="36"/>
          <w:szCs w:val="22"/>
          <w:lang w:val="zh-CN" w:eastAsia="zh-CN" w:bidi="ar-SA"/>
        </w:rPr>
        <w:t>第</w:t>
      </w:r>
      <w:r>
        <w:rPr>
          <w:rFonts w:hint="eastAsia" w:ascii="Times New Roman" w:hAnsi="Times New Roman" w:cs="Times New Roman"/>
          <w:b/>
          <w:kern w:val="44"/>
          <w:sz w:val="36"/>
          <w:szCs w:val="22"/>
          <w:lang w:val="en-US" w:eastAsia="zh-CN" w:bidi="ar-SA"/>
        </w:rPr>
        <w:t>六</w:t>
      </w:r>
      <w:r>
        <w:rPr>
          <w:rFonts w:hint="eastAsia" w:ascii="Times New Roman" w:hAnsi="Times New Roman" w:eastAsia="黑体" w:cs="Times New Roman"/>
          <w:b/>
          <w:kern w:val="44"/>
          <w:sz w:val="36"/>
          <w:szCs w:val="22"/>
          <w:lang w:val="zh-CN" w:eastAsia="zh-CN" w:bidi="ar-SA"/>
        </w:rPr>
        <w:t xml:space="preserve">章 </w:t>
      </w: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1690"/>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24123"/>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27526"/>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6482"/>
      <w:bookmarkStart w:id="49" w:name="_Toc11352"/>
      <w:bookmarkStart w:id="50" w:name="_Toc21519"/>
      <w:bookmarkStart w:id="51" w:name="_Toc3023"/>
      <w:bookmarkStart w:id="52" w:name="_Toc14829"/>
      <w:bookmarkStart w:id="53"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4305"/>
      <w:bookmarkStart w:id="55" w:name="_Toc31838"/>
      <w:bookmarkStart w:id="56" w:name="_Toc30971"/>
      <w:bookmarkStart w:id="57" w:name="_Toc17857"/>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5638"/>
      <w:bookmarkStart w:id="68" w:name="_Toc11351"/>
      <w:bookmarkStart w:id="69" w:name="_Toc27661"/>
      <w:bookmarkStart w:id="70" w:name="_Toc20589"/>
      <w:bookmarkStart w:id="71" w:name="_Toc15526"/>
      <w:bookmarkStart w:id="72" w:name="_Toc12015"/>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6969"/>
      <w:bookmarkStart w:id="74" w:name="_Toc23967"/>
      <w:bookmarkStart w:id="75" w:name="_Toc16435"/>
      <w:bookmarkStart w:id="76" w:name="_Toc2041"/>
      <w:bookmarkStart w:id="77" w:name="_Toc12967"/>
      <w:bookmarkStart w:id="78" w:name="_Toc1074"/>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1082"/>
      <w:bookmarkStart w:id="80" w:name="_Toc28634"/>
      <w:bookmarkStart w:id="81" w:name="_Toc1369"/>
      <w:bookmarkStart w:id="82" w:name="_Toc24806"/>
      <w:bookmarkStart w:id="83" w:name="_Toc31686"/>
      <w:bookmarkStart w:id="84" w:name="_Toc2683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27CDD567">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1.维保服务报价一览表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796"/>
        <w:gridCol w:w="2427"/>
        <w:gridCol w:w="2299"/>
        <w:gridCol w:w="1392"/>
      </w:tblGrid>
      <w:tr w14:paraId="547E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02407F2A">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2796" w:type="dxa"/>
          </w:tcPr>
          <w:p w14:paraId="0B7BA6A0">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报价项目</w:t>
            </w:r>
          </w:p>
        </w:tc>
        <w:tc>
          <w:tcPr>
            <w:tcW w:w="2427" w:type="dxa"/>
          </w:tcPr>
          <w:p w14:paraId="32D15987">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限高总价（万元）</w:t>
            </w:r>
          </w:p>
        </w:tc>
        <w:tc>
          <w:tcPr>
            <w:tcW w:w="2299" w:type="dxa"/>
            <w:vAlign w:val="top"/>
          </w:tcPr>
          <w:p w14:paraId="74EB00E8">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报价（万元）</w:t>
            </w:r>
          </w:p>
        </w:tc>
        <w:tc>
          <w:tcPr>
            <w:tcW w:w="1392" w:type="dxa"/>
            <w:vAlign w:val="top"/>
          </w:tcPr>
          <w:p w14:paraId="096A6193">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29A3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21BEB4D5">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2796" w:type="dxa"/>
            <w:vAlign w:val="center"/>
          </w:tcPr>
          <w:p w14:paraId="667B08C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Times New Roman" w:hAnsi="Times New Roman" w:eastAsia="仿宋" w:cs="Times New Roman"/>
                <w:sz w:val="24"/>
                <w:szCs w:val="24"/>
                <w:lang w:val="en-US" w:eastAsia="zh-CN"/>
              </w:rPr>
              <w:t>老年医学中心多联机空调</w:t>
            </w:r>
            <w:r>
              <w:rPr>
                <w:rFonts w:hint="eastAsia" w:ascii="仿宋" w:hAnsi="仿宋" w:eastAsia="仿宋" w:cs="仿宋"/>
                <w:color w:val="auto"/>
                <w:sz w:val="24"/>
                <w:szCs w:val="24"/>
                <w:highlight w:val="none"/>
                <w:lang w:val="en-US" w:eastAsia="zh-CN"/>
              </w:rPr>
              <w:t>维保服务（维保费）</w:t>
            </w:r>
          </w:p>
        </w:tc>
        <w:tc>
          <w:tcPr>
            <w:tcW w:w="2427" w:type="dxa"/>
            <w:vAlign w:val="center"/>
          </w:tcPr>
          <w:p w14:paraId="15375E16">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17.5</w:t>
            </w:r>
          </w:p>
        </w:tc>
        <w:tc>
          <w:tcPr>
            <w:tcW w:w="2299" w:type="dxa"/>
            <w:vAlign w:val="center"/>
          </w:tcPr>
          <w:p w14:paraId="52A1A2A4">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c>
          <w:tcPr>
            <w:tcW w:w="1392" w:type="dxa"/>
            <w:vAlign w:val="center"/>
          </w:tcPr>
          <w:p w14:paraId="07C27560">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r>
      <w:tr w14:paraId="2CBC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gridSpan w:val="2"/>
            <w:shd w:val="clear" w:color="auto" w:fill="auto"/>
            <w:vAlign w:val="center"/>
          </w:tcPr>
          <w:p w14:paraId="3C67C77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imes New Roman" w:hAnsi="Times New Roman" w:eastAsia="仿宋" w:cs="Times New Roman"/>
                <w:kern w:val="0"/>
                <w:sz w:val="24"/>
                <w:szCs w:val="24"/>
                <w:lang w:val="en-US" w:eastAsia="zh-CN" w:bidi="ar-SA"/>
              </w:rPr>
            </w:pPr>
            <w:r>
              <w:rPr>
                <w:rFonts w:ascii="Times New Roman" w:hAnsi="Times New Roman" w:eastAsia="仿宋" w:cs="Times New Roman"/>
                <w:kern w:val="0"/>
                <w:sz w:val="24"/>
                <w:szCs w:val="24"/>
                <w:lang w:val="zh-TW" w:eastAsia="zh-TW"/>
              </w:rPr>
              <w:t>报价</w:t>
            </w:r>
          </w:p>
        </w:tc>
        <w:tc>
          <w:tcPr>
            <w:tcW w:w="6118" w:type="dxa"/>
            <w:gridSpan w:val="3"/>
            <w:vAlign w:val="center"/>
          </w:tcPr>
          <w:p w14:paraId="5B562B88">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left"/>
              <w:textAlignment w:val="auto"/>
              <w:rPr>
                <w:rFonts w:hint="eastAsia" w:ascii="仿宋" w:hAnsi="仿宋" w:eastAsia="仿宋" w:cs="仿宋"/>
                <w:color w:val="auto"/>
                <w:sz w:val="24"/>
                <w:szCs w:val="24"/>
                <w:highlight w:val="none"/>
                <w:vertAlign w:val="baseline"/>
              </w:rPr>
            </w:pPr>
            <w:r>
              <w:rPr>
                <w:rFonts w:ascii="Times New Roman" w:hAnsi="Times New Roman" w:eastAsia="仿宋" w:cs="Times New Roman"/>
                <w:kern w:val="0"/>
                <w:sz w:val="24"/>
                <w:szCs w:val="24"/>
                <w:lang w:val="zh-TW" w:eastAsia="zh-TW"/>
              </w:rPr>
              <w:t xml:space="preserve">大写：      </w:t>
            </w:r>
            <w:r>
              <w:rPr>
                <w:rFonts w:hint="eastAsia" w:ascii="Times New Roman" w:hAnsi="Times New Roman" w:eastAsia="仿宋" w:cs="Times New Roman"/>
                <w:kern w:val="0"/>
                <w:sz w:val="24"/>
                <w:szCs w:val="24"/>
                <w:lang w:val="en-US" w:eastAsia="zh-CN"/>
              </w:rPr>
              <w:t xml:space="preserve">  </w:t>
            </w:r>
            <w:r>
              <w:rPr>
                <w:rFonts w:ascii="Times New Roman" w:hAnsi="Times New Roman" w:eastAsia="仿宋" w:cs="Times New Roman"/>
                <w:kern w:val="0"/>
                <w:sz w:val="24"/>
                <w:szCs w:val="24"/>
                <w:lang w:val="zh-TW" w:eastAsia="zh-TW"/>
              </w:rPr>
              <w:t xml:space="preserve"> </w:t>
            </w:r>
            <w:r>
              <w:rPr>
                <w:rFonts w:hint="eastAsia" w:ascii="Times New Roman" w:hAnsi="Times New Roman" w:eastAsia="仿宋" w:cs="Times New Roman"/>
                <w:kern w:val="0"/>
                <w:sz w:val="24"/>
                <w:szCs w:val="24"/>
                <w:lang w:val="zh-TW"/>
              </w:rPr>
              <w:t xml:space="preserve">    </w:t>
            </w:r>
            <w:r>
              <w:rPr>
                <w:rFonts w:ascii="Times New Roman" w:hAnsi="Times New Roman" w:eastAsia="仿宋" w:cs="Times New Roman"/>
                <w:kern w:val="0"/>
                <w:sz w:val="24"/>
                <w:szCs w:val="24"/>
                <w:lang w:val="zh-TW" w:eastAsia="zh-TW"/>
              </w:rPr>
              <w:t>小写：</w:t>
            </w:r>
          </w:p>
        </w:tc>
      </w:tr>
    </w:tbl>
    <w:p w14:paraId="0311C7B6">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textAlignment w:val="auto"/>
        <w:rPr>
          <w:rFonts w:hint="eastAsia" w:ascii="仿宋" w:hAnsi="仿宋" w:eastAsia="仿宋" w:cs="仿宋"/>
          <w:b/>
          <w:bCs/>
          <w:color w:val="auto"/>
          <w:sz w:val="24"/>
          <w:szCs w:val="24"/>
          <w:highlight w:val="none"/>
          <w:lang w:val="en-US" w:eastAsia="zh-CN"/>
        </w:rPr>
      </w:pPr>
    </w:p>
    <w:p w14:paraId="7A540D0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2.维修配件报价一览表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796"/>
        <w:gridCol w:w="2429"/>
        <w:gridCol w:w="2299"/>
        <w:gridCol w:w="1390"/>
      </w:tblGrid>
      <w:tr w14:paraId="5407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5EA29404">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2796" w:type="dxa"/>
            <w:vAlign w:val="center"/>
          </w:tcPr>
          <w:p w14:paraId="706A7A3D">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报价项目</w:t>
            </w:r>
          </w:p>
        </w:tc>
        <w:tc>
          <w:tcPr>
            <w:tcW w:w="2429" w:type="dxa"/>
            <w:vAlign w:val="center"/>
          </w:tcPr>
          <w:p w14:paraId="7E47202F">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下浮率（%）</w:t>
            </w:r>
          </w:p>
        </w:tc>
        <w:tc>
          <w:tcPr>
            <w:tcW w:w="2299" w:type="dxa"/>
            <w:vAlign w:val="center"/>
          </w:tcPr>
          <w:p w14:paraId="2376118C">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质保期</w:t>
            </w:r>
          </w:p>
        </w:tc>
        <w:tc>
          <w:tcPr>
            <w:tcW w:w="1390" w:type="dxa"/>
            <w:vAlign w:val="center"/>
          </w:tcPr>
          <w:p w14:paraId="2A0ABD3D">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5582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40B3417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2796" w:type="dxa"/>
            <w:vAlign w:val="center"/>
          </w:tcPr>
          <w:p w14:paraId="00FE56D5">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维修配件</w:t>
            </w:r>
          </w:p>
        </w:tc>
        <w:tc>
          <w:tcPr>
            <w:tcW w:w="2429" w:type="dxa"/>
            <w:vAlign w:val="center"/>
          </w:tcPr>
          <w:p w14:paraId="03CE0A49">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c>
          <w:tcPr>
            <w:tcW w:w="2299" w:type="dxa"/>
            <w:vAlign w:val="center"/>
          </w:tcPr>
          <w:p w14:paraId="47908A3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c>
          <w:tcPr>
            <w:tcW w:w="1390" w:type="dxa"/>
            <w:vAlign w:val="center"/>
          </w:tcPr>
          <w:p w14:paraId="2C14C5AE">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r>
    </w:tbl>
    <w:p w14:paraId="7C0797F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注：</w:t>
      </w:r>
    </w:p>
    <w:p w14:paraId="09F5DB4F">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1.供应商对老年医学中心多联机空调维保服务，仅需填报一个固定的服务总价。</w:t>
      </w:r>
    </w:p>
    <w:p w14:paraId="1BDB1F5F">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2.对于维修配件，本项目采用“统一下浮率”方式进行报价。供应商在配件限价清单“限高单价”的基础上报出一个统一下浮率，下浮率≥0%且＜100%（例如：下浮率20%，则结算单价=限高单价×（1-20%））。</w:t>
      </w:r>
    </w:p>
    <w:p w14:paraId="0B2A46CE">
      <w:pPr>
        <w:widowControl/>
        <w:jc w:val="left"/>
        <w:rPr>
          <w:rFonts w:hint="eastAsia" w:ascii="Times New Roman" w:hAnsi="Times New Roman" w:eastAsia="仿宋" w:cs="Times New Roman"/>
          <w:szCs w:val="21"/>
          <w:lang w:val="en-US" w:eastAsia="zh-CN"/>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4" w:name="_Toc10625"/>
      <w:r>
        <w:rPr>
          <w:rFonts w:hint="eastAsia" w:ascii="Times New Roman" w:hAnsi="Times New Roman" w:eastAsia="黑体" w:cs="Times New Roman"/>
          <w:b/>
          <w:kern w:val="44"/>
          <w:sz w:val="36"/>
          <w:szCs w:val="22"/>
          <w:lang w:val="zh-CN" w:eastAsia="zh-CN" w:bidi="ar-SA"/>
        </w:rPr>
        <w:t>第</w:t>
      </w:r>
      <w:r>
        <w:rPr>
          <w:rFonts w:hint="eastAsia" w:ascii="Times New Roman" w:hAnsi="Times New Roman" w:cs="Times New Roman"/>
          <w:b/>
          <w:kern w:val="44"/>
          <w:sz w:val="36"/>
          <w:szCs w:val="22"/>
          <w:lang w:val="en-US" w:eastAsia="zh-CN" w:bidi="ar-SA"/>
        </w:rPr>
        <w:t>七</w:t>
      </w:r>
      <w:r>
        <w:rPr>
          <w:rFonts w:hint="eastAsia" w:ascii="Times New Roman" w:hAnsi="Times New Roman" w:eastAsia="黑体" w:cs="Times New Roman"/>
          <w:b/>
          <w:kern w:val="44"/>
          <w:sz w:val="36"/>
          <w:szCs w:val="22"/>
          <w:lang w:val="zh-CN" w:eastAsia="zh-CN" w:bidi="ar-SA"/>
        </w:rPr>
        <w:t xml:space="preserve">章 </w:t>
      </w:r>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00398F8F">
      <w:pPr>
        <w:pStyle w:val="43"/>
        <w:rPr>
          <w:sz w:val="48"/>
          <w:szCs w:val="48"/>
        </w:rPr>
      </w:pPr>
      <w:r>
        <w:rPr>
          <w:rFonts w:hint="eastAsia"/>
          <w:sz w:val="48"/>
          <w:szCs w:val="48"/>
        </w:rPr>
        <w:t>*</w:t>
      </w:r>
      <w:r>
        <w:rPr>
          <w:sz w:val="48"/>
          <w:szCs w:val="48"/>
        </w:rPr>
        <w:t>**</w:t>
      </w:r>
      <w:r>
        <w:rPr>
          <w:rFonts w:hint="eastAsia"/>
          <w:sz w:val="48"/>
          <w:szCs w:val="48"/>
        </w:rPr>
        <w:t>服务项目</w:t>
      </w:r>
    </w:p>
    <w:p w14:paraId="5E592F5E">
      <w:pPr>
        <w:pStyle w:val="43"/>
        <w:rPr>
          <w:sz w:val="48"/>
          <w:szCs w:val="48"/>
        </w:rPr>
      </w:pPr>
      <w:r>
        <w:rPr>
          <w:rFonts w:hint="eastAsia"/>
          <w:sz w:val="48"/>
          <w:szCs w:val="48"/>
        </w:rPr>
        <w:t>采购</w:t>
      </w:r>
      <w:r>
        <w:rPr>
          <w:sz w:val="48"/>
          <w:szCs w:val="48"/>
        </w:rPr>
        <w:t>合同</w:t>
      </w:r>
    </w:p>
    <w:p w14:paraId="1DBD2FA7">
      <w:pPr>
        <w:adjustRightInd w:val="0"/>
        <w:ind w:firstLine="420" w:firstLineChars="200"/>
        <w:contextualSpacing/>
        <w:jc w:val="left"/>
        <w:rPr>
          <w:color w:val="000000"/>
          <w:szCs w:val="21"/>
        </w:rPr>
      </w:pPr>
    </w:p>
    <w:p w14:paraId="1B48D8B8">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27CB65FA">
        <w:tblPrEx>
          <w:tblCellMar>
            <w:top w:w="0" w:type="dxa"/>
            <w:left w:w="0" w:type="dxa"/>
            <w:bottom w:w="0" w:type="dxa"/>
            <w:right w:w="0" w:type="dxa"/>
          </w:tblCellMar>
        </w:tblPrEx>
        <w:trPr>
          <w:trHeight w:val="767" w:hRule="atLeast"/>
          <w:jc w:val="center"/>
        </w:trPr>
        <w:tc>
          <w:tcPr>
            <w:tcW w:w="10204" w:type="dxa"/>
            <w:gridSpan w:val="2"/>
          </w:tcPr>
          <w:p w14:paraId="20874ADD">
            <w:pPr>
              <w:contextualSpacing/>
              <w:rPr>
                <w:color w:val="000000"/>
                <w:szCs w:val="21"/>
              </w:rPr>
            </w:pPr>
            <w:r>
              <w:rPr>
                <w:b/>
                <w:bCs/>
                <w:color w:val="000000"/>
                <w:szCs w:val="21"/>
              </w:rPr>
              <w:t>合同编号</w:t>
            </w:r>
            <w:r>
              <w:rPr>
                <w:color w:val="000000"/>
                <w:szCs w:val="21"/>
              </w:rPr>
              <w:t>：CGZX-***</w:t>
            </w:r>
          </w:p>
          <w:p w14:paraId="5360301E">
            <w:pPr>
              <w:contextualSpacing/>
              <w:rPr>
                <w:color w:val="000000"/>
                <w:szCs w:val="21"/>
              </w:rPr>
            </w:pPr>
            <w:r>
              <w:rPr>
                <w:b/>
                <w:bCs/>
                <w:color w:val="000000"/>
                <w:szCs w:val="21"/>
              </w:rPr>
              <w:t>签订地点</w:t>
            </w:r>
            <w:r>
              <w:rPr>
                <w:color w:val="000000"/>
                <w:szCs w:val="21"/>
              </w:rPr>
              <w:t>：四川省人民医院</w:t>
            </w:r>
          </w:p>
        </w:tc>
      </w:tr>
      <w:tr w14:paraId="79CA279D">
        <w:tblPrEx>
          <w:tblCellMar>
            <w:top w:w="0" w:type="dxa"/>
            <w:left w:w="0" w:type="dxa"/>
            <w:bottom w:w="0" w:type="dxa"/>
            <w:right w:w="0" w:type="dxa"/>
          </w:tblCellMar>
        </w:tblPrEx>
        <w:trPr>
          <w:jc w:val="center"/>
        </w:trPr>
        <w:tc>
          <w:tcPr>
            <w:tcW w:w="4962" w:type="dxa"/>
          </w:tcPr>
          <w:p w14:paraId="446BE73C">
            <w:pPr>
              <w:rPr>
                <w:szCs w:val="21"/>
              </w:rPr>
            </w:pPr>
            <w:r>
              <w:rPr>
                <w:b/>
                <w:bCs/>
                <w:szCs w:val="21"/>
              </w:rPr>
              <w:t>采购人（以下简称甲方）</w:t>
            </w:r>
            <w:r>
              <w:rPr>
                <w:szCs w:val="21"/>
              </w:rPr>
              <w:t>：四川省人民医院</w:t>
            </w:r>
          </w:p>
          <w:p w14:paraId="0E2FC697">
            <w:pPr>
              <w:rPr>
                <w:szCs w:val="21"/>
              </w:rPr>
            </w:pPr>
            <w:r>
              <w:rPr>
                <w:b/>
                <w:bCs/>
                <w:szCs w:val="21"/>
              </w:rPr>
              <w:t>地址</w:t>
            </w:r>
            <w:r>
              <w:rPr>
                <w:szCs w:val="21"/>
              </w:rPr>
              <w:t>：四川省成都市一环路西二段32号</w:t>
            </w:r>
          </w:p>
          <w:p w14:paraId="768F8F16">
            <w:pPr>
              <w:rPr>
                <w:szCs w:val="21"/>
              </w:rPr>
            </w:pPr>
            <w:r>
              <w:rPr>
                <w:b/>
                <w:bCs/>
                <w:szCs w:val="21"/>
              </w:rPr>
              <w:t>项目联系人</w:t>
            </w:r>
            <w:r>
              <w:rPr>
                <w:szCs w:val="21"/>
              </w:rPr>
              <w:t xml:space="preserve">：*** </w:t>
            </w:r>
            <w:r>
              <w:rPr>
                <w:b/>
                <w:bCs/>
                <w:szCs w:val="21"/>
              </w:rPr>
              <w:t>电话</w:t>
            </w:r>
            <w:r>
              <w:rPr>
                <w:szCs w:val="21"/>
              </w:rPr>
              <w:t>：***</w:t>
            </w:r>
          </w:p>
          <w:p w14:paraId="795B0536">
            <w:r>
              <w:rPr>
                <w:rFonts w:hint="eastAsia"/>
                <w:b/>
                <w:bCs/>
                <w:szCs w:val="21"/>
              </w:rPr>
              <w:t>电子邮件：</w:t>
            </w:r>
            <w:r>
              <w:rPr>
                <w:rFonts w:hint="eastAsia"/>
                <w:szCs w:val="21"/>
              </w:rPr>
              <w:t>*</w:t>
            </w:r>
            <w:r>
              <w:rPr>
                <w:szCs w:val="21"/>
              </w:rPr>
              <w:t>**</w:t>
            </w:r>
          </w:p>
        </w:tc>
        <w:tc>
          <w:tcPr>
            <w:tcW w:w="5242" w:type="dxa"/>
          </w:tcPr>
          <w:p w14:paraId="033AA465">
            <w:pPr>
              <w:rPr>
                <w:b/>
                <w:bCs/>
                <w:szCs w:val="21"/>
              </w:rPr>
            </w:pPr>
            <w:r>
              <w:rPr>
                <w:b/>
                <w:bCs/>
                <w:szCs w:val="21"/>
              </w:rPr>
              <w:t>供应商（以下简称乙方）：***</w:t>
            </w:r>
          </w:p>
          <w:p w14:paraId="3906F3F4">
            <w:pPr>
              <w:rPr>
                <w:b/>
                <w:bCs/>
                <w:szCs w:val="21"/>
              </w:rPr>
            </w:pPr>
            <w:r>
              <w:rPr>
                <w:b/>
                <w:bCs/>
                <w:szCs w:val="21"/>
              </w:rPr>
              <w:t>地址：***</w:t>
            </w:r>
          </w:p>
          <w:p w14:paraId="18572C7A">
            <w:pPr>
              <w:rPr>
                <w:b/>
                <w:bCs/>
                <w:szCs w:val="21"/>
              </w:rPr>
            </w:pPr>
            <w:r>
              <w:rPr>
                <w:b/>
                <w:bCs/>
                <w:szCs w:val="21"/>
              </w:rPr>
              <w:t>移动电话：***</w:t>
            </w:r>
          </w:p>
          <w:p w14:paraId="26D893CE">
            <w:pPr>
              <w:contextualSpacing/>
              <w:rPr>
                <w:b/>
                <w:bCs/>
                <w:szCs w:val="21"/>
              </w:rPr>
            </w:pPr>
            <w:r>
              <w:rPr>
                <w:b/>
                <w:bCs/>
                <w:szCs w:val="21"/>
              </w:rPr>
              <w:t>联系人：***</w:t>
            </w:r>
          </w:p>
          <w:p w14:paraId="37F29DFC">
            <w:pPr>
              <w:rPr>
                <w:bCs/>
                <w:szCs w:val="21"/>
              </w:rPr>
            </w:pPr>
            <w:r>
              <w:rPr>
                <w:rFonts w:hint="eastAsia"/>
                <w:b/>
                <w:bCs/>
                <w:szCs w:val="21"/>
              </w:rPr>
              <w:t>电子邮件：</w:t>
            </w:r>
            <w:r>
              <w:rPr>
                <w:rFonts w:hint="eastAsia"/>
                <w:szCs w:val="21"/>
              </w:rPr>
              <w:t>*</w:t>
            </w:r>
            <w:r>
              <w:rPr>
                <w:szCs w:val="21"/>
              </w:rPr>
              <w:t>**</w:t>
            </w:r>
          </w:p>
        </w:tc>
      </w:tr>
    </w:tbl>
    <w:p w14:paraId="4E8858D4">
      <w:pPr>
        <w:ind w:firstLine="420" w:firstLineChars="200"/>
        <w:contextualSpacing/>
        <w:jc w:val="left"/>
        <w:rPr>
          <w:color w:val="000000"/>
          <w:szCs w:val="21"/>
        </w:rPr>
      </w:pPr>
    </w:p>
    <w:p w14:paraId="0E02143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74E1EE10">
      <w:pPr>
        <w:contextualSpacing/>
        <w:jc w:val="left"/>
        <w:rPr>
          <w:b/>
          <w:szCs w:val="21"/>
        </w:rPr>
      </w:pPr>
    </w:p>
    <w:p w14:paraId="42EAC1EF">
      <w:pPr>
        <w:pStyle w:val="29"/>
        <w:numPr>
          <w:ilvl w:val="0"/>
          <w:numId w:val="10"/>
        </w:numPr>
        <w:ind w:left="0" w:firstLine="0" w:firstLineChars="0"/>
        <w:contextualSpacing/>
        <w:jc w:val="left"/>
        <w:rPr>
          <w:b/>
          <w:szCs w:val="21"/>
        </w:rPr>
      </w:pPr>
      <w:r>
        <w:rPr>
          <w:b/>
          <w:szCs w:val="21"/>
        </w:rPr>
        <w:t>合同标的</w:t>
      </w:r>
    </w:p>
    <w:p w14:paraId="142459A8">
      <w:pPr>
        <w:pStyle w:val="9"/>
        <w:numPr>
          <w:ilvl w:val="0"/>
          <w:numId w:val="11"/>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6BDA4584">
      <w:pPr>
        <w:pStyle w:val="9"/>
        <w:numPr>
          <w:ilvl w:val="0"/>
          <w:numId w:val="11"/>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4159D9DB">
      <w:pPr>
        <w:pStyle w:val="9"/>
        <w:numPr>
          <w:ilvl w:val="0"/>
          <w:numId w:val="11"/>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343A1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BCF28ED">
            <w:pPr>
              <w:pStyle w:val="29"/>
              <w:ind w:firstLine="0" w:firstLineChars="0"/>
              <w:jc w:val="center"/>
              <w:rPr>
                <w:color w:val="000000"/>
                <w:szCs w:val="21"/>
              </w:rPr>
            </w:pPr>
            <w:r>
              <w:rPr>
                <w:color w:val="000000"/>
                <w:szCs w:val="21"/>
              </w:rPr>
              <w:t>序号</w:t>
            </w:r>
          </w:p>
        </w:tc>
        <w:tc>
          <w:tcPr>
            <w:tcW w:w="2977" w:type="dxa"/>
            <w:vAlign w:val="center"/>
          </w:tcPr>
          <w:p w14:paraId="522EB3F2">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49E0A050">
            <w:pPr>
              <w:pStyle w:val="29"/>
              <w:ind w:firstLine="0" w:firstLineChars="0"/>
              <w:jc w:val="center"/>
              <w:rPr>
                <w:color w:val="000000"/>
                <w:szCs w:val="21"/>
              </w:rPr>
            </w:pPr>
            <w:r>
              <w:rPr>
                <w:color w:val="000000"/>
                <w:szCs w:val="21"/>
              </w:rPr>
              <w:t>具体内容</w:t>
            </w:r>
          </w:p>
        </w:tc>
        <w:tc>
          <w:tcPr>
            <w:tcW w:w="963" w:type="dxa"/>
            <w:vAlign w:val="center"/>
          </w:tcPr>
          <w:p w14:paraId="2615D2CC">
            <w:pPr>
              <w:pStyle w:val="29"/>
              <w:ind w:firstLine="0" w:firstLineChars="0"/>
              <w:jc w:val="center"/>
              <w:rPr>
                <w:color w:val="000000"/>
                <w:szCs w:val="21"/>
              </w:rPr>
            </w:pPr>
            <w:r>
              <w:rPr>
                <w:color w:val="000000"/>
                <w:szCs w:val="21"/>
              </w:rPr>
              <w:t>分项价格（万元）</w:t>
            </w:r>
          </w:p>
        </w:tc>
        <w:tc>
          <w:tcPr>
            <w:tcW w:w="2016" w:type="dxa"/>
          </w:tcPr>
          <w:p w14:paraId="7C347EC8">
            <w:pPr>
              <w:pStyle w:val="29"/>
              <w:ind w:firstLine="0" w:firstLineChars="0"/>
              <w:jc w:val="center"/>
              <w:rPr>
                <w:color w:val="000000"/>
                <w:szCs w:val="21"/>
              </w:rPr>
            </w:pPr>
            <w:r>
              <w:rPr>
                <w:color w:val="000000"/>
                <w:szCs w:val="21"/>
              </w:rPr>
              <w:t>备注</w:t>
            </w:r>
          </w:p>
        </w:tc>
      </w:tr>
      <w:tr w14:paraId="1240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B5DF3F1">
            <w:pPr>
              <w:pStyle w:val="29"/>
              <w:ind w:firstLine="0" w:firstLineChars="0"/>
              <w:jc w:val="center"/>
              <w:rPr>
                <w:color w:val="000000"/>
                <w:szCs w:val="21"/>
              </w:rPr>
            </w:pPr>
            <w:r>
              <w:rPr>
                <w:rFonts w:hint="eastAsia"/>
                <w:color w:val="000000"/>
                <w:szCs w:val="21"/>
              </w:rPr>
              <w:t>1</w:t>
            </w:r>
          </w:p>
        </w:tc>
        <w:tc>
          <w:tcPr>
            <w:tcW w:w="2977" w:type="dxa"/>
            <w:vAlign w:val="center"/>
          </w:tcPr>
          <w:p w14:paraId="476D57C7">
            <w:pPr>
              <w:pStyle w:val="29"/>
              <w:ind w:firstLine="0" w:firstLineChars="0"/>
              <w:rPr>
                <w:color w:val="000000"/>
                <w:szCs w:val="21"/>
              </w:rPr>
            </w:pPr>
          </w:p>
        </w:tc>
        <w:tc>
          <w:tcPr>
            <w:tcW w:w="3686" w:type="dxa"/>
            <w:vAlign w:val="center"/>
          </w:tcPr>
          <w:p w14:paraId="142BD4C1">
            <w:pPr>
              <w:pStyle w:val="29"/>
              <w:ind w:firstLine="0" w:firstLineChars="0"/>
              <w:rPr>
                <w:color w:val="000000"/>
                <w:szCs w:val="21"/>
              </w:rPr>
            </w:pPr>
          </w:p>
        </w:tc>
        <w:tc>
          <w:tcPr>
            <w:tcW w:w="963" w:type="dxa"/>
            <w:vAlign w:val="center"/>
          </w:tcPr>
          <w:p w14:paraId="5A99D44A">
            <w:pPr>
              <w:pStyle w:val="29"/>
              <w:ind w:firstLine="0" w:firstLineChars="0"/>
              <w:jc w:val="center"/>
              <w:rPr>
                <w:color w:val="000000"/>
                <w:szCs w:val="21"/>
              </w:rPr>
            </w:pPr>
          </w:p>
        </w:tc>
        <w:tc>
          <w:tcPr>
            <w:tcW w:w="2016" w:type="dxa"/>
          </w:tcPr>
          <w:p w14:paraId="7E3FCA99">
            <w:pPr>
              <w:pStyle w:val="29"/>
              <w:ind w:firstLine="0" w:firstLineChars="0"/>
              <w:rPr>
                <w:color w:val="000000"/>
                <w:szCs w:val="21"/>
              </w:rPr>
            </w:pPr>
          </w:p>
        </w:tc>
      </w:tr>
      <w:tr w14:paraId="2A7C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24B6E84">
            <w:pPr>
              <w:pStyle w:val="29"/>
              <w:ind w:firstLine="0" w:firstLineChars="0"/>
              <w:jc w:val="center"/>
              <w:rPr>
                <w:color w:val="000000"/>
                <w:szCs w:val="21"/>
              </w:rPr>
            </w:pPr>
            <w:r>
              <w:rPr>
                <w:rFonts w:hint="eastAsia"/>
                <w:color w:val="000000"/>
                <w:szCs w:val="21"/>
              </w:rPr>
              <w:t>2</w:t>
            </w:r>
          </w:p>
        </w:tc>
        <w:tc>
          <w:tcPr>
            <w:tcW w:w="2977" w:type="dxa"/>
            <w:vAlign w:val="center"/>
          </w:tcPr>
          <w:p w14:paraId="59B69E03">
            <w:pPr>
              <w:pStyle w:val="29"/>
              <w:ind w:firstLine="0" w:firstLineChars="0"/>
              <w:rPr>
                <w:color w:val="000000"/>
                <w:szCs w:val="21"/>
              </w:rPr>
            </w:pPr>
          </w:p>
        </w:tc>
        <w:tc>
          <w:tcPr>
            <w:tcW w:w="3686" w:type="dxa"/>
            <w:vAlign w:val="center"/>
          </w:tcPr>
          <w:p w14:paraId="40905764">
            <w:pPr>
              <w:pStyle w:val="29"/>
              <w:ind w:firstLine="0" w:firstLineChars="0"/>
              <w:rPr>
                <w:color w:val="000000"/>
                <w:szCs w:val="21"/>
              </w:rPr>
            </w:pPr>
          </w:p>
        </w:tc>
        <w:tc>
          <w:tcPr>
            <w:tcW w:w="963" w:type="dxa"/>
            <w:vAlign w:val="center"/>
          </w:tcPr>
          <w:p w14:paraId="05AEAEE3">
            <w:pPr>
              <w:pStyle w:val="29"/>
              <w:ind w:firstLine="0" w:firstLineChars="0"/>
              <w:jc w:val="center"/>
              <w:rPr>
                <w:color w:val="000000"/>
                <w:szCs w:val="21"/>
              </w:rPr>
            </w:pPr>
          </w:p>
        </w:tc>
        <w:tc>
          <w:tcPr>
            <w:tcW w:w="2016" w:type="dxa"/>
          </w:tcPr>
          <w:p w14:paraId="10F1E965">
            <w:pPr>
              <w:pStyle w:val="29"/>
              <w:ind w:firstLine="0" w:firstLineChars="0"/>
              <w:rPr>
                <w:color w:val="000000"/>
                <w:szCs w:val="21"/>
              </w:rPr>
            </w:pPr>
          </w:p>
        </w:tc>
      </w:tr>
      <w:tr w14:paraId="06398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C96781D">
            <w:pPr>
              <w:pStyle w:val="29"/>
              <w:ind w:firstLine="0" w:firstLineChars="0"/>
              <w:jc w:val="center"/>
              <w:rPr>
                <w:color w:val="000000"/>
                <w:szCs w:val="21"/>
              </w:rPr>
            </w:pPr>
            <w:r>
              <w:rPr>
                <w:rFonts w:hint="eastAsia"/>
                <w:color w:val="000000"/>
                <w:szCs w:val="21"/>
              </w:rPr>
              <w:t>3</w:t>
            </w:r>
          </w:p>
        </w:tc>
        <w:tc>
          <w:tcPr>
            <w:tcW w:w="2977" w:type="dxa"/>
            <w:vAlign w:val="center"/>
          </w:tcPr>
          <w:p w14:paraId="27BC5A94">
            <w:pPr>
              <w:pStyle w:val="29"/>
              <w:ind w:firstLine="0" w:firstLineChars="0"/>
              <w:rPr>
                <w:color w:val="000000"/>
                <w:szCs w:val="21"/>
              </w:rPr>
            </w:pPr>
          </w:p>
        </w:tc>
        <w:tc>
          <w:tcPr>
            <w:tcW w:w="3686" w:type="dxa"/>
            <w:vAlign w:val="center"/>
          </w:tcPr>
          <w:p w14:paraId="4158BD17">
            <w:pPr>
              <w:pStyle w:val="29"/>
              <w:ind w:firstLine="0" w:firstLineChars="0"/>
              <w:rPr>
                <w:color w:val="000000"/>
                <w:szCs w:val="21"/>
              </w:rPr>
            </w:pPr>
          </w:p>
        </w:tc>
        <w:tc>
          <w:tcPr>
            <w:tcW w:w="963" w:type="dxa"/>
            <w:vAlign w:val="center"/>
          </w:tcPr>
          <w:p w14:paraId="5E3BFAAE">
            <w:pPr>
              <w:pStyle w:val="29"/>
              <w:ind w:firstLine="0" w:firstLineChars="0"/>
              <w:jc w:val="center"/>
              <w:rPr>
                <w:color w:val="000000"/>
                <w:szCs w:val="21"/>
              </w:rPr>
            </w:pPr>
          </w:p>
        </w:tc>
        <w:tc>
          <w:tcPr>
            <w:tcW w:w="2016" w:type="dxa"/>
          </w:tcPr>
          <w:p w14:paraId="552E127C">
            <w:pPr>
              <w:pStyle w:val="29"/>
              <w:ind w:firstLine="0" w:firstLineChars="0"/>
              <w:rPr>
                <w:color w:val="000000"/>
                <w:szCs w:val="21"/>
              </w:rPr>
            </w:pPr>
          </w:p>
        </w:tc>
      </w:tr>
      <w:tr w14:paraId="4EA8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5BAA403">
            <w:pPr>
              <w:pStyle w:val="29"/>
              <w:ind w:firstLine="0" w:firstLineChars="0"/>
              <w:jc w:val="center"/>
              <w:rPr>
                <w:color w:val="000000"/>
                <w:szCs w:val="21"/>
              </w:rPr>
            </w:pPr>
            <w:r>
              <w:rPr>
                <w:color w:val="000000"/>
                <w:szCs w:val="21"/>
              </w:rPr>
              <w:t>…</w:t>
            </w:r>
          </w:p>
        </w:tc>
        <w:tc>
          <w:tcPr>
            <w:tcW w:w="2977" w:type="dxa"/>
            <w:vAlign w:val="center"/>
          </w:tcPr>
          <w:p w14:paraId="3582B4D8">
            <w:pPr>
              <w:pStyle w:val="29"/>
              <w:ind w:firstLine="0" w:firstLineChars="0"/>
              <w:rPr>
                <w:color w:val="000000"/>
                <w:szCs w:val="21"/>
              </w:rPr>
            </w:pPr>
          </w:p>
        </w:tc>
        <w:tc>
          <w:tcPr>
            <w:tcW w:w="3686" w:type="dxa"/>
            <w:vAlign w:val="center"/>
          </w:tcPr>
          <w:p w14:paraId="26BEA905">
            <w:pPr>
              <w:pStyle w:val="29"/>
              <w:ind w:firstLine="0" w:firstLineChars="0"/>
              <w:rPr>
                <w:color w:val="000000"/>
                <w:szCs w:val="21"/>
              </w:rPr>
            </w:pPr>
          </w:p>
        </w:tc>
        <w:tc>
          <w:tcPr>
            <w:tcW w:w="963" w:type="dxa"/>
            <w:vAlign w:val="center"/>
          </w:tcPr>
          <w:p w14:paraId="2AEC3825">
            <w:pPr>
              <w:pStyle w:val="29"/>
              <w:ind w:firstLine="0" w:firstLineChars="0"/>
              <w:jc w:val="center"/>
              <w:rPr>
                <w:color w:val="000000"/>
                <w:szCs w:val="21"/>
              </w:rPr>
            </w:pPr>
          </w:p>
        </w:tc>
        <w:tc>
          <w:tcPr>
            <w:tcW w:w="2016" w:type="dxa"/>
          </w:tcPr>
          <w:p w14:paraId="7C37812F">
            <w:pPr>
              <w:pStyle w:val="29"/>
              <w:ind w:firstLine="0" w:firstLineChars="0"/>
              <w:rPr>
                <w:color w:val="000000"/>
                <w:szCs w:val="21"/>
              </w:rPr>
            </w:pPr>
          </w:p>
        </w:tc>
      </w:tr>
    </w:tbl>
    <w:p w14:paraId="038038FC">
      <w:pPr>
        <w:pStyle w:val="29"/>
        <w:numPr>
          <w:ilvl w:val="0"/>
          <w:numId w:val="10"/>
        </w:numPr>
        <w:ind w:firstLineChars="0"/>
        <w:jc w:val="left"/>
        <w:rPr>
          <w:b/>
          <w:szCs w:val="21"/>
        </w:rPr>
      </w:pPr>
      <w:r>
        <w:rPr>
          <w:b/>
          <w:szCs w:val="21"/>
        </w:rPr>
        <w:t>合同</w:t>
      </w:r>
      <w:r>
        <w:rPr>
          <w:rFonts w:hint="eastAsia"/>
          <w:b/>
          <w:szCs w:val="21"/>
        </w:rPr>
        <w:t>价款</w:t>
      </w:r>
    </w:p>
    <w:p w14:paraId="7B2D0B08">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13B94633">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2423D7AB">
      <w:pPr>
        <w:ind w:firstLine="480"/>
        <w:contextualSpacing/>
        <w:jc w:val="left"/>
      </w:pPr>
      <w:r>
        <w:rPr>
          <w:color w:val="000000"/>
          <w:szCs w:val="21"/>
          <w:shd w:val="clear" w:color="auto" w:fill="FFFFFF"/>
        </w:rPr>
        <w:sym w:font="Wingdings" w:char="F0A8"/>
      </w:r>
      <w:r>
        <w:rPr>
          <w:rFonts w:hint="eastAsia"/>
        </w:rPr>
        <w:t>半包服务</w:t>
      </w:r>
    </w:p>
    <w:p w14:paraId="2115DF07">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3D7EA118">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6BCCC116">
      <w:pPr>
        <w:ind w:firstLine="480"/>
        <w:contextualSpacing/>
        <w:jc w:val="left"/>
      </w:pPr>
      <w:r>
        <w:rPr>
          <w:color w:val="000000"/>
          <w:szCs w:val="21"/>
          <w:shd w:val="clear" w:color="auto" w:fill="FFFFFF"/>
        </w:rPr>
        <w:sym w:font="Wingdings" w:char="F0A8"/>
      </w:r>
      <w:r>
        <w:rPr>
          <w:rFonts w:hint="eastAsia"/>
        </w:rPr>
        <w:t>按实结算</w:t>
      </w:r>
    </w:p>
    <w:p w14:paraId="361B47AC">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41BAEABA">
      <w:pPr>
        <w:pStyle w:val="29"/>
        <w:numPr>
          <w:ilvl w:val="0"/>
          <w:numId w:val="10"/>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492217C1">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29545FB5">
      <w:pPr>
        <w:pStyle w:val="29"/>
        <w:numPr>
          <w:ilvl w:val="0"/>
          <w:numId w:val="10"/>
        </w:numPr>
        <w:ind w:left="0" w:firstLine="0" w:firstLineChars="0"/>
        <w:contextualSpacing/>
        <w:jc w:val="left"/>
        <w:rPr>
          <w:b/>
          <w:szCs w:val="21"/>
        </w:rPr>
      </w:pPr>
      <w:r>
        <w:rPr>
          <w:b/>
          <w:szCs w:val="21"/>
        </w:rPr>
        <w:t>服务</w:t>
      </w:r>
      <w:r>
        <w:rPr>
          <w:rFonts w:hint="eastAsia"/>
          <w:b/>
          <w:szCs w:val="21"/>
        </w:rPr>
        <w:t>方案</w:t>
      </w:r>
    </w:p>
    <w:p w14:paraId="716E55BB">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63D44388">
      <w:pPr>
        <w:pStyle w:val="29"/>
        <w:numPr>
          <w:ilvl w:val="0"/>
          <w:numId w:val="10"/>
        </w:numPr>
        <w:ind w:left="0" w:firstLine="0" w:firstLineChars="0"/>
        <w:contextualSpacing/>
        <w:jc w:val="left"/>
        <w:rPr>
          <w:b/>
          <w:szCs w:val="21"/>
        </w:rPr>
      </w:pPr>
      <w:r>
        <w:rPr>
          <w:b/>
          <w:szCs w:val="21"/>
        </w:rPr>
        <w:t>验收</w:t>
      </w:r>
    </w:p>
    <w:p w14:paraId="250BB2F6">
      <w:pPr>
        <w:pStyle w:val="29"/>
        <w:numPr>
          <w:ilvl w:val="0"/>
          <w:numId w:val="12"/>
        </w:numPr>
        <w:ind w:left="0" w:firstLine="0" w:firstLineChars="0"/>
        <w:contextualSpacing/>
        <w:rPr>
          <w:szCs w:val="21"/>
        </w:rPr>
      </w:pPr>
      <w:r>
        <w:rPr>
          <w:szCs w:val="21"/>
        </w:rPr>
        <w:t>甲、乙双方确定，按照本合同约定的验收方案对乙方按本合同约定所提供的服务进行验收。</w:t>
      </w:r>
    </w:p>
    <w:p w14:paraId="65659D98">
      <w:pPr>
        <w:pStyle w:val="29"/>
        <w:numPr>
          <w:ilvl w:val="0"/>
          <w:numId w:val="12"/>
        </w:numPr>
        <w:ind w:left="0" w:firstLine="0" w:firstLineChars="0"/>
        <w:contextualSpacing/>
        <w:rPr>
          <w:szCs w:val="21"/>
        </w:rPr>
      </w:pPr>
      <w:r>
        <w:rPr>
          <w:szCs w:val="21"/>
        </w:rPr>
        <w:t>验收方案：</w:t>
      </w:r>
    </w:p>
    <w:p w14:paraId="54BF81B6">
      <w:pPr>
        <w:pStyle w:val="29"/>
        <w:numPr>
          <w:ilvl w:val="0"/>
          <w:numId w:val="13"/>
        </w:numPr>
        <w:ind w:firstLineChars="0"/>
        <w:contextualSpacing/>
        <w:rPr>
          <w:color w:val="000000"/>
          <w:szCs w:val="21"/>
        </w:rPr>
      </w:pPr>
      <w:r>
        <w:rPr>
          <w:rFonts w:hint="eastAsia"/>
          <w:color w:val="000000"/>
          <w:szCs w:val="21"/>
        </w:rPr>
        <w:t>验收主体：甲方</w:t>
      </w:r>
    </w:p>
    <w:p w14:paraId="1CAC66FD">
      <w:pPr>
        <w:pStyle w:val="29"/>
        <w:numPr>
          <w:ilvl w:val="0"/>
          <w:numId w:val="13"/>
        </w:numPr>
        <w:ind w:firstLineChars="0"/>
        <w:contextualSpacing/>
        <w:rPr>
          <w:color w:val="000000"/>
          <w:szCs w:val="21"/>
        </w:rPr>
      </w:pPr>
      <w:r>
        <w:rPr>
          <w:rFonts w:hint="eastAsia"/>
          <w:color w:val="000000"/>
          <w:szCs w:val="21"/>
        </w:rPr>
        <w:t>验收组织方式：自行验收</w:t>
      </w:r>
    </w:p>
    <w:p w14:paraId="2C1ABA99">
      <w:pPr>
        <w:pStyle w:val="29"/>
        <w:numPr>
          <w:ilvl w:val="0"/>
          <w:numId w:val="13"/>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1A8A76A9">
      <w:pPr>
        <w:pStyle w:val="29"/>
        <w:numPr>
          <w:ilvl w:val="0"/>
          <w:numId w:val="13"/>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01D11D39">
      <w:pPr>
        <w:pStyle w:val="29"/>
        <w:numPr>
          <w:ilvl w:val="0"/>
          <w:numId w:val="13"/>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7203B812">
      <w:pPr>
        <w:pStyle w:val="29"/>
        <w:numPr>
          <w:ilvl w:val="0"/>
          <w:numId w:val="13"/>
        </w:numPr>
        <w:ind w:firstLineChars="0"/>
        <w:contextualSpacing/>
        <w:rPr>
          <w:color w:val="000000"/>
          <w:szCs w:val="21"/>
        </w:rPr>
      </w:pPr>
      <w:r>
        <w:rPr>
          <w:rFonts w:hint="eastAsia"/>
          <w:color w:val="000000"/>
          <w:szCs w:val="21"/>
        </w:rPr>
        <w:t>履约</w:t>
      </w:r>
      <w:r>
        <w:rPr>
          <w:color w:val="000000"/>
          <w:szCs w:val="21"/>
        </w:rPr>
        <w:t>验收时间：</w:t>
      </w:r>
    </w:p>
    <w:p w14:paraId="5819014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71353273">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50D0CA2D">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4C2FD2B7">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61F1C4E3">
      <w:pPr>
        <w:pStyle w:val="29"/>
        <w:numPr>
          <w:ilvl w:val="0"/>
          <w:numId w:val="13"/>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3B2ED14F">
      <w:pPr>
        <w:pStyle w:val="29"/>
        <w:numPr>
          <w:ilvl w:val="0"/>
          <w:numId w:val="13"/>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A9AA923">
      <w:pPr>
        <w:pStyle w:val="29"/>
        <w:numPr>
          <w:ilvl w:val="0"/>
          <w:numId w:val="13"/>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59BCC7A">
      <w:pPr>
        <w:pStyle w:val="29"/>
        <w:numPr>
          <w:ilvl w:val="0"/>
          <w:numId w:val="13"/>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E36109C">
      <w:pPr>
        <w:pStyle w:val="29"/>
        <w:numPr>
          <w:ilvl w:val="0"/>
          <w:numId w:val="13"/>
        </w:numPr>
        <w:ind w:firstLineChars="0"/>
        <w:contextualSpacing/>
        <w:rPr>
          <w:szCs w:val="21"/>
        </w:rPr>
      </w:pPr>
      <w:r>
        <w:rPr>
          <w:szCs w:val="21"/>
        </w:rPr>
        <w:t>验收标准：</w:t>
      </w:r>
    </w:p>
    <w:p w14:paraId="1F8A3943">
      <w:pPr>
        <w:pStyle w:val="16"/>
        <w:numPr>
          <w:ilvl w:val="0"/>
          <w:numId w:val="14"/>
        </w:numPr>
        <w:spacing w:after="0"/>
        <w:ind w:firstLineChars="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78E41AA4">
      <w:pPr>
        <w:pStyle w:val="16"/>
        <w:numPr>
          <w:ilvl w:val="0"/>
          <w:numId w:val="14"/>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1C5A2F05">
      <w:pPr>
        <w:pStyle w:val="16"/>
        <w:numPr>
          <w:ilvl w:val="0"/>
          <w:numId w:val="14"/>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14D104EB">
      <w:pPr>
        <w:pStyle w:val="16"/>
        <w:numPr>
          <w:ilvl w:val="0"/>
          <w:numId w:val="14"/>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706CDA25">
      <w:pPr>
        <w:pStyle w:val="16"/>
        <w:numPr>
          <w:ilvl w:val="0"/>
          <w:numId w:val="14"/>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0DD913E8">
      <w:pPr>
        <w:pStyle w:val="16"/>
        <w:numPr>
          <w:ilvl w:val="0"/>
          <w:numId w:val="14"/>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18828546">
      <w:pPr>
        <w:pStyle w:val="29"/>
        <w:numPr>
          <w:ilvl w:val="0"/>
          <w:numId w:val="13"/>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CADFEE3">
      <w:pPr>
        <w:pStyle w:val="29"/>
        <w:numPr>
          <w:ilvl w:val="0"/>
          <w:numId w:val="12"/>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731A73CD">
      <w:pPr>
        <w:pStyle w:val="29"/>
        <w:numPr>
          <w:ilvl w:val="0"/>
          <w:numId w:val="10"/>
        </w:numPr>
        <w:ind w:left="0" w:firstLine="0" w:firstLineChars="0"/>
        <w:contextualSpacing/>
        <w:jc w:val="left"/>
        <w:rPr>
          <w:b/>
          <w:szCs w:val="21"/>
        </w:rPr>
      </w:pPr>
      <w:r>
        <w:rPr>
          <w:b/>
          <w:szCs w:val="21"/>
        </w:rPr>
        <w:t>付款方式</w:t>
      </w:r>
    </w:p>
    <w:p w14:paraId="33165F45">
      <w:pPr>
        <w:pStyle w:val="9"/>
        <w:numPr>
          <w:ilvl w:val="0"/>
          <w:numId w:val="15"/>
        </w:numPr>
        <w:spacing w:after="0" w:line="240" w:lineRule="auto"/>
        <w:ind w:left="227" w:leftChars="0" w:hanging="227"/>
        <w:contextualSpacing/>
        <w:jc w:val="left"/>
        <w:rPr>
          <w:szCs w:val="21"/>
        </w:rPr>
      </w:pPr>
      <w:r>
        <w:rPr>
          <w:szCs w:val="21"/>
        </w:rPr>
        <w:t>履约保证金：</w:t>
      </w:r>
    </w:p>
    <w:p w14:paraId="2F6E1FA7">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380D3BD3">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E0DABCD">
      <w:pPr>
        <w:pStyle w:val="9"/>
        <w:numPr>
          <w:ilvl w:val="0"/>
          <w:numId w:val="15"/>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316A25D0">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3862BDED">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CDA4A3D">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77FD1AB4">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512F8652">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1C748C99">
      <w:pPr>
        <w:pStyle w:val="9"/>
        <w:numPr>
          <w:ilvl w:val="0"/>
          <w:numId w:val="15"/>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596EBA0E">
      <w:pPr>
        <w:pStyle w:val="9"/>
        <w:numPr>
          <w:ilvl w:val="0"/>
          <w:numId w:val="15"/>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7EBEB0A2">
      <w:pPr>
        <w:pStyle w:val="29"/>
        <w:numPr>
          <w:ilvl w:val="0"/>
          <w:numId w:val="10"/>
        </w:numPr>
        <w:ind w:left="0" w:firstLine="0" w:firstLineChars="0"/>
        <w:contextualSpacing/>
        <w:jc w:val="left"/>
        <w:rPr>
          <w:b/>
          <w:szCs w:val="21"/>
        </w:rPr>
      </w:pPr>
      <w:r>
        <w:rPr>
          <w:b/>
          <w:szCs w:val="21"/>
        </w:rPr>
        <w:t>双方权利与义务</w:t>
      </w:r>
    </w:p>
    <w:p w14:paraId="501135B8">
      <w:pPr>
        <w:pStyle w:val="9"/>
        <w:numPr>
          <w:ilvl w:val="0"/>
          <w:numId w:val="16"/>
        </w:numPr>
        <w:spacing w:after="0" w:line="240" w:lineRule="auto"/>
        <w:ind w:left="227" w:leftChars="0" w:hanging="227"/>
        <w:contextualSpacing/>
        <w:jc w:val="left"/>
        <w:rPr>
          <w:szCs w:val="21"/>
        </w:rPr>
      </w:pPr>
      <w:r>
        <w:rPr>
          <w:szCs w:val="21"/>
        </w:rPr>
        <w:t>甲方权利与义务</w:t>
      </w:r>
    </w:p>
    <w:p w14:paraId="5B5E5E2C">
      <w:pPr>
        <w:pStyle w:val="29"/>
        <w:numPr>
          <w:ilvl w:val="0"/>
          <w:numId w:val="17"/>
        </w:numPr>
        <w:adjustRightInd w:val="0"/>
        <w:ind w:left="525" w:hanging="525" w:hangingChars="250"/>
        <w:contextualSpacing/>
        <w:jc w:val="left"/>
        <w:rPr>
          <w:szCs w:val="21"/>
        </w:rPr>
      </w:pPr>
      <w:r>
        <w:rPr>
          <w:szCs w:val="21"/>
        </w:rPr>
        <w:t>按合同约定向乙方支付费用。</w:t>
      </w:r>
    </w:p>
    <w:p w14:paraId="4D9983BA">
      <w:pPr>
        <w:pStyle w:val="29"/>
        <w:numPr>
          <w:ilvl w:val="0"/>
          <w:numId w:val="17"/>
        </w:numPr>
        <w:adjustRightInd w:val="0"/>
        <w:ind w:left="525" w:hanging="525" w:hangingChars="250"/>
        <w:contextualSpacing/>
        <w:jc w:val="left"/>
        <w:rPr>
          <w:szCs w:val="21"/>
        </w:rPr>
      </w:pPr>
      <w:r>
        <w:rPr>
          <w:szCs w:val="21"/>
        </w:rPr>
        <w:t>保证乙方实施服务所必须的外部条件如电源、水源的正常供应及开启、关闭等。</w:t>
      </w:r>
    </w:p>
    <w:p w14:paraId="2F052907">
      <w:pPr>
        <w:pStyle w:val="29"/>
        <w:numPr>
          <w:ilvl w:val="0"/>
          <w:numId w:val="17"/>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1376A4CD">
      <w:pPr>
        <w:pStyle w:val="29"/>
        <w:numPr>
          <w:ilvl w:val="0"/>
          <w:numId w:val="17"/>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0160D7B3">
      <w:pPr>
        <w:pStyle w:val="9"/>
        <w:numPr>
          <w:ilvl w:val="0"/>
          <w:numId w:val="16"/>
        </w:numPr>
        <w:spacing w:after="0" w:line="240" w:lineRule="auto"/>
        <w:ind w:left="227" w:leftChars="0" w:hanging="227"/>
        <w:contextualSpacing/>
        <w:jc w:val="left"/>
        <w:rPr>
          <w:szCs w:val="21"/>
        </w:rPr>
      </w:pPr>
      <w:r>
        <w:rPr>
          <w:szCs w:val="21"/>
        </w:rPr>
        <w:t>乙方权利与义务</w:t>
      </w:r>
    </w:p>
    <w:p w14:paraId="3F8FB777">
      <w:pPr>
        <w:pStyle w:val="9"/>
        <w:numPr>
          <w:ilvl w:val="0"/>
          <w:numId w:val="18"/>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16AF07C8">
      <w:pPr>
        <w:pStyle w:val="9"/>
        <w:numPr>
          <w:ilvl w:val="0"/>
          <w:numId w:val="18"/>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7C547E7">
      <w:pPr>
        <w:pStyle w:val="9"/>
        <w:numPr>
          <w:ilvl w:val="0"/>
          <w:numId w:val="18"/>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6006604C">
      <w:pPr>
        <w:pStyle w:val="9"/>
        <w:numPr>
          <w:ilvl w:val="0"/>
          <w:numId w:val="18"/>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479C86E9">
      <w:pPr>
        <w:pStyle w:val="9"/>
        <w:numPr>
          <w:ilvl w:val="0"/>
          <w:numId w:val="18"/>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1E5FF8D4">
      <w:pPr>
        <w:pStyle w:val="29"/>
        <w:numPr>
          <w:ilvl w:val="0"/>
          <w:numId w:val="10"/>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6C943319">
      <w:pPr>
        <w:pStyle w:val="9"/>
        <w:numPr>
          <w:ilvl w:val="0"/>
          <w:numId w:val="19"/>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6A1FEA7A">
      <w:pPr>
        <w:pStyle w:val="29"/>
        <w:numPr>
          <w:ilvl w:val="0"/>
          <w:numId w:val="19"/>
        </w:numPr>
        <w:ind w:left="0" w:firstLine="0" w:firstLineChars="0"/>
        <w:rPr>
          <w:szCs w:val="21"/>
        </w:rPr>
      </w:pPr>
      <w:r>
        <w:rPr>
          <w:szCs w:val="21"/>
        </w:rPr>
        <w:t>乙方违约责任：</w:t>
      </w:r>
    </w:p>
    <w:p w14:paraId="7288FB32">
      <w:pPr>
        <w:pStyle w:val="9"/>
        <w:numPr>
          <w:ilvl w:val="0"/>
          <w:numId w:val="20"/>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30F156CF">
      <w:pPr>
        <w:pStyle w:val="9"/>
        <w:numPr>
          <w:ilvl w:val="0"/>
          <w:numId w:val="20"/>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03B1DD65">
      <w:pPr>
        <w:pStyle w:val="9"/>
        <w:numPr>
          <w:ilvl w:val="0"/>
          <w:numId w:val="20"/>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0FDADC28">
      <w:pPr>
        <w:pStyle w:val="9"/>
        <w:numPr>
          <w:ilvl w:val="0"/>
          <w:numId w:val="20"/>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lang w:val="en-US" w:eastAsia="zh-CN"/>
        </w:rPr>
        <w:t>3</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2970CD9B">
      <w:pPr>
        <w:pStyle w:val="9"/>
        <w:numPr>
          <w:ilvl w:val="0"/>
          <w:numId w:val="20"/>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702E38AD">
      <w:pPr>
        <w:pStyle w:val="9"/>
        <w:numPr>
          <w:ilvl w:val="0"/>
          <w:numId w:val="20"/>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51C58A5E">
      <w:pPr>
        <w:pStyle w:val="9"/>
        <w:numPr>
          <w:ilvl w:val="0"/>
          <w:numId w:val="20"/>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1A4C136F">
      <w:pPr>
        <w:pStyle w:val="9"/>
        <w:numPr>
          <w:ilvl w:val="0"/>
          <w:numId w:val="20"/>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071BFB02">
      <w:pPr>
        <w:pStyle w:val="9"/>
        <w:numPr>
          <w:ilvl w:val="0"/>
          <w:numId w:val="20"/>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6B8B9790">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2B4D95B0">
      <w:pPr>
        <w:pStyle w:val="29"/>
        <w:numPr>
          <w:ilvl w:val="0"/>
          <w:numId w:val="10"/>
        </w:numPr>
        <w:ind w:left="0" w:firstLine="0" w:firstLineChars="0"/>
        <w:contextualSpacing/>
        <w:jc w:val="left"/>
        <w:rPr>
          <w:b/>
          <w:szCs w:val="21"/>
        </w:rPr>
      </w:pPr>
      <w:r>
        <w:rPr>
          <w:b/>
          <w:szCs w:val="21"/>
        </w:rPr>
        <w:t>不可抗力</w:t>
      </w:r>
    </w:p>
    <w:p w14:paraId="616B97C9">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lang w:val="en-US" w:eastAsia="zh-CN"/>
        </w:rPr>
        <w:t>30</w:t>
      </w:r>
      <w:r>
        <w:rPr>
          <w:rFonts w:hint="eastAsia"/>
          <w:bCs/>
          <w:szCs w:val="21"/>
        </w:rPr>
        <w:t>日</w:t>
      </w:r>
      <w:r>
        <w:rPr>
          <w:bCs/>
          <w:szCs w:val="21"/>
        </w:rPr>
        <w:t>，甲方有权解除合同，双方互不承担违约责任。</w:t>
      </w:r>
    </w:p>
    <w:p w14:paraId="4D66C58D">
      <w:pPr>
        <w:pStyle w:val="29"/>
        <w:numPr>
          <w:ilvl w:val="0"/>
          <w:numId w:val="10"/>
        </w:numPr>
        <w:ind w:left="0" w:firstLine="0" w:firstLineChars="0"/>
        <w:contextualSpacing/>
        <w:jc w:val="left"/>
        <w:rPr>
          <w:b/>
          <w:szCs w:val="21"/>
        </w:rPr>
      </w:pPr>
      <w:r>
        <w:rPr>
          <w:b/>
          <w:szCs w:val="21"/>
        </w:rPr>
        <w:t>合同终止及解除</w:t>
      </w:r>
    </w:p>
    <w:p w14:paraId="263A320C">
      <w:pPr>
        <w:pStyle w:val="29"/>
        <w:numPr>
          <w:ilvl w:val="0"/>
          <w:numId w:val="21"/>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703A6781">
      <w:pPr>
        <w:pStyle w:val="29"/>
        <w:numPr>
          <w:ilvl w:val="0"/>
          <w:numId w:val="21"/>
        </w:numPr>
        <w:ind w:left="0" w:firstLine="0" w:firstLineChars="0"/>
        <w:rPr>
          <w:szCs w:val="21"/>
        </w:rPr>
      </w:pPr>
      <w:r>
        <w:rPr>
          <w:szCs w:val="21"/>
        </w:rPr>
        <w:t>在甲、乙任何一方有严重违约行为时，另一方有权单方解除合同。</w:t>
      </w:r>
    </w:p>
    <w:p w14:paraId="62443AFC">
      <w:pPr>
        <w:pStyle w:val="29"/>
        <w:numPr>
          <w:ilvl w:val="0"/>
          <w:numId w:val="10"/>
        </w:numPr>
        <w:ind w:left="0" w:firstLine="0" w:firstLineChars="0"/>
        <w:contextualSpacing/>
        <w:jc w:val="left"/>
        <w:rPr>
          <w:b/>
          <w:szCs w:val="21"/>
        </w:rPr>
      </w:pPr>
      <w:r>
        <w:rPr>
          <w:b/>
          <w:szCs w:val="21"/>
        </w:rPr>
        <w:t>争议解决办法</w:t>
      </w:r>
    </w:p>
    <w:p w14:paraId="4807F474">
      <w:pPr>
        <w:pStyle w:val="29"/>
        <w:numPr>
          <w:ilvl w:val="0"/>
          <w:numId w:val="22"/>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6DE42D76">
      <w:pPr>
        <w:pStyle w:val="29"/>
        <w:numPr>
          <w:ilvl w:val="0"/>
          <w:numId w:val="22"/>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3C4B6512">
      <w:pPr>
        <w:pStyle w:val="29"/>
        <w:numPr>
          <w:ilvl w:val="0"/>
          <w:numId w:val="10"/>
        </w:numPr>
        <w:ind w:left="0" w:firstLine="0" w:firstLineChars="0"/>
        <w:contextualSpacing/>
        <w:jc w:val="left"/>
        <w:rPr>
          <w:b/>
          <w:szCs w:val="21"/>
        </w:rPr>
      </w:pPr>
      <w:r>
        <w:rPr>
          <w:b/>
          <w:szCs w:val="21"/>
        </w:rPr>
        <w:t>送达（送达地址是司法机关、执法机关和仲裁机关将法律文书送达给当事人的收件地址）</w:t>
      </w:r>
    </w:p>
    <w:p w14:paraId="67CD6B0B">
      <w:pPr>
        <w:pStyle w:val="34"/>
        <w:numPr>
          <w:ilvl w:val="0"/>
          <w:numId w:val="23"/>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6C8C5C31">
      <w:pPr>
        <w:pStyle w:val="34"/>
        <w:numPr>
          <w:ilvl w:val="0"/>
          <w:numId w:val="23"/>
        </w:numPr>
        <w:ind w:left="0" w:firstLine="0"/>
        <w:rPr>
          <w:rFonts w:hAnsi="Times New Roman" w:eastAsia="宋体" w:cs="Times New Roman"/>
          <w:color w:val="auto"/>
        </w:rPr>
      </w:pPr>
      <w:r>
        <w:rPr>
          <w:rFonts w:hAnsi="Times New Roman" w:eastAsia="宋体" w:cs="Times New Roman"/>
          <w:color w:val="auto"/>
        </w:rPr>
        <w:t>乙方送达地址：***</w:t>
      </w:r>
    </w:p>
    <w:p w14:paraId="776C74FE">
      <w:pPr>
        <w:pStyle w:val="34"/>
        <w:numPr>
          <w:ilvl w:val="0"/>
          <w:numId w:val="23"/>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27414ED">
      <w:pPr>
        <w:pStyle w:val="29"/>
        <w:numPr>
          <w:ilvl w:val="0"/>
          <w:numId w:val="10"/>
        </w:numPr>
        <w:ind w:left="0" w:firstLine="0" w:firstLineChars="0"/>
        <w:contextualSpacing/>
        <w:jc w:val="left"/>
        <w:rPr>
          <w:b/>
          <w:szCs w:val="21"/>
        </w:rPr>
      </w:pPr>
      <w:r>
        <w:rPr>
          <w:b/>
          <w:szCs w:val="21"/>
        </w:rPr>
        <w:t>其他</w:t>
      </w:r>
    </w:p>
    <w:p w14:paraId="254BFF5E">
      <w:pPr>
        <w:pStyle w:val="29"/>
        <w:numPr>
          <w:ilvl w:val="0"/>
          <w:numId w:val="24"/>
        </w:numPr>
        <w:ind w:left="0" w:firstLine="0" w:firstLineChars="0"/>
        <w:rPr>
          <w:szCs w:val="21"/>
        </w:rPr>
      </w:pPr>
      <w:r>
        <w:rPr>
          <w:szCs w:val="21"/>
        </w:rPr>
        <w:t>如有未尽事宜，由双方依法订立补充合同。补充合同及本合同附件均为本合同的组成部分，与本合同具有同等法律效力。</w:t>
      </w:r>
    </w:p>
    <w:p w14:paraId="2AE98915">
      <w:pPr>
        <w:pStyle w:val="29"/>
        <w:numPr>
          <w:ilvl w:val="0"/>
          <w:numId w:val="24"/>
        </w:numPr>
        <w:ind w:left="0" w:firstLine="0" w:firstLineChars="0"/>
        <w:rPr>
          <w:szCs w:val="21"/>
        </w:rPr>
      </w:pPr>
      <w:r>
        <w:rPr>
          <w:szCs w:val="21"/>
        </w:rPr>
        <w:t>本合同一式</w:t>
      </w:r>
      <w:r>
        <w:rPr>
          <w:rFonts w:hint="eastAsia"/>
          <w:szCs w:val="21"/>
          <w:lang w:val="en-US" w:eastAsia="zh-CN"/>
        </w:rPr>
        <w:t>五</w:t>
      </w:r>
      <w:r>
        <w:rPr>
          <w:szCs w:val="21"/>
        </w:rPr>
        <w:t>份，自双方</w:t>
      </w:r>
      <w:r>
        <w:rPr>
          <w:rFonts w:hint="eastAsia"/>
          <w:szCs w:val="21"/>
        </w:rPr>
        <w:t>签字且盖章之</w:t>
      </w:r>
      <w:r>
        <w:rPr>
          <w:szCs w:val="21"/>
        </w:rPr>
        <w:t>日起生效。甲方</w:t>
      </w:r>
      <w:r>
        <w:rPr>
          <w:rFonts w:hint="eastAsia"/>
          <w:szCs w:val="21"/>
          <w:lang w:val="en-US" w:eastAsia="zh-CN"/>
        </w:rPr>
        <w:t>四</w:t>
      </w:r>
      <w:r>
        <w:rPr>
          <w:szCs w:val="21"/>
        </w:rPr>
        <w:t>份，乙方一份。</w:t>
      </w:r>
    </w:p>
    <w:p w14:paraId="492A168E">
      <w:pPr>
        <w:pStyle w:val="29"/>
        <w:numPr>
          <w:ilvl w:val="0"/>
          <w:numId w:val="10"/>
        </w:numPr>
        <w:ind w:left="0" w:firstLine="0" w:firstLineChars="0"/>
        <w:contextualSpacing/>
        <w:jc w:val="left"/>
        <w:rPr>
          <w:b/>
          <w:szCs w:val="21"/>
        </w:rPr>
      </w:pPr>
      <w:r>
        <w:rPr>
          <w:b/>
          <w:szCs w:val="21"/>
        </w:rPr>
        <w:t>合同附件</w:t>
      </w:r>
    </w:p>
    <w:p w14:paraId="77DE3055">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2B387CA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0FFCAB3A">
      <w:pPr>
        <w:jc w:val="left"/>
        <w:outlineLvl w:val="0"/>
        <w:rPr>
          <w:szCs w:val="21"/>
        </w:rPr>
      </w:pPr>
      <w:r>
        <w:rPr>
          <w:rFonts w:hint="eastAsia"/>
          <w:szCs w:val="21"/>
        </w:rPr>
        <w:t>附件2《考核标准》</w:t>
      </w:r>
    </w:p>
    <w:p w14:paraId="5CC0794F">
      <w:pPr>
        <w:jc w:val="left"/>
        <w:outlineLvl w:val="0"/>
        <w:rPr>
          <w:szCs w:val="21"/>
        </w:rPr>
      </w:pPr>
      <w:r>
        <w:rPr>
          <w:szCs w:val="21"/>
        </w:rPr>
        <w:t>附件3《服务</w:t>
      </w:r>
      <w:r>
        <w:rPr>
          <w:rFonts w:hint="eastAsia"/>
          <w:szCs w:val="21"/>
        </w:rPr>
        <w:t>方案</w:t>
      </w:r>
      <w:r>
        <w:rPr>
          <w:szCs w:val="21"/>
        </w:rPr>
        <w:t>》</w:t>
      </w:r>
    </w:p>
    <w:p w14:paraId="73257A85">
      <w:pPr>
        <w:keepNext w:val="0"/>
        <w:keepLines w:val="0"/>
        <w:pageBreakBefore w:val="0"/>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 w:val="18"/>
          <w:szCs w:val="18"/>
        </w:rPr>
        <w:t>以下无正文</w:t>
      </w:r>
      <w:r>
        <w:rPr>
          <w:rFonts w:hint="eastAsia" w:ascii="宋体" w:hAnsi="宋体" w:eastAsia="宋体" w:cs="宋体"/>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签订时间：</w:t>
            </w:r>
            <w:r>
              <w:rPr>
                <w:rFonts w:hint="eastAsia" w:ascii="宋体" w:hAnsi="宋体" w:eastAsia="宋体" w:cs="宋体"/>
              </w:rPr>
              <w:t>202*</w:t>
            </w:r>
            <w:r>
              <w:rPr>
                <w:rFonts w:hint="eastAsia" w:ascii="宋体" w:hAnsi="宋体" w:eastAsia="宋体" w:cs="宋体"/>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甲方：四川省人民医院（盖章）</w:t>
            </w:r>
          </w:p>
          <w:p w14:paraId="1BF2641A">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法定代表人（授权代表签字）：</w:t>
            </w:r>
          </w:p>
          <w:p w14:paraId="3CF6E833">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地    址：四川省成都市一环路西二段32号</w:t>
            </w:r>
          </w:p>
          <w:p w14:paraId="6736D38D">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开户银行：建设银行成都青羊支行</w:t>
            </w:r>
          </w:p>
          <w:p w14:paraId="3D5EBF0F">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账号：5100 1446 4360 5037 4282</w:t>
            </w:r>
          </w:p>
        </w:tc>
        <w:tc>
          <w:tcPr>
            <w:tcW w:w="5247" w:type="dxa"/>
          </w:tcPr>
          <w:p w14:paraId="76D47F6F">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乙方：</w:t>
            </w:r>
            <w:permStart w:id="2" w:edGrp="everyone"/>
            <w:r>
              <w:rPr>
                <w:rFonts w:hint="eastAsia" w:ascii="宋体" w:hAnsi="宋体" w:eastAsia="宋体" w:cs="宋体"/>
                <w:szCs w:val="21"/>
              </w:rPr>
              <w:t>***</w:t>
            </w:r>
            <w:permEnd w:id="2"/>
            <w:r>
              <w:rPr>
                <w:rFonts w:hint="eastAsia" w:ascii="宋体" w:hAnsi="宋体" w:eastAsia="宋体" w:cs="宋体"/>
                <w:szCs w:val="21"/>
              </w:rPr>
              <w:t>（盖章）</w:t>
            </w:r>
          </w:p>
          <w:p w14:paraId="5129AF1F">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法定代表人（授权代表签字）：</w:t>
            </w:r>
          </w:p>
          <w:p w14:paraId="47302462">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地址：</w:t>
            </w:r>
            <w:permStart w:id="3" w:edGrp="everyone"/>
            <w:r>
              <w:rPr>
                <w:rFonts w:hint="eastAsia" w:ascii="宋体" w:hAnsi="宋体" w:eastAsia="宋体" w:cs="宋体"/>
                <w:szCs w:val="21"/>
              </w:rPr>
              <w:t>***</w:t>
            </w:r>
            <w:permEnd w:id="3"/>
          </w:p>
          <w:p w14:paraId="1CF0A190">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开户银行：</w:t>
            </w:r>
            <w:permStart w:id="4" w:edGrp="everyone"/>
            <w:r>
              <w:rPr>
                <w:rFonts w:hint="eastAsia" w:ascii="宋体" w:hAnsi="宋体" w:eastAsia="宋体" w:cs="宋体"/>
                <w:szCs w:val="21"/>
              </w:rPr>
              <w:t>***</w:t>
            </w:r>
          </w:p>
          <w:permEnd w:id="4"/>
          <w:p w14:paraId="5672E29C">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rPr>
            </w:pPr>
            <w:r>
              <w:rPr>
                <w:rFonts w:hint="eastAsia" w:ascii="宋体" w:hAnsi="宋体" w:eastAsia="宋体" w:cs="宋体"/>
                <w:szCs w:val="21"/>
              </w:rPr>
              <w:t>账号：</w:t>
            </w:r>
            <w:permStart w:id="5" w:edGrp="everyone"/>
            <w:r>
              <w:rPr>
                <w:rFonts w:hint="eastAsia" w:ascii="宋体" w:hAnsi="宋体" w:eastAsia="宋体" w:cs="宋体"/>
                <w:szCs w:val="21"/>
              </w:rPr>
              <w:t>***</w:t>
            </w:r>
            <w:permEnd w:id="5"/>
          </w:p>
        </w:tc>
      </w:tr>
    </w:tbl>
    <w:p w14:paraId="00536653">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br w:type="page"/>
      </w:r>
    </w:p>
    <w:p w14:paraId="7B4B943E">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b/>
          <w:bCs/>
          <w:szCs w:val="21"/>
        </w:rPr>
      </w:pPr>
      <w:r>
        <w:rPr>
          <w:rFonts w:hint="eastAsia" w:ascii="宋体" w:hAnsi="宋体" w:eastAsia="宋体" w:cs="宋体"/>
          <w:b/>
          <w:bCs/>
          <w:szCs w:val="21"/>
        </w:rPr>
        <w:t>附件1：结算单价清单（人民币：元）</w:t>
      </w:r>
      <w:r>
        <w:rPr>
          <w:rFonts w:hint="eastAsia" w:ascii="宋体" w:hAnsi="宋体" w:eastAsia="宋体" w:cs="宋体"/>
          <w:b/>
          <w:bCs/>
          <w:i/>
          <w:iCs/>
          <w:szCs w:val="21"/>
          <w:highlight w:val="yellow"/>
        </w:rPr>
        <w:t>&lt;根据项目实际情况编制&gt;</w:t>
      </w:r>
    </w:p>
    <w:p w14:paraId="1D831279">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序号</w:t>
            </w:r>
          </w:p>
        </w:tc>
        <w:tc>
          <w:tcPr>
            <w:tcW w:w="3686" w:type="dxa"/>
            <w:vAlign w:val="center"/>
          </w:tcPr>
          <w:p w14:paraId="6C23FD50">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结算项目名称</w:t>
            </w:r>
          </w:p>
        </w:tc>
        <w:tc>
          <w:tcPr>
            <w:tcW w:w="3402" w:type="dxa"/>
            <w:vAlign w:val="center"/>
          </w:tcPr>
          <w:p w14:paraId="3BB9E943">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i/>
                <w:iCs/>
                <w:szCs w:val="21"/>
              </w:rPr>
            </w:pPr>
            <w:r>
              <w:rPr>
                <w:rFonts w:hint="eastAsia" w:ascii="宋体" w:hAnsi="宋体" w:eastAsia="宋体" w:cs="宋体"/>
                <w:b/>
                <w:bCs/>
                <w:szCs w:val="21"/>
              </w:rPr>
              <w:t>项目信息</w:t>
            </w:r>
            <w:r>
              <w:rPr>
                <w:rFonts w:hint="eastAsia" w:ascii="宋体" w:hAnsi="宋体" w:eastAsia="宋体" w:cs="宋体"/>
                <w:b/>
                <w:bCs/>
                <w:i/>
                <w:iCs/>
                <w:szCs w:val="21"/>
                <w:highlight w:val="yellow"/>
              </w:rPr>
              <w:t>&lt;生产厂商、品牌、型号规格等&gt;</w:t>
            </w:r>
          </w:p>
        </w:tc>
        <w:tc>
          <w:tcPr>
            <w:tcW w:w="992" w:type="dxa"/>
            <w:vAlign w:val="center"/>
          </w:tcPr>
          <w:p w14:paraId="66368B46">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结算单位</w:t>
            </w:r>
            <w:r>
              <w:rPr>
                <w:rFonts w:hint="eastAsia" w:ascii="宋体" w:hAnsi="宋体" w:eastAsia="宋体" w:cs="宋体"/>
                <w:b/>
                <w:bCs/>
                <w:i/>
                <w:iCs/>
                <w:szCs w:val="21"/>
                <w:highlight w:val="yellow"/>
              </w:rPr>
              <w:t>&lt;指货物的单位&gt;</w:t>
            </w:r>
          </w:p>
        </w:tc>
        <w:tc>
          <w:tcPr>
            <w:tcW w:w="986" w:type="dxa"/>
            <w:vAlign w:val="center"/>
          </w:tcPr>
          <w:p w14:paraId="5589F7C3">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1</w:t>
            </w:r>
          </w:p>
        </w:tc>
        <w:tc>
          <w:tcPr>
            <w:tcW w:w="3686" w:type="dxa"/>
            <w:vAlign w:val="center"/>
          </w:tcPr>
          <w:p w14:paraId="4A635D96">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3402" w:type="dxa"/>
            <w:vAlign w:val="center"/>
          </w:tcPr>
          <w:p w14:paraId="610A0DF8">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992" w:type="dxa"/>
            <w:vAlign w:val="center"/>
          </w:tcPr>
          <w:p w14:paraId="59C6D210">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c>
          <w:tcPr>
            <w:tcW w:w="986" w:type="dxa"/>
            <w:vAlign w:val="center"/>
          </w:tcPr>
          <w:p w14:paraId="3B758A07">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2</w:t>
            </w:r>
          </w:p>
        </w:tc>
        <w:tc>
          <w:tcPr>
            <w:tcW w:w="3686" w:type="dxa"/>
            <w:vAlign w:val="center"/>
          </w:tcPr>
          <w:p w14:paraId="2C25F4E1">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3402" w:type="dxa"/>
            <w:vAlign w:val="center"/>
          </w:tcPr>
          <w:p w14:paraId="473015E2">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992" w:type="dxa"/>
            <w:vAlign w:val="center"/>
          </w:tcPr>
          <w:p w14:paraId="1AC45725">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c>
          <w:tcPr>
            <w:tcW w:w="986" w:type="dxa"/>
            <w:vAlign w:val="center"/>
          </w:tcPr>
          <w:p w14:paraId="794FEA53">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w:t>
            </w:r>
          </w:p>
        </w:tc>
        <w:tc>
          <w:tcPr>
            <w:tcW w:w="3686" w:type="dxa"/>
            <w:vAlign w:val="center"/>
          </w:tcPr>
          <w:p w14:paraId="09F89178">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3402" w:type="dxa"/>
            <w:vAlign w:val="center"/>
          </w:tcPr>
          <w:p w14:paraId="1FF16C42">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992" w:type="dxa"/>
            <w:vAlign w:val="center"/>
          </w:tcPr>
          <w:p w14:paraId="0BD2D448">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c>
          <w:tcPr>
            <w:tcW w:w="986" w:type="dxa"/>
            <w:vAlign w:val="center"/>
          </w:tcPr>
          <w:p w14:paraId="32267964">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r>
    </w:tbl>
    <w:p w14:paraId="4333764E">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br w:type="page"/>
      </w:r>
    </w:p>
    <w:p w14:paraId="6BEFDD75">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b/>
          <w:bCs/>
          <w:szCs w:val="21"/>
        </w:rPr>
      </w:pPr>
      <w:r>
        <w:rPr>
          <w:rFonts w:hint="eastAsia" w:ascii="宋体" w:hAnsi="宋体" w:eastAsia="宋体" w:cs="宋体"/>
          <w:b/>
          <w:bCs/>
          <w:szCs w:val="21"/>
        </w:rPr>
        <w:t>附件2：考核标准</w:t>
      </w:r>
    </w:p>
    <w:p w14:paraId="6C0FC75D">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p>
    <w:p w14:paraId="01FC3DB7">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rPr>
        <w:t>***</w:t>
      </w:r>
    </w:p>
    <w:p w14:paraId="2EED2368">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rPr>
        <w:br w:type="page"/>
      </w:r>
    </w:p>
    <w:p w14:paraId="692BA005">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t>附件3：服务方案</w:t>
      </w:r>
    </w:p>
    <w:p w14:paraId="49A6C9EA">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p>
    <w:p w14:paraId="1E9CF7A4">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E0D697C-B527-4965-8F89-4EA1A818830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5C3DE32-B3A1-452C-B841-E8AE6263E82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6345C3A-FF90-4F7D-92D1-D529E6F4146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Alibaba PuHuiTi 2.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roman"/>
    <w:pitch w:val="default"/>
    <w:sig w:usb0="E00006FF" w:usb1="420024FF" w:usb2="02000000" w:usb3="00000000" w:csb0="2000019F" w:csb1="00000000"/>
    <w:embedRegular r:id="rId4" w:fontKey="{13BBC0CD-F6F6-4D41-9EC2-9B9493F6D447}"/>
  </w:font>
  <w:font w:name="Segoe UI Symbol">
    <w:panose1 w:val="020B0502040204020203"/>
    <w:charset w:val="00"/>
    <w:family w:val="swiss"/>
    <w:pitch w:val="default"/>
    <w:sig w:usb0="800001E3" w:usb1="1200FFEF" w:usb2="00040000" w:usb3="04000000" w:csb0="00000001" w:csb1="40000000"/>
    <w:embedRegular r:id="rId5" w:fontKey="{51C06A7D-2B9A-45A2-B676-937D58DB71FA}"/>
  </w:font>
  <w:font w:name="Wingdings 2">
    <w:altName w:val="Wingdings"/>
    <w:panose1 w:val="05020102010507070707"/>
    <w:charset w:val="4D"/>
    <w:family w:val="decorative"/>
    <w:pitch w:val="default"/>
    <w:sig w:usb0="00000000" w:usb1="00000000" w:usb2="00000000" w:usb3="00000000" w:csb0="80000001" w:csb1="00000000"/>
    <w:embedRegular r:id="rId6" w:fontKey="{B59688F6-6139-4377-BB74-07F937E78827}"/>
  </w:font>
  <w:font w:name="微软雅黑">
    <w:panose1 w:val="020B0503020204020204"/>
    <w:charset w:val="86"/>
    <w:family w:val="auto"/>
    <w:pitch w:val="default"/>
    <w:sig w:usb0="80000287" w:usb1="2ACF3C50" w:usb2="00000016" w:usb3="00000000" w:csb0="0004001F" w:csb1="00000000"/>
    <w:embedRegular r:id="rId7" w:fontKey="{8A998988-44F3-45F4-ACBF-812E71AFB1F5}"/>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SOF8BCA4F43">
    <w:panose1 w:val="02010609060101010101"/>
    <w:charset w:val="86"/>
    <w:family w:val="auto"/>
    <w:pitch w:val="default"/>
    <w:sig w:usb0="00000001"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AB5F2">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CFAB5F2">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6">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3A69C7D9"/>
    <w:multiLevelType w:val="singleLevel"/>
    <w:tmpl w:val="3A69C7D9"/>
    <w:lvl w:ilvl="0" w:tentative="0">
      <w:start w:val="1"/>
      <w:numFmt w:val="decimal"/>
      <w:lvlText w:val="(%1)"/>
      <w:lvlJc w:val="left"/>
      <w:pPr>
        <w:ind w:left="425" w:hanging="425"/>
      </w:pPr>
      <w:rPr>
        <w:rFonts w:hint="default"/>
      </w:rPr>
    </w:lvl>
  </w:abstractNum>
  <w:abstractNum w:abstractNumId="14">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5">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9">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0">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2"/>
  </w:num>
  <w:num w:numId="3">
    <w:abstractNumId w:val="14"/>
  </w:num>
  <w:num w:numId="4">
    <w:abstractNumId w:val="23"/>
  </w:num>
  <w:num w:numId="5">
    <w:abstractNumId w:val="18"/>
  </w:num>
  <w:num w:numId="6">
    <w:abstractNumId w:val="13"/>
  </w:num>
  <w:num w:numId="7">
    <w:abstractNumId w:val="1"/>
  </w:num>
  <w:num w:numId="8">
    <w:abstractNumId w:val="0"/>
  </w:num>
  <w:num w:numId="9">
    <w:abstractNumId w:val="3"/>
  </w:num>
  <w:num w:numId="10">
    <w:abstractNumId w:val="10"/>
  </w:num>
  <w:num w:numId="11">
    <w:abstractNumId w:val="19"/>
  </w:num>
  <w:num w:numId="12">
    <w:abstractNumId w:val="22"/>
  </w:num>
  <w:num w:numId="13">
    <w:abstractNumId w:val="16"/>
  </w:num>
  <w:num w:numId="14">
    <w:abstractNumId w:val="7"/>
  </w:num>
  <w:num w:numId="15">
    <w:abstractNumId w:val="5"/>
  </w:num>
  <w:num w:numId="16">
    <w:abstractNumId w:val="20"/>
  </w:num>
  <w:num w:numId="17">
    <w:abstractNumId w:val="15"/>
  </w:num>
  <w:num w:numId="18">
    <w:abstractNumId w:val="6"/>
  </w:num>
  <w:num w:numId="19">
    <w:abstractNumId w:val="9"/>
  </w:num>
  <w:num w:numId="20">
    <w:abstractNumId w:val="21"/>
  </w:num>
  <w:num w:numId="21">
    <w:abstractNumId w:val="4"/>
  </w:num>
  <w:num w:numId="22">
    <w:abstractNumId w:val="17"/>
  </w:num>
  <w:num w:numId="23">
    <w:abstractNumId w:val="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93A3733"/>
    <w:rsid w:val="0B4508AE"/>
    <w:rsid w:val="0CF161C9"/>
    <w:rsid w:val="0E0B7FF0"/>
    <w:rsid w:val="0F904004"/>
    <w:rsid w:val="117A5014"/>
    <w:rsid w:val="127F05A0"/>
    <w:rsid w:val="136D78F8"/>
    <w:rsid w:val="14174E49"/>
    <w:rsid w:val="15CC4977"/>
    <w:rsid w:val="162A4F7D"/>
    <w:rsid w:val="16A82A66"/>
    <w:rsid w:val="1994787E"/>
    <w:rsid w:val="1AF37DDA"/>
    <w:rsid w:val="1BC7572E"/>
    <w:rsid w:val="1BCC54CD"/>
    <w:rsid w:val="1DD000AF"/>
    <w:rsid w:val="1E0356E6"/>
    <w:rsid w:val="1E09745A"/>
    <w:rsid w:val="1E176351"/>
    <w:rsid w:val="22935D1D"/>
    <w:rsid w:val="23D4489F"/>
    <w:rsid w:val="25F42A26"/>
    <w:rsid w:val="262001B9"/>
    <w:rsid w:val="27B87AF9"/>
    <w:rsid w:val="27E80EA9"/>
    <w:rsid w:val="280414A1"/>
    <w:rsid w:val="28570368"/>
    <w:rsid w:val="29C5318E"/>
    <w:rsid w:val="2ADE2C09"/>
    <w:rsid w:val="2B502F98"/>
    <w:rsid w:val="2C9A0A9E"/>
    <w:rsid w:val="2DA70D65"/>
    <w:rsid w:val="2F5B7466"/>
    <w:rsid w:val="30BB1297"/>
    <w:rsid w:val="3427766B"/>
    <w:rsid w:val="343706EB"/>
    <w:rsid w:val="351A08D0"/>
    <w:rsid w:val="36334CE5"/>
    <w:rsid w:val="3A551407"/>
    <w:rsid w:val="3B033C36"/>
    <w:rsid w:val="3E5D4E8E"/>
    <w:rsid w:val="3EF06066"/>
    <w:rsid w:val="3FE25336"/>
    <w:rsid w:val="41076015"/>
    <w:rsid w:val="42075FF8"/>
    <w:rsid w:val="42842020"/>
    <w:rsid w:val="45661245"/>
    <w:rsid w:val="46753625"/>
    <w:rsid w:val="468567BB"/>
    <w:rsid w:val="4782487D"/>
    <w:rsid w:val="483A4C12"/>
    <w:rsid w:val="4B31068E"/>
    <w:rsid w:val="4BA55220"/>
    <w:rsid w:val="4BAD0151"/>
    <w:rsid w:val="4C184E09"/>
    <w:rsid w:val="4C8F75A2"/>
    <w:rsid w:val="4CAA657F"/>
    <w:rsid w:val="4DAD4403"/>
    <w:rsid w:val="4E8C008E"/>
    <w:rsid w:val="4FDC6FE6"/>
    <w:rsid w:val="4FEF758C"/>
    <w:rsid w:val="50771A9C"/>
    <w:rsid w:val="51C47F6D"/>
    <w:rsid w:val="5455382C"/>
    <w:rsid w:val="588B6859"/>
    <w:rsid w:val="5D0A3490"/>
    <w:rsid w:val="5D7E0D39"/>
    <w:rsid w:val="5E49371E"/>
    <w:rsid w:val="5E9D3F29"/>
    <w:rsid w:val="5F13572D"/>
    <w:rsid w:val="60384CD1"/>
    <w:rsid w:val="60655808"/>
    <w:rsid w:val="60F86CEE"/>
    <w:rsid w:val="63A9427A"/>
    <w:rsid w:val="63D462B1"/>
    <w:rsid w:val="641A3596"/>
    <w:rsid w:val="647902D6"/>
    <w:rsid w:val="64D96647"/>
    <w:rsid w:val="655B51E5"/>
    <w:rsid w:val="65E40ADA"/>
    <w:rsid w:val="66330B86"/>
    <w:rsid w:val="66E22203"/>
    <w:rsid w:val="68AA6162"/>
    <w:rsid w:val="68B812C9"/>
    <w:rsid w:val="69D50CF4"/>
    <w:rsid w:val="6C487AFD"/>
    <w:rsid w:val="6CB24363"/>
    <w:rsid w:val="6CF17359"/>
    <w:rsid w:val="6EA93466"/>
    <w:rsid w:val="6FCF0795"/>
    <w:rsid w:val="71381023"/>
    <w:rsid w:val="71696852"/>
    <w:rsid w:val="73714961"/>
    <w:rsid w:val="75382DB6"/>
    <w:rsid w:val="754D1D92"/>
    <w:rsid w:val="758350A9"/>
    <w:rsid w:val="77045F1C"/>
    <w:rsid w:val="79687E1D"/>
    <w:rsid w:val="7B560FD7"/>
    <w:rsid w:val="7B5F74F8"/>
    <w:rsid w:val="7B690630"/>
    <w:rsid w:val="7C5123F4"/>
    <w:rsid w:val="7D040AB6"/>
    <w:rsid w:val="7D2012E9"/>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character" w:customStyle="1" w:styleId="41">
    <w:name w:val="font31"/>
    <w:basedOn w:val="20"/>
    <w:qFormat/>
    <w:uiPriority w:val="0"/>
    <w:rPr>
      <w:rFonts w:hint="eastAsia" w:ascii="宋体" w:hAnsi="宋体" w:eastAsia="宋体" w:cs="宋体"/>
      <w:color w:val="000000"/>
      <w:sz w:val="20"/>
      <w:szCs w:val="20"/>
      <w:u w:val="none"/>
    </w:rPr>
  </w:style>
  <w:style w:type="character" w:customStyle="1" w:styleId="42">
    <w:name w:val="font21"/>
    <w:basedOn w:val="20"/>
    <w:qFormat/>
    <w:uiPriority w:val="0"/>
    <w:rPr>
      <w:rFonts w:hint="default" w:ascii="Alibaba PuHuiTi 2.0" w:hAnsi="Alibaba PuHuiTi 2.0" w:eastAsia="Alibaba PuHuiTi 2.0" w:cs="Alibaba PuHuiTi 2.0"/>
      <w:color w:val="000000"/>
      <w:sz w:val="20"/>
      <w:szCs w:val="20"/>
      <w:u w:val="none"/>
    </w:rPr>
  </w:style>
  <w:style w:type="paragraph" w:customStyle="1" w:styleId="43">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1475</Words>
  <Characters>1603</Characters>
  <Lines>72</Lines>
  <Paragraphs>20</Paragraphs>
  <TotalTime>0</TotalTime>
  <ScaleCrop>false</ScaleCrop>
  <LinksUpToDate>false</LinksUpToDate>
  <CharactersWithSpaces>1667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2026-08-03T08:01:13Z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2AEF012C46F2436B83C79D7930517C78_13</vt:lpwstr>
  </property>
  <property fmtid="{D5CDD505-2E9C-101B-9397-08002B2CF9AE}" pid="4" name="KSOTemplateDocerSaveRecord">
    <vt:lpwstr>eyJoZGlkIjoiYzBmNjVkODg4YTI3YTdkZTY0YmRiY2Y4YmFkMWQ1OTIiLCJ1c2VySWQiOiI2NDE5ODgzNDAifQ==</vt:lpwstr>
  </property>
</Properties>
</file>