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四川省人民医院DRGs系统维护服务采购项目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11</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eastAsia" w:ascii="仿宋" w:hAnsi="仿宋" w:eastAsia="仿宋" w:cs="仿宋"/>
          <w:color w:val="auto"/>
          <w:sz w:val="24"/>
          <w:szCs w:val="24"/>
          <w:highlight w:val="none"/>
        </w:rPr>
      </w:sdtEndPr>
      <w:sdtContent>
        <w:p w14:paraId="7E9FD235">
          <w:pPr>
            <w:spacing w:line="360" w:lineRule="auto"/>
            <w:jc w:val="center"/>
            <w:rPr>
              <w:rFonts w:hint="default" w:ascii="黑体" w:hAnsi="黑体" w:eastAsia="黑体" w:cs="黑体"/>
              <w:color w:val="auto"/>
              <w:sz w:val="32"/>
              <w:szCs w:val="32"/>
              <w:highlight w:val="none"/>
            </w:rPr>
          </w:pPr>
        </w:p>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p>
        <w:p w14:paraId="76DCFF22">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_Toc28953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sz w:val="24"/>
              <w:szCs w:val="24"/>
              <w:highlight w:val="none"/>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_Toc28953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6462E019">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_Toc6175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 xml:space="preserve">第二章 </w:t>
          </w:r>
          <w:r>
            <w:rPr>
              <w:rFonts w:hint="eastAsia" w:ascii="仿宋" w:hAnsi="仿宋" w:eastAsia="仿宋" w:cs="仿宋"/>
              <w:sz w:val="24"/>
              <w:szCs w:val="24"/>
              <w:highlight w:val="none"/>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_Toc6175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1965B4DA">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_Toc14016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eastAsia="zh-TW"/>
            </w:rPr>
            <w:t xml:space="preserve">第三章 </w:t>
          </w:r>
          <w:r>
            <w:rPr>
              <w:rFonts w:hint="eastAsia" w:ascii="仿宋" w:hAnsi="仿宋" w:eastAsia="仿宋" w:cs="仿宋"/>
              <w:bCs/>
              <w:sz w:val="24"/>
              <w:szCs w:val="24"/>
              <w:highlight w:val="none"/>
              <w:lang w:val="zh-TW" w:eastAsia="zh-TW"/>
            </w:rPr>
            <w:t>资格要求</w:t>
          </w:r>
          <w:r>
            <w:rPr>
              <w:rFonts w:hint="eastAsia" w:ascii="仿宋" w:hAnsi="仿宋" w:eastAsia="仿宋" w:cs="仿宋"/>
              <w:bCs/>
              <w:sz w:val="24"/>
              <w:szCs w:val="24"/>
              <w:highlight w:val="none"/>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_Toc14016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4D89CE5F">
          <w:pPr>
            <w:pStyle w:val="11"/>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_Toc16561 </w:instrText>
          </w:r>
          <w:r>
            <w:rPr>
              <w:rFonts w:hint="eastAsia" w:ascii="仿宋" w:hAnsi="仿宋" w:eastAsia="仿宋" w:cs="仿宋"/>
              <w:sz w:val="24"/>
              <w:szCs w:val="24"/>
              <w:highlight w:val="none"/>
            </w:rPr>
            <w:fldChar w:fldCharType="separate"/>
          </w:r>
          <w:r>
            <w:rPr>
              <w:rFonts w:hint="eastAsia" w:ascii="仿宋" w:hAnsi="仿宋" w:eastAsia="仿宋" w:cs="仿宋"/>
              <w:bCs/>
              <w:kern w:val="2"/>
              <w:sz w:val="24"/>
              <w:szCs w:val="24"/>
              <w:highlight w:val="none"/>
              <w:lang w:val="zh-CN" w:eastAsia="zh-CN" w:bidi="ar-SA"/>
            </w:rPr>
            <w:t>一、</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_Toc16561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0D3DFB9F">
          <w:pPr>
            <w:pStyle w:val="11"/>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_Toc20109 </w:instrText>
          </w:r>
          <w:r>
            <w:rPr>
              <w:rFonts w:hint="eastAsia" w:ascii="仿宋" w:hAnsi="仿宋" w:eastAsia="仿宋" w:cs="仿宋"/>
              <w:sz w:val="24"/>
              <w:szCs w:val="24"/>
              <w:highlight w:val="none"/>
            </w:rPr>
            <w:fldChar w:fldCharType="separate"/>
          </w:r>
          <w:r>
            <w:rPr>
              <w:rFonts w:hint="eastAsia" w:ascii="仿宋" w:hAnsi="仿宋" w:eastAsia="仿宋" w:cs="仿宋"/>
              <w:bCs/>
              <w:kern w:val="2"/>
              <w:sz w:val="24"/>
              <w:szCs w:val="24"/>
              <w:highlight w:val="none"/>
              <w:lang w:val="zh-CN" w:eastAsia="zh-CN" w:bidi="ar-SA"/>
            </w:rPr>
            <w:t>二、</w:t>
          </w:r>
          <w:r>
            <w:rPr>
              <w:rFonts w:hint="eastAsia" w:ascii="仿宋" w:hAnsi="仿宋" w:eastAsia="仿宋" w:cs="仿宋"/>
              <w:bCs/>
              <w:sz w:val="24"/>
              <w:szCs w:val="24"/>
              <w:highlight w:val="none"/>
            </w:rPr>
            <w:t>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_Toc20109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4E424A2E">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_Toc19035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rPr>
            <w:t xml:space="preserve">第四章 </w:t>
          </w:r>
          <w:r>
            <w:rPr>
              <w:rFonts w:hint="eastAsia" w:ascii="仿宋" w:hAnsi="仿宋" w:eastAsia="仿宋" w:cs="仿宋"/>
              <w:sz w:val="24"/>
              <w:szCs w:val="24"/>
              <w:highlight w:val="none"/>
              <w:lang w:val="zh-TW"/>
            </w:rPr>
            <w:t>报价文件</w:t>
          </w:r>
          <w:r>
            <w:rPr>
              <w:rFonts w:hint="eastAsia" w:ascii="仿宋" w:hAnsi="仿宋" w:eastAsia="仿宋" w:cs="仿宋"/>
              <w:sz w:val="24"/>
              <w:szCs w:val="24"/>
              <w:highlight w:val="none"/>
              <w:lang w:val="en-US"/>
            </w:rPr>
            <w:t>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_Toc19035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6B51BDF9">
          <w:pPr>
            <w:pStyle w:val="10"/>
            <w:keepNext w:val="0"/>
            <w:keepLines w:val="0"/>
            <w:pageBreakBefore w:val="0"/>
            <w:widowControl w:val="0"/>
            <w:tabs>
              <w:tab w:val="right" w:leader="dot" w:pos="8294"/>
            </w:tabs>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_Toc11645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sz w:val="24"/>
              <w:szCs w:val="24"/>
              <w:highlight w:val="none"/>
              <w:lang w:val="zh-TW" w:eastAsia="zh-TW"/>
            </w:rPr>
            <w:t>合同</w:t>
          </w:r>
          <w:r>
            <w:rPr>
              <w:rFonts w:hint="eastAsia" w:ascii="仿宋" w:hAnsi="仿宋" w:eastAsia="仿宋" w:cs="仿宋"/>
              <w:sz w:val="24"/>
              <w:szCs w:val="24"/>
              <w:highlight w:val="none"/>
              <w:lang w:val="zh-TW"/>
            </w:rPr>
            <w:t>（协议）</w:t>
          </w:r>
          <w:r>
            <w:rPr>
              <w:rFonts w:hint="eastAsia" w:ascii="仿宋" w:hAnsi="仿宋" w:eastAsia="仿宋" w:cs="仿宋"/>
              <w:sz w:val="24"/>
              <w:szCs w:val="24"/>
              <w:highlight w:val="none"/>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_Toc11645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14:paraId="38BE06C9">
          <w:pPr>
            <w:pStyle w:val="10"/>
            <w:tabs>
              <w:tab w:val="right" w:leader="dot" w:pos="8306"/>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2"/>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bookmarkStart w:id="2" w:name="_Toc28953"/>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bookmarkEnd w:id="2"/>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bookmarkStart w:id="51" w:name="_GoBack"/>
            <w:r>
              <w:rPr>
                <w:rFonts w:hint="eastAsia" w:ascii="仿宋" w:hAnsi="仿宋" w:eastAsia="仿宋" w:cs="仿宋"/>
                <w:color w:val="auto"/>
                <w:sz w:val="22"/>
                <w:szCs w:val="22"/>
                <w:highlight w:val="none"/>
                <w:lang w:eastAsia="zh-CN"/>
              </w:rPr>
              <w:t>四川省人民医院DRGs系统维护服务采购项目</w:t>
            </w:r>
            <w:bookmarkEnd w:id="51"/>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CGZX-YXX20261512</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6"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3592E57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w:t>
            </w:r>
            <w:r>
              <w:rPr>
                <w:rFonts w:ascii="仿宋" w:hAnsi="仿宋" w:eastAsia="仿宋" w:cs="仿宋"/>
                <w:color w:val="auto"/>
                <w:sz w:val="22"/>
                <w:szCs w:val="22"/>
                <w:highlight w:val="none"/>
                <w:u w:val="none" w:color="auto"/>
              </w:rPr>
              <w:t>民币</w:t>
            </w:r>
            <w:r>
              <w:rPr>
                <w:rFonts w:hint="eastAsia" w:ascii="仿宋" w:hAnsi="仿宋" w:eastAsia="仿宋" w:cs="仿宋"/>
                <w:color w:val="auto"/>
                <w:sz w:val="22"/>
                <w:szCs w:val="22"/>
                <w:highlight w:val="none"/>
                <w:u w:val="none" w:color="auto"/>
                <w:lang w:val="en-US" w:eastAsia="zh-CN"/>
              </w:rPr>
              <w:t>87000</w:t>
            </w:r>
            <w:r>
              <w:rPr>
                <w:rFonts w:ascii="仿宋" w:hAnsi="仿宋" w:eastAsia="仿宋" w:cs="仿宋"/>
                <w:color w:val="auto"/>
                <w:sz w:val="22"/>
                <w:szCs w:val="22"/>
                <w:highlight w:val="none"/>
                <w:u w:val="none" w:color="auto"/>
              </w:rPr>
              <w:t>元</w:t>
            </w:r>
            <w:r>
              <w:rPr>
                <w:rFonts w:hint="eastAsia" w:ascii="仿宋" w:hAnsi="仿宋" w:eastAsia="仿宋" w:cs="仿宋"/>
                <w:color w:val="auto"/>
                <w:sz w:val="22"/>
                <w:szCs w:val="22"/>
                <w:highlight w:val="none"/>
                <w:u w:val="none" w:color="auto"/>
                <w:lang w:eastAsia="zh-CN"/>
              </w:rPr>
              <w:t>，</w:t>
            </w:r>
            <w:r>
              <w:rPr>
                <w:rFonts w:hint="eastAsia" w:ascii="仿宋" w:hAnsi="仿宋" w:eastAsia="仿宋" w:cs="仿宋"/>
                <w:color w:val="auto"/>
                <w:sz w:val="22"/>
                <w:szCs w:val="22"/>
                <w:highlight w:val="none"/>
                <w:lang w:val="en-US" w:eastAsia="zh-CN"/>
              </w:rPr>
              <w:t>限高单价详见第三章。</w:t>
            </w:r>
          </w:p>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rPr>
              <w:t xml:space="preserve">     </w:t>
            </w:r>
          </w:p>
          <w:p w14:paraId="66C48130">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0C16FB9D">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1333ED46">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A22446F">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王</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87393060</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唐</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113CC27A">
      <w:pPr>
        <w:rPr>
          <w:rStyle w:val="20"/>
          <w:rFonts w:hint="default" w:asciiTheme="majorEastAsia" w:hAnsiTheme="majorEastAsia" w:eastAsiaTheme="majorEastAsia"/>
          <w:b/>
          <w:bCs/>
          <w:color w:val="auto"/>
          <w:szCs w:val="32"/>
          <w:highlight w:val="none"/>
        </w:rPr>
      </w:pPr>
      <w:bookmarkStart w:id="3" w:name="_Toc18086"/>
      <w:bookmarkStart w:id="4" w:name="第二章"/>
      <w:r>
        <w:rPr>
          <w:rStyle w:val="20"/>
          <w:rFonts w:hint="default" w:asciiTheme="majorEastAsia" w:hAnsiTheme="majorEastAsia" w:eastAsiaTheme="majorEastAsia"/>
          <w:b/>
          <w:bCs/>
          <w:color w:val="auto"/>
          <w:szCs w:val="32"/>
          <w:highlight w:val="none"/>
          <w:u w:val="none"/>
        </w:rPr>
        <w:br w:type="page"/>
      </w:r>
    </w:p>
    <w:p w14:paraId="62FD8587">
      <w:pPr>
        <w:pStyle w:val="2"/>
        <w:ind w:firstLine="0"/>
        <w:rPr>
          <w:rStyle w:val="20"/>
          <w:rFonts w:asciiTheme="majorEastAsia" w:hAnsiTheme="majorEastAsia" w:eastAsiaTheme="majorEastAsia"/>
          <w:color w:val="auto"/>
          <w:szCs w:val="32"/>
          <w:highlight w:val="none"/>
        </w:rPr>
      </w:pPr>
      <w:bookmarkStart w:id="5" w:name="_Toc6175"/>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3"/>
      <w:bookmarkEnd w:id="5"/>
    </w:p>
    <w:bookmarkEnd w:id="4"/>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1765" w:type="dxa"/>
            <w:tcBorders>
              <w:top w:val="single" w:color="auto" w:sz="18" w:space="0"/>
            </w:tcBorders>
            <w:vAlign w:val="center"/>
          </w:tcPr>
          <w:p w14:paraId="03C48317">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应知事项</w:t>
            </w:r>
          </w:p>
        </w:tc>
        <w:tc>
          <w:tcPr>
            <w:tcW w:w="6801" w:type="dxa"/>
            <w:tcBorders>
              <w:top w:val="single" w:color="auto" w:sz="18" w:space="0"/>
            </w:tcBorders>
            <w:vAlign w:val="center"/>
          </w:tcPr>
          <w:p w14:paraId="24E5B32B">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004AE99C">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14:paraId="2EF67B45">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作无效。</w:t>
            </w:r>
          </w:p>
          <w:p w14:paraId="40E3C382">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rPr>
              <w:t>报价</w:t>
            </w:r>
            <w:r>
              <w:rPr>
                <w:rFonts w:hint="eastAsia" w:ascii="仿宋" w:hAnsi="仿宋" w:eastAsia="仿宋" w:cs="仿宋"/>
                <w:color w:val="auto"/>
                <w:sz w:val="22"/>
                <w:szCs w:val="22"/>
                <w:highlight w:val="none"/>
                <w:lang w:val="zh-TW" w:eastAsia="zh-TW"/>
              </w:rPr>
              <w:t>不可撤回。</w:t>
            </w:r>
          </w:p>
          <w:p w14:paraId="7CD029F7">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14:paraId="58E6DD78">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10B913F">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编制要求</w:t>
            </w:r>
          </w:p>
        </w:tc>
        <w:tc>
          <w:tcPr>
            <w:tcW w:w="6801" w:type="dxa"/>
            <w:tcBorders>
              <w:bottom w:val="single" w:color="auto" w:sz="4" w:space="0"/>
            </w:tcBorders>
            <w:vAlign w:val="center"/>
          </w:tcPr>
          <w:p w14:paraId="23CFEB5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(1)报价文件格式：详见本采购文件第四章。</w:t>
            </w:r>
          </w:p>
          <w:p w14:paraId="7A85219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(2)报价文件语言：</w:t>
            </w:r>
          </w:p>
          <w:p w14:paraId="60661FF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1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①</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D57715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评审要求</w:t>
            </w:r>
          </w:p>
        </w:tc>
        <w:tc>
          <w:tcPr>
            <w:tcW w:w="6801" w:type="dxa"/>
            <w:tcBorders>
              <w:bottom w:val="single" w:color="auto" w:sz="4" w:space="0"/>
            </w:tcBorders>
            <w:vAlign w:val="center"/>
          </w:tcPr>
          <w:p w14:paraId="5EA463C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（3）异常低价情形：</w:t>
            </w:r>
          </w:p>
          <w:p w14:paraId="1CF625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1）如评审过程中认定评审过程中出现下列情形之一的，应启动异常低价响应审查程序</w:t>
            </w:r>
          </w:p>
          <w:p w14:paraId="2A1836A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①响应报价低于全部通过符合性审查供应商响应报价平均值50％的，即响应报价＜全部通过符合性审查供应商响应报价平均值×50％；</w:t>
            </w:r>
          </w:p>
          <w:p w14:paraId="7DF57F8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②响应报价低于通过符合性审查的次低报价供应商响应报价50％的，即响应报价＜通过符合性审查的次低报价供应商响应报价×50％；</w:t>
            </w:r>
          </w:p>
          <w:p w14:paraId="4E2B5116">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③响应报价低于采购项目最高限价45％的，即响应报价＜采购项目最高限价×45％；</w:t>
            </w:r>
          </w:p>
          <w:p w14:paraId="6ED2A56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④评审时基于专业判断，认为供应商报价过低，有可能影响产品质量或者不能诚信履约的其他情形。</w:t>
            </w:r>
          </w:p>
          <w:p w14:paraId="2220A6F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采购人可以结合具体项目实际情况，提高上述第①项至第③项中启动异常低价响应审查的数值标准，但是最高不得超过65%。</w:t>
            </w:r>
          </w:p>
          <w:p w14:paraId="59B2AB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相关法律法规对供应商报价有规定的，从其规定。</w:t>
            </w:r>
          </w:p>
          <w:p w14:paraId="367D340C">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2）异常低价响应审查程序：</w:t>
            </w:r>
          </w:p>
          <w:p w14:paraId="7C42851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②评审时应当结合同类产品电商平台价格、行业薪资水平、历史成交价格等信息，对供应商成本构成说明材料进行核查，判断报价合理性。</w:t>
            </w:r>
          </w:p>
          <w:p w14:paraId="5673955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③供应商未按要求提交成本构成说明材料，或者提交的材料不能证明其报价合理性的，评审时应当将其响应作无效响应处理。</w:t>
            </w:r>
          </w:p>
          <w:p w14:paraId="2B3578C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D97ECB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货物质量要求</w:t>
            </w:r>
          </w:p>
        </w:tc>
        <w:tc>
          <w:tcPr>
            <w:tcW w:w="6801" w:type="dxa"/>
            <w:vAlign w:val="center"/>
          </w:tcPr>
          <w:p w14:paraId="686151E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691B4B72">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服务质量要求</w:t>
            </w:r>
          </w:p>
        </w:tc>
        <w:tc>
          <w:tcPr>
            <w:tcW w:w="6801" w:type="dxa"/>
            <w:vAlign w:val="center"/>
          </w:tcPr>
          <w:p w14:paraId="572A567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(2)若出现质量问题，中选供应商负责按照采购人要求承担相应的经济和法律责任。</w:t>
            </w:r>
          </w:p>
          <w:p w14:paraId="06BE727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F3223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知识产权要求</w:t>
            </w:r>
          </w:p>
        </w:tc>
        <w:tc>
          <w:tcPr>
            <w:tcW w:w="6801" w:type="dxa"/>
            <w:vAlign w:val="center"/>
          </w:tcPr>
          <w:p w14:paraId="4974ABD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75A9D60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纪律要求</w:t>
            </w:r>
          </w:p>
        </w:tc>
        <w:tc>
          <w:tcPr>
            <w:tcW w:w="6801" w:type="dxa"/>
            <w:vAlign w:val="center"/>
          </w:tcPr>
          <w:p w14:paraId="0F83BD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(1)供应商在参与采购活动过程中，不得有任何违法乱纪的行为。</w:t>
            </w:r>
          </w:p>
          <w:p w14:paraId="4C02243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(2)若报价文件存在虚假响应，将作无效处理，若是中选后发现的，采购人将取消中选资格。</w:t>
            </w:r>
          </w:p>
          <w:p w14:paraId="093330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72EEFA4">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采购文件的澄清、更正</w:t>
            </w:r>
          </w:p>
        </w:tc>
        <w:tc>
          <w:tcPr>
            <w:tcW w:w="6801" w:type="dxa"/>
            <w:vAlign w:val="center"/>
          </w:tcPr>
          <w:p w14:paraId="7EAC1C6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AF440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供应商质疑</w:t>
            </w:r>
          </w:p>
        </w:tc>
        <w:tc>
          <w:tcPr>
            <w:tcW w:w="6801" w:type="dxa"/>
            <w:vAlign w:val="center"/>
          </w:tcPr>
          <w:p w14:paraId="1DD1B476">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w:t>
            </w:r>
          </w:p>
          <w:p w14:paraId="7F370FC4">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1.供应商质疑不得超出采购文件、采购过程、采购结果的范围；</w:t>
            </w:r>
          </w:p>
          <w:p w14:paraId="7E64D613">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2.供应商针对同一采购程序环节的质疑应一次性提出；</w:t>
            </w:r>
          </w:p>
          <w:p w14:paraId="7D758B1D">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3.质疑相关资料要求：</w:t>
            </w:r>
          </w:p>
          <w:p w14:paraId="2166CD4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（1）质疑函：明确具体质疑事项、事实依据和法律依据，质疑请求。</w:t>
            </w:r>
          </w:p>
          <w:p w14:paraId="7FDCD18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（2）授权委托书：供应商若委托代理人进行质疑的提供授权委托书，授权委托书应载明代理人的姓名或者名称、代理事项、具体权限、期限等相关事项。</w:t>
            </w:r>
          </w:p>
          <w:p w14:paraId="555E707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5E2ABB71">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中选公告及合同签订</w:t>
            </w:r>
          </w:p>
        </w:tc>
        <w:tc>
          <w:tcPr>
            <w:tcW w:w="6801" w:type="dxa"/>
            <w:vAlign w:val="center"/>
          </w:tcPr>
          <w:p w14:paraId="2865D6F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rPr>
              <w:t>选</w:t>
            </w:r>
            <w:r>
              <w:rPr>
                <w:rFonts w:hint="eastAsia" w:ascii="仿宋" w:hAnsi="仿宋" w:eastAsia="仿宋" w:cs="仿宋"/>
                <w:color w:val="auto"/>
                <w:sz w:val="22"/>
                <w:szCs w:val="22"/>
                <w:highlight w:val="none"/>
                <w:lang w:val="zh-CN"/>
              </w:rPr>
              <w:t>公告；</w:t>
            </w:r>
          </w:p>
          <w:p w14:paraId="65F561D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3060</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供应商的原因逾期未与采购人签订采购合同的，将视为放弃</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，取消其</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资格并将按相关规定进行处理。</w:t>
            </w:r>
          </w:p>
          <w:p w14:paraId="3175F73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（4）若中选供应商以非正当理由放弃中选，3年内不得参与本单位的采购项目。</w:t>
            </w:r>
          </w:p>
          <w:p w14:paraId="15994DF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TW" w:eastAsia="zh-TW"/>
              </w:rPr>
              <w:t>个工作日内</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应保证或选文件中所写明的法定代表人或委托代理人的</w:t>
            </w:r>
            <w:r>
              <w:rPr>
                <w:rFonts w:hint="eastAsia" w:ascii="仿宋" w:hAnsi="仿宋" w:eastAsia="仿宋" w:cs="仿宋"/>
                <w:color w:val="auto"/>
                <w:sz w:val="22"/>
                <w:szCs w:val="22"/>
                <w:highlight w:val="none"/>
                <w:lang w:val="zh-TW"/>
              </w:rPr>
              <w:t>联系方式的畅通，并确保其具备与采购人就本项目进行沟通的条件</w:t>
            </w:r>
            <w:r>
              <w:rPr>
                <w:rFonts w:hint="eastAsia"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320850EB">
            <w:pPr>
              <w:pStyle w:val="31"/>
              <w:keepNext w:val="0"/>
              <w:keepLines w:val="0"/>
              <w:pageBreakBefore w:val="0"/>
              <w:widowControl w:val="0"/>
              <w:kinsoku/>
              <w:overflowPunct/>
              <w:bidi w:val="0"/>
              <w:adjustRightInd w:val="0"/>
              <w:snapToGrid w:val="0"/>
              <w:spacing w:line="360" w:lineRule="auto"/>
              <w:ind w:left="0" w:leftChars="0" w:firstLine="0" w:firstLineChars="0"/>
              <w:jc w:val="left"/>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总体说明</w:t>
            </w:r>
          </w:p>
        </w:tc>
        <w:tc>
          <w:tcPr>
            <w:tcW w:w="6801" w:type="dxa"/>
            <w:vAlign w:val="center"/>
          </w:tcPr>
          <w:p w14:paraId="04150F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(1)参与询比价产生的一切费用由供应商自行承担。</w:t>
            </w:r>
          </w:p>
          <w:p w14:paraId="36F8E53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(2)本采购文件中的条款为实质性要求，供应商必须符合和满足，否则将视为无效响应处理。</w:t>
            </w:r>
          </w:p>
          <w:p w14:paraId="057DA26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14:paraId="3FCC313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(4)本文件中的“供应商”系指获取了本项目采购文件，拟参与本次询比价采购活动的潜在供应商。</w:t>
            </w:r>
          </w:p>
          <w:p w14:paraId="1788149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14:paraId="5A8AE55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6"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2"/>
        <w:ind w:firstLine="0"/>
        <w:rPr>
          <w:rStyle w:val="20"/>
          <w:rFonts w:asciiTheme="majorEastAsia" w:hAnsiTheme="majorEastAsia" w:eastAsiaTheme="majorEastAsia"/>
          <w:color w:val="auto"/>
          <w:sz w:val="32"/>
          <w:szCs w:val="32"/>
          <w:highlight w:val="none"/>
          <w:u w:val="none"/>
          <w:lang w:eastAsia="zh-TW"/>
        </w:rPr>
      </w:pPr>
      <w:bookmarkStart w:id="7" w:name="_Toc14016"/>
      <w:bookmarkStart w:id="8"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7"/>
      <w:bookmarkEnd w:id="8"/>
    </w:p>
    <w:bookmarkEnd w:id="6"/>
    <w:p w14:paraId="50F41384">
      <w:pPr>
        <w:pStyle w:val="3"/>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9" w:name="_Toc16561"/>
      <w:bookmarkStart w:id="10"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9"/>
      <w:bookmarkEnd w:id="10"/>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8"/>
        <w:gridCol w:w="1773"/>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3"/>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11" w:name="_Toc20109"/>
      <w:bookmarkStart w:id="12"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11"/>
      <w:bookmarkEnd w:id="12"/>
    </w:p>
    <w:p w14:paraId="686EFE35">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587B7C22">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2"/>
          <w:sz w:val="24"/>
          <w:szCs w:val="24"/>
          <w:highlight w:val="none"/>
          <w:u w:color="000000"/>
          <w:lang w:val="en-US" w:eastAsia="zh-CN" w:bidi="ar-SA"/>
        </w:rPr>
        <w:t>1.1</w:t>
      </w:r>
      <w:r>
        <w:rPr>
          <w:rStyle w:val="47"/>
          <w:rFonts w:hint="eastAsia" w:ascii="仿宋" w:hAnsi="仿宋" w:eastAsia="仿宋" w:cs="仿宋"/>
          <w:b/>
          <w:bCs/>
          <w:color w:val="auto"/>
          <w:kern w:val="2"/>
          <w:sz w:val="24"/>
          <w:szCs w:val="24"/>
          <w:highlight w:val="none"/>
          <w:lang w:val="en-US" w:eastAsia="zh-CN"/>
        </w:rPr>
        <w:t>采购</w:t>
      </w:r>
      <w:r>
        <w:rPr>
          <w:rStyle w:val="47"/>
          <w:rFonts w:hint="eastAsia" w:ascii="仿宋" w:hAnsi="仿宋" w:eastAsia="仿宋" w:cs="仿宋"/>
          <w:b/>
          <w:bCs/>
          <w:color w:val="auto"/>
          <w:kern w:val="2"/>
          <w:sz w:val="24"/>
          <w:szCs w:val="24"/>
          <w:highlight w:val="none"/>
        </w:rPr>
        <w:t>清单</w:t>
      </w:r>
    </w:p>
    <w:tbl>
      <w:tblPr>
        <w:tblStyle w:val="1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76"/>
        <w:gridCol w:w="2248"/>
        <w:gridCol w:w="3103"/>
        <w:gridCol w:w="856"/>
        <w:gridCol w:w="1039"/>
        <w:gridCol w:w="1610"/>
      </w:tblGrid>
      <w:tr w14:paraId="23C94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03"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A4E83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序号</w:t>
            </w:r>
          </w:p>
        </w:tc>
        <w:tc>
          <w:tcPr>
            <w:tcW w:w="116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54EBA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品名</w:t>
            </w:r>
          </w:p>
        </w:tc>
        <w:tc>
          <w:tcPr>
            <w:tcW w:w="1610"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2F988F">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详细描述</w:t>
            </w:r>
          </w:p>
        </w:tc>
        <w:tc>
          <w:tcPr>
            <w:tcW w:w="444"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78CC5A">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数量</w:t>
            </w:r>
          </w:p>
        </w:tc>
        <w:tc>
          <w:tcPr>
            <w:tcW w:w="539"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508430">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单位</w:t>
            </w:r>
          </w:p>
        </w:tc>
        <w:tc>
          <w:tcPr>
            <w:tcW w:w="835"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F77C9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限高单价（元）</w:t>
            </w:r>
          </w:p>
        </w:tc>
      </w:tr>
      <w:tr w14:paraId="6D40A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03"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FF8C1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1</w:t>
            </w:r>
          </w:p>
        </w:tc>
        <w:tc>
          <w:tcPr>
            <w:tcW w:w="1166"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4664BCB">
            <w:pPr>
              <w:pStyle w:val="12"/>
              <w:jc w:val="center"/>
              <w:rPr>
                <w:rFonts w:hint="eastAsia" w:ascii="仿宋" w:hAnsi="仿宋" w:eastAsia="仿宋" w:cs="仿宋"/>
                <w:b w:val="0"/>
                <w:bCs/>
                <w:kern w:val="0"/>
                <w:sz w:val="24"/>
                <w:szCs w:val="24"/>
                <w:u w:val="none" w:color="auto"/>
                <w:lang w:val="en-US" w:eastAsia="zh-CN" w:bidi="ar"/>
              </w:rPr>
            </w:pPr>
            <w:r>
              <w:rPr>
                <w:rFonts w:hint="eastAsia" w:ascii="仿宋" w:hAnsi="仿宋" w:eastAsia="仿宋" w:cs="仿宋"/>
                <w:b w:val="0"/>
                <w:bCs/>
                <w:kern w:val="0"/>
                <w:sz w:val="24"/>
                <w:szCs w:val="24"/>
                <w:u w:val="none" w:color="auto"/>
                <w:lang w:val="en-US" w:eastAsia="zh-CN" w:bidi="ar"/>
              </w:rPr>
              <w:t>四川省人民医院DRGs系统维护服务</w:t>
            </w:r>
          </w:p>
        </w:tc>
        <w:tc>
          <w:tcPr>
            <w:tcW w:w="161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1610CC">
            <w:pPr>
              <w:pStyle w:val="12"/>
              <w:jc w:val="both"/>
              <w:rPr>
                <w:rFonts w:hint="eastAsia" w:ascii="仿宋" w:hAnsi="仿宋" w:eastAsia="仿宋" w:cs="仿宋"/>
                <w:b w:val="0"/>
                <w:bCs/>
                <w:kern w:val="0"/>
                <w:sz w:val="24"/>
                <w:szCs w:val="24"/>
                <w:u w:val="none" w:color="auto"/>
                <w:lang w:val="en-US" w:eastAsia="zh-CN" w:bidi="ar"/>
              </w:rPr>
            </w:pPr>
            <w:r>
              <w:rPr>
                <w:rFonts w:hint="eastAsia" w:ascii="仿宋" w:hAnsi="仿宋" w:eastAsia="仿宋" w:cs="仿宋"/>
                <w:b w:val="0"/>
                <w:bCs w:val="0"/>
                <w:sz w:val="24"/>
                <w:szCs w:val="24"/>
                <w:u w:val="none" w:color="auto"/>
                <w:lang w:val="en-US" w:eastAsia="zh-CN"/>
              </w:rPr>
              <w:t>保障DRGs系统持续稳定、合规、高效运行。原系统的名称：DRGs院内版</w:t>
            </w:r>
            <w:r>
              <w:rPr>
                <w:rFonts w:hint="eastAsia" w:ascii="仿宋" w:hAnsi="仿宋" w:eastAsia="仿宋" w:cs="仿宋"/>
                <w:b w:val="0"/>
                <w:bCs w:val="0"/>
                <w:sz w:val="24"/>
                <w:szCs w:val="24"/>
                <w:u w:val="none" w:color="auto"/>
                <w:lang w:val="en-US" w:eastAsia="zh-CN"/>
              </w:rPr>
              <w:t>；</w:t>
            </w:r>
            <w:r>
              <w:rPr>
                <w:rFonts w:hint="eastAsia" w:ascii="仿宋" w:hAnsi="仿宋" w:eastAsia="仿宋" w:cs="仿宋"/>
                <w:b w:val="0"/>
                <w:bCs w:val="0"/>
                <w:sz w:val="24"/>
                <w:szCs w:val="24"/>
                <w:u w:val="none" w:color="auto"/>
                <w:lang w:val="en-US" w:eastAsia="zh-CN"/>
              </w:rPr>
              <w:t>版本号：V4.0</w:t>
            </w:r>
            <w:r>
              <w:rPr>
                <w:rFonts w:hint="eastAsia" w:ascii="仿宋" w:hAnsi="仿宋" w:eastAsia="仿宋" w:cs="仿宋"/>
                <w:b w:val="0"/>
                <w:bCs w:val="0"/>
                <w:sz w:val="24"/>
                <w:szCs w:val="24"/>
                <w:u w:val="none" w:color="auto"/>
                <w:lang w:val="en-US" w:eastAsia="zh-CN"/>
              </w:rPr>
              <w:t>；</w:t>
            </w:r>
            <w:r>
              <w:rPr>
                <w:rFonts w:hint="eastAsia" w:ascii="仿宋" w:hAnsi="仿宋" w:eastAsia="仿宋" w:cs="仿宋"/>
                <w:b w:val="0"/>
                <w:bCs w:val="0"/>
                <w:sz w:val="24"/>
                <w:szCs w:val="24"/>
                <w:u w:val="none" w:color="auto"/>
                <w:lang w:val="en-US" w:eastAsia="zh-CN"/>
              </w:rPr>
              <w:t>生产厂家：上海联众网络信息股份有限公司</w:t>
            </w:r>
          </w:p>
        </w:tc>
        <w:tc>
          <w:tcPr>
            <w:tcW w:w="444"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366C2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u w:val="none" w:color="auto"/>
                <w:lang w:val="en-US" w:eastAsia="zh-CN" w:bidi="ar"/>
              </w:rPr>
            </w:pPr>
            <w:r>
              <w:rPr>
                <w:rFonts w:hint="eastAsia" w:ascii="仿宋" w:hAnsi="仿宋" w:eastAsia="仿宋" w:cs="仿宋"/>
                <w:b w:val="0"/>
                <w:bCs w:val="0"/>
                <w:color w:val="auto"/>
                <w:sz w:val="24"/>
                <w:szCs w:val="24"/>
                <w:highlight w:val="none"/>
                <w:lang w:val="en-US" w:eastAsia="zh-CN"/>
              </w:rPr>
              <w:t>1</w:t>
            </w:r>
          </w:p>
        </w:tc>
        <w:tc>
          <w:tcPr>
            <w:tcW w:w="53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15671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0"/>
                <w:sz w:val="24"/>
                <w:szCs w:val="24"/>
                <w:u w:val="none" w:color="auto"/>
                <w:lang w:val="en-US" w:eastAsia="zh-CN" w:bidi="ar"/>
              </w:rPr>
            </w:pPr>
            <w:r>
              <w:rPr>
                <w:rFonts w:hint="eastAsia" w:ascii="仿宋" w:hAnsi="仿宋" w:eastAsia="仿宋" w:cs="仿宋"/>
                <w:color w:val="auto"/>
                <w:sz w:val="24"/>
                <w:szCs w:val="24"/>
                <w:highlight w:val="none"/>
                <w:lang w:val="en-US" w:eastAsia="zh-CN"/>
              </w:rPr>
              <w:t>项</w:t>
            </w:r>
          </w:p>
        </w:tc>
        <w:tc>
          <w:tcPr>
            <w:tcW w:w="83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EDF162">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u w:val="none" w:color="auto"/>
                <w:lang w:val="en-US" w:eastAsia="zh-CN" w:bidi="ar"/>
              </w:rPr>
            </w:pPr>
            <w:r>
              <w:rPr>
                <w:rFonts w:hint="eastAsia" w:ascii="仿宋" w:hAnsi="仿宋" w:eastAsia="仿宋" w:cs="仿宋"/>
                <w:kern w:val="0"/>
                <w:sz w:val="24"/>
                <w:szCs w:val="24"/>
                <w:u w:val="none" w:color="auto"/>
                <w:lang w:val="en-US" w:eastAsia="zh-CN" w:bidi="ar"/>
              </w:rPr>
              <w:t>87000</w:t>
            </w:r>
          </w:p>
        </w:tc>
      </w:tr>
    </w:tbl>
    <w:p w14:paraId="0D44EFC6">
      <w:pPr>
        <w:pStyle w:val="5"/>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336"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1.2接口清单</w:t>
      </w:r>
    </w:p>
    <w:p w14:paraId="5BC80749">
      <w:pPr>
        <w:pStyle w:val="5"/>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336" w:lineRule="auto"/>
        <w:ind w:left="0" w:leftChars="0" w:firstLine="480" w:firstLineChars="20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无。</w:t>
      </w:r>
    </w:p>
    <w:p w14:paraId="63A6868D">
      <w:pPr>
        <w:pStyle w:val="5"/>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336" w:lineRule="auto"/>
        <w:ind w:left="0" w:leftChars="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2.技术、服务</w:t>
      </w:r>
      <w:r>
        <w:rPr>
          <w:rFonts w:hint="eastAsia" w:ascii="仿宋" w:hAnsi="仿宋" w:eastAsia="仿宋" w:cs="仿宋"/>
          <w:b/>
          <w:bCs/>
          <w:color w:val="auto"/>
          <w:sz w:val="24"/>
          <w:szCs w:val="24"/>
          <w:highlight w:val="none"/>
        </w:rPr>
        <w:t>要求</w:t>
      </w:r>
    </w:p>
    <w:p w14:paraId="3D9E1749">
      <w:pPr>
        <w:keepNext w:val="0"/>
        <w:keepLines w:val="0"/>
        <w:pageBreakBefore w:val="0"/>
        <w:kinsoku/>
        <w:wordWrap/>
        <w:overflowPunct/>
        <w:topLinePunct w:val="0"/>
        <w:autoSpaceDE/>
        <w:autoSpaceDN/>
        <w:bidi w:val="0"/>
        <w:adjustRightInd w:val="0"/>
        <w:snapToGrid w:val="0"/>
        <w:spacing w:beforeAutospacing="0" w:afterAutospacing="0" w:line="336" w:lineRule="auto"/>
        <w:ind w:left="0" w:leftChars="0" w:firstLine="0" w:firstLineChars="0"/>
        <w:textAlignment w:val="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2.1技术要求</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2"/>
        <w:gridCol w:w="1746"/>
        <w:gridCol w:w="7170"/>
      </w:tblGrid>
      <w:tr w14:paraId="384D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190607B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b/>
                <w:bCs w:val="0"/>
                <w:color w:val="auto"/>
                <w:kern w:val="0"/>
                <w:sz w:val="24"/>
                <w:szCs w:val="24"/>
                <w:lang w:val="en-US" w:eastAsia="zh-CN" w:bidi="ar"/>
              </w:rPr>
            </w:pPr>
            <w:r>
              <w:rPr>
                <w:rStyle w:val="17"/>
                <w:rFonts w:hint="eastAsia" w:ascii="仿宋" w:hAnsi="仿宋" w:eastAsia="仿宋" w:cs="仿宋"/>
                <w:b/>
                <w:bCs w:val="0"/>
                <w:color w:val="auto"/>
                <w:kern w:val="0"/>
                <w:sz w:val="24"/>
                <w:szCs w:val="24"/>
                <w:lang w:val="en-US" w:eastAsia="zh-CN" w:bidi="ar"/>
              </w:rPr>
              <w:t>序号</w:t>
            </w:r>
          </w:p>
        </w:tc>
        <w:tc>
          <w:tcPr>
            <w:tcW w:w="1545" w:type="dxa"/>
            <w:shd w:val="clear" w:color="auto" w:fill="auto"/>
            <w:tcMar>
              <w:top w:w="0" w:type="dxa"/>
              <w:left w:w="105" w:type="dxa"/>
              <w:bottom w:w="0" w:type="dxa"/>
              <w:right w:w="105" w:type="dxa"/>
            </w:tcMar>
            <w:vAlign w:val="center"/>
          </w:tcPr>
          <w:p w14:paraId="2741FDD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b/>
                <w:bCs w:val="0"/>
                <w:color w:val="auto"/>
                <w:kern w:val="0"/>
                <w:sz w:val="24"/>
                <w:szCs w:val="24"/>
                <w:lang w:val="en-US" w:eastAsia="zh-CN" w:bidi="ar"/>
              </w:rPr>
            </w:pPr>
            <w:r>
              <w:rPr>
                <w:rFonts w:hint="eastAsia" w:ascii="仿宋" w:hAnsi="仿宋" w:eastAsia="仿宋" w:cs="仿宋"/>
                <w:b/>
                <w:bCs w:val="0"/>
                <w:color w:val="auto"/>
                <w:kern w:val="0"/>
                <w:sz w:val="24"/>
                <w:szCs w:val="24"/>
                <w:lang w:val="en-US" w:eastAsia="zh-CN" w:bidi="ar"/>
              </w:rPr>
              <w:t>功能</w:t>
            </w:r>
          </w:p>
        </w:tc>
        <w:tc>
          <w:tcPr>
            <w:tcW w:w="6345" w:type="dxa"/>
            <w:shd w:val="clear" w:color="auto" w:fill="auto"/>
            <w:tcMar>
              <w:top w:w="0" w:type="dxa"/>
              <w:left w:w="105" w:type="dxa"/>
              <w:bottom w:w="0" w:type="dxa"/>
              <w:right w:w="105" w:type="dxa"/>
            </w:tcMar>
            <w:vAlign w:val="center"/>
          </w:tcPr>
          <w:p w14:paraId="6DDEF284">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b/>
                <w:bCs w:val="0"/>
                <w:color w:val="auto"/>
                <w:kern w:val="0"/>
                <w:sz w:val="24"/>
                <w:szCs w:val="24"/>
                <w:lang w:val="en-US" w:eastAsia="zh-CN" w:bidi="ar"/>
              </w:rPr>
            </w:pPr>
            <w:r>
              <w:rPr>
                <w:rStyle w:val="17"/>
                <w:rFonts w:hint="eastAsia" w:ascii="仿宋" w:hAnsi="仿宋" w:eastAsia="仿宋" w:cs="仿宋"/>
                <w:b/>
                <w:bCs w:val="0"/>
                <w:color w:val="auto"/>
                <w:kern w:val="0"/>
                <w:sz w:val="24"/>
                <w:szCs w:val="24"/>
                <w:lang w:val="en-US" w:eastAsia="zh-CN" w:bidi="ar"/>
              </w:rPr>
              <w:t>参数</w:t>
            </w:r>
          </w:p>
        </w:tc>
      </w:tr>
      <w:tr w14:paraId="64FA4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724CD563">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1</w:t>
            </w:r>
          </w:p>
        </w:tc>
        <w:tc>
          <w:tcPr>
            <w:tcW w:w="1545" w:type="dxa"/>
            <w:shd w:val="clear" w:color="auto" w:fill="auto"/>
            <w:tcMar>
              <w:top w:w="0" w:type="dxa"/>
              <w:left w:w="105" w:type="dxa"/>
              <w:bottom w:w="0" w:type="dxa"/>
              <w:right w:w="105" w:type="dxa"/>
            </w:tcMar>
            <w:vAlign w:val="center"/>
          </w:tcPr>
          <w:p w14:paraId="5E63DA86">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数据审核维护</w:t>
            </w:r>
          </w:p>
        </w:tc>
        <w:tc>
          <w:tcPr>
            <w:tcW w:w="6345" w:type="dxa"/>
            <w:shd w:val="clear" w:color="auto" w:fill="auto"/>
            <w:tcMar>
              <w:top w:w="0" w:type="dxa"/>
              <w:left w:w="105" w:type="dxa"/>
              <w:bottom w:w="0" w:type="dxa"/>
              <w:right w:w="105" w:type="dxa"/>
            </w:tcMar>
            <w:vAlign w:val="center"/>
          </w:tcPr>
          <w:p w14:paraId="2053A889">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对完整性、合理性、准确性审核规则进行更新维护，包含:无效主诊、非标准编码、新生儿诊断错误、性别与诊断不匹配等DRG审核内容。</w:t>
            </w:r>
          </w:p>
        </w:tc>
      </w:tr>
      <w:tr w14:paraId="76F39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19A02284">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2</w:t>
            </w:r>
          </w:p>
        </w:tc>
        <w:tc>
          <w:tcPr>
            <w:tcW w:w="1545" w:type="dxa"/>
            <w:shd w:val="clear" w:color="auto" w:fill="auto"/>
            <w:tcMar>
              <w:top w:w="0" w:type="dxa"/>
              <w:left w:w="105" w:type="dxa"/>
              <w:bottom w:w="0" w:type="dxa"/>
              <w:right w:w="105" w:type="dxa"/>
            </w:tcMar>
            <w:vAlign w:val="center"/>
          </w:tcPr>
          <w:p w14:paraId="2A2C50D1">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基本数据审核</w:t>
            </w:r>
          </w:p>
        </w:tc>
        <w:tc>
          <w:tcPr>
            <w:tcW w:w="6345" w:type="dxa"/>
            <w:shd w:val="clear" w:color="auto" w:fill="auto"/>
            <w:tcMar>
              <w:top w:w="0" w:type="dxa"/>
              <w:left w:w="105" w:type="dxa"/>
              <w:bottom w:w="0" w:type="dxa"/>
              <w:right w:w="105" w:type="dxa"/>
            </w:tcMar>
            <w:vAlign w:val="center"/>
          </w:tcPr>
          <w:p w14:paraId="268CCCA6">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针对上传的数据文件格式、字段格式、字段要求的值域等进行基本审核，反馈审核结果等功能与规则维护。</w:t>
            </w:r>
          </w:p>
        </w:tc>
      </w:tr>
      <w:tr w14:paraId="4D2F1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6CB60EDB">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3</w:t>
            </w:r>
          </w:p>
        </w:tc>
        <w:tc>
          <w:tcPr>
            <w:tcW w:w="1545" w:type="dxa"/>
            <w:shd w:val="clear" w:color="auto" w:fill="auto"/>
            <w:tcMar>
              <w:top w:w="0" w:type="dxa"/>
              <w:left w:w="105" w:type="dxa"/>
              <w:bottom w:w="0" w:type="dxa"/>
              <w:right w:w="105" w:type="dxa"/>
            </w:tcMar>
            <w:vAlign w:val="center"/>
          </w:tcPr>
          <w:p w14:paraId="46E8D3A4">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DRG数据审核</w:t>
            </w:r>
          </w:p>
        </w:tc>
        <w:tc>
          <w:tcPr>
            <w:tcW w:w="6345" w:type="dxa"/>
            <w:shd w:val="clear" w:color="auto" w:fill="auto"/>
            <w:tcMar>
              <w:top w:w="0" w:type="dxa"/>
              <w:left w:w="105" w:type="dxa"/>
              <w:bottom w:w="0" w:type="dxa"/>
              <w:right w:w="105" w:type="dxa"/>
            </w:tcMar>
            <w:vAlign w:val="center"/>
          </w:tcPr>
          <w:p w14:paraId="0D4F562D">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通过基本审核的数据，针对DRG分组的需要，对审核规则进行维护:1.不规范诊断；2.非标准编码；3.无效主诊断；4.无效主手术；5.手术部位未指明；6.与年龄/体重不符合的新生儿诊断；7.非新生儿主要诊断错误；8.无死亡风险主要诊断转归死亡；9.诊断编码性别错误-男性；10.诊断编码性别错误-女性；11.手术编码性别错误-男性；12.手术编码性别错误-女性；13. 0-17岁儿童诊断编码错误。</w:t>
            </w:r>
          </w:p>
        </w:tc>
      </w:tr>
      <w:tr w14:paraId="53C9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6A7EC802">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4</w:t>
            </w:r>
          </w:p>
        </w:tc>
        <w:tc>
          <w:tcPr>
            <w:tcW w:w="1545" w:type="dxa"/>
            <w:shd w:val="clear" w:color="auto" w:fill="auto"/>
            <w:tcMar>
              <w:top w:w="0" w:type="dxa"/>
              <w:left w:w="105" w:type="dxa"/>
              <w:bottom w:w="0" w:type="dxa"/>
              <w:right w:w="105" w:type="dxa"/>
            </w:tcMar>
            <w:vAlign w:val="center"/>
          </w:tcPr>
          <w:p w14:paraId="54BC7239">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分组器维护</w:t>
            </w:r>
          </w:p>
        </w:tc>
        <w:tc>
          <w:tcPr>
            <w:tcW w:w="6345" w:type="dxa"/>
            <w:shd w:val="clear" w:color="auto" w:fill="auto"/>
            <w:tcMar>
              <w:top w:w="0" w:type="dxa"/>
              <w:left w:w="105" w:type="dxa"/>
              <w:bottom w:w="0" w:type="dxa"/>
              <w:right w:w="105" w:type="dxa"/>
            </w:tcMar>
            <w:vAlign w:val="center"/>
          </w:tcPr>
          <w:p w14:paraId="7C381DF2">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乙方需完全掌握甲方现有分组器规则，定期对甲方现有的DRG分组器分组规则进行实时优化和维护，调整某些DRG组的权重值等。</w:t>
            </w:r>
          </w:p>
        </w:tc>
      </w:tr>
      <w:tr w14:paraId="58D30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5EA9223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5</w:t>
            </w:r>
          </w:p>
        </w:tc>
        <w:tc>
          <w:tcPr>
            <w:tcW w:w="1545" w:type="dxa"/>
            <w:shd w:val="clear" w:color="auto" w:fill="auto"/>
            <w:tcMar>
              <w:top w:w="0" w:type="dxa"/>
              <w:left w:w="105" w:type="dxa"/>
              <w:bottom w:w="0" w:type="dxa"/>
              <w:right w:w="105" w:type="dxa"/>
            </w:tcMar>
            <w:vAlign w:val="center"/>
          </w:tcPr>
          <w:p w14:paraId="4C30B93E">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重点监控病种/术种分组维护</w:t>
            </w:r>
          </w:p>
        </w:tc>
        <w:tc>
          <w:tcPr>
            <w:tcW w:w="6345" w:type="dxa"/>
            <w:shd w:val="clear" w:color="auto" w:fill="auto"/>
            <w:tcMar>
              <w:top w:w="0" w:type="dxa"/>
              <w:left w:w="105" w:type="dxa"/>
              <w:bottom w:w="0" w:type="dxa"/>
              <w:right w:w="105" w:type="dxa"/>
            </w:tcMar>
            <w:vAlign w:val="center"/>
          </w:tcPr>
          <w:p w14:paraId="2D058A33">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对院内重点监控病种/术种分组器进行优化维护，根据省(市)的具体情况，进行扩充和修改。定期对重点监控病种目录进行优化维护，可根据甲方需求增加重点监控病种。</w:t>
            </w:r>
          </w:p>
        </w:tc>
      </w:tr>
      <w:tr w14:paraId="6AB85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06D7A4B2">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6</w:t>
            </w:r>
          </w:p>
        </w:tc>
        <w:tc>
          <w:tcPr>
            <w:tcW w:w="1545" w:type="dxa"/>
            <w:shd w:val="clear" w:color="auto" w:fill="auto"/>
            <w:tcMar>
              <w:top w:w="0" w:type="dxa"/>
              <w:left w:w="105" w:type="dxa"/>
              <w:bottom w:w="0" w:type="dxa"/>
              <w:right w:w="105" w:type="dxa"/>
            </w:tcMar>
            <w:vAlign w:val="center"/>
          </w:tcPr>
          <w:p w14:paraId="222E7D92">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手术分级维护</w:t>
            </w:r>
          </w:p>
        </w:tc>
        <w:tc>
          <w:tcPr>
            <w:tcW w:w="6345" w:type="dxa"/>
            <w:shd w:val="clear" w:color="auto" w:fill="auto"/>
            <w:tcMar>
              <w:top w:w="0" w:type="dxa"/>
              <w:left w:w="105" w:type="dxa"/>
              <w:bottom w:w="0" w:type="dxa"/>
              <w:right w:w="105" w:type="dxa"/>
            </w:tcMar>
            <w:vAlign w:val="center"/>
          </w:tcPr>
          <w:p w14:paraId="00A1345F">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shd w:val="clear" w:fill="FFFFFF"/>
                <w:lang w:val="en-US" w:eastAsia="zh-CN" w:bidi="ar"/>
              </w:rPr>
              <w:t>定期对手术分级目录进行维护，调整分级目录。</w:t>
            </w:r>
            <w:r>
              <w:rPr>
                <w:rFonts w:hint="eastAsia" w:ascii="仿宋" w:hAnsi="仿宋" w:eastAsia="仿宋" w:cs="仿宋"/>
                <w:color w:val="auto"/>
                <w:kern w:val="0"/>
                <w:sz w:val="24"/>
                <w:szCs w:val="24"/>
                <w:lang w:val="en-US" w:eastAsia="zh-CN" w:bidi="ar"/>
              </w:rPr>
              <w:t>每月对手术进行1-4级分级、三四级手术台次、比例计算服务。</w:t>
            </w:r>
          </w:p>
        </w:tc>
      </w:tr>
      <w:tr w14:paraId="64713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34D36E2F">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7</w:t>
            </w:r>
          </w:p>
        </w:tc>
        <w:tc>
          <w:tcPr>
            <w:tcW w:w="1545" w:type="dxa"/>
            <w:shd w:val="clear" w:color="auto" w:fill="auto"/>
            <w:tcMar>
              <w:top w:w="0" w:type="dxa"/>
              <w:left w:w="105" w:type="dxa"/>
              <w:bottom w:w="0" w:type="dxa"/>
              <w:right w:w="105" w:type="dxa"/>
            </w:tcMar>
            <w:vAlign w:val="center"/>
          </w:tcPr>
          <w:p w14:paraId="14135092">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基于DRG医疗服务评价分析功能维护</w:t>
            </w:r>
          </w:p>
        </w:tc>
        <w:tc>
          <w:tcPr>
            <w:tcW w:w="6345" w:type="dxa"/>
            <w:shd w:val="clear" w:color="auto" w:fill="auto"/>
            <w:tcMar>
              <w:top w:w="0" w:type="dxa"/>
              <w:left w:w="105" w:type="dxa"/>
              <w:bottom w:w="0" w:type="dxa"/>
              <w:right w:w="105" w:type="dxa"/>
            </w:tcMar>
            <w:vAlign w:val="center"/>
          </w:tcPr>
          <w:p w14:paraId="561E403D">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对DRG医疗服务评价分析功能维护，定期提供数据计算、重导、依据甲方需要修改科室信息等服务。保障以下各功能模块运行正常，修复系统功能bug。</w:t>
            </w:r>
          </w:p>
        </w:tc>
      </w:tr>
      <w:tr w14:paraId="03D7F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1BC91AF6">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8</w:t>
            </w:r>
          </w:p>
        </w:tc>
        <w:tc>
          <w:tcPr>
            <w:tcW w:w="1545" w:type="dxa"/>
            <w:shd w:val="clear" w:color="auto" w:fill="auto"/>
            <w:tcMar>
              <w:top w:w="0" w:type="dxa"/>
              <w:left w:w="105" w:type="dxa"/>
              <w:bottom w:w="0" w:type="dxa"/>
              <w:right w:w="105" w:type="dxa"/>
            </w:tcMar>
            <w:vAlign w:val="center"/>
          </w:tcPr>
          <w:p w14:paraId="01C9A4E8">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DRG权重值维护</w:t>
            </w:r>
          </w:p>
        </w:tc>
        <w:tc>
          <w:tcPr>
            <w:tcW w:w="6345" w:type="dxa"/>
            <w:shd w:val="clear" w:color="auto" w:fill="auto"/>
            <w:tcMar>
              <w:top w:w="0" w:type="dxa"/>
              <w:left w:w="105" w:type="dxa"/>
              <w:bottom w:w="0" w:type="dxa"/>
              <w:right w:w="105" w:type="dxa"/>
            </w:tcMar>
            <w:vAlign w:val="center"/>
          </w:tcPr>
          <w:p w14:paraId="6ED6640C">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定期对各DGR组或单份病案DRG绩效权重值进行调整。</w:t>
            </w:r>
          </w:p>
        </w:tc>
      </w:tr>
      <w:tr w14:paraId="752DB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38D1FA16">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9</w:t>
            </w:r>
          </w:p>
        </w:tc>
        <w:tc>
          <w:tcPr>
            <w:tcW w:w="1545" w:type="dxa"/>
            <w:shd w:val="clear" w:color="auto" w:fill="auto"/>
            <w:tcMar>
              <w:top w:w="0" w:type="dxa"/>
              <w:left w:w="105" w:type="dxa"/>
              <w:bottom w:w="0" w:type="dxa"/>
              <w:right w:w="105" w:type="dxa"/>
            </w:tcMar>
            <w:vAlign w:val="center"/>
          </w:tcPr>
          <w:p w14:paraId="4921001B">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RW区间维护</w:t>
            </w:r>
          </w:p>
        </w:tc>
        <w:tc>
          <w:tcPr>
            <w:tcW w:w="6345" w:type="dxa"/>
            <w:shd w:val="clear" w:color="auto" w:fill="auto"/>
            <w:tcMar>
              <w:top w:w="0" w:type="dxa"/>
              <w:left w:w="105" w:type="dxa"/>
              <w:bottom w:w="0" w:type="dxa"/>
              <w:right w:w="105" w:type="dxa"/>
            </w:tcMar>
            <w:vAlign w:val="center"/>
          </w:tcPr>
          <w:p w14:paraId="2A285E51">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定期对疑难病例的RW区间进行优化维护，可自定义RW区间。</w:t>
            </w:r>
          </w:p>
        </w:tc>
      </w:tr>
      <w:tr w14:paraId="26FD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0ED9D24F">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10</w:t>
            </w:r>
          </w:p>
        </w:tc>
        <w:tc>
          <w:tcPr>
            <w:tcW w:w="1545" w:type="dxa"/>
            <w:shd w:val="clear" w:color="auto" w:fill="auto"/>
            <w:tcMar>
              <w:top w:w="0" w:type="dxa"/>
              <w:left w:w="105" w:type="dxa"/>
              <w:bottom w:w="0" w:type="dxa"/>
              <w:right w:w="105" w:type="dxa"/>
            </w:tcMar>
            <w:vAlign w:val="center"/>
          </w:tcPr>
          <w:p w14:paraId="7EE41D4C">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外科能力维护</w:t>
            </w:r>
          </w:p>
        </w:tc>
        <w:tc>
          <w:tcPr>
            <w:tcW w:w="6345" w:type="dxa"/>
            <w:shd w:val="clear" w:color="auto" w:fill="auto"/>
            <w:tcMar>
              <w:top w:w="0" w:type="dxa"/>
              <w:left w:w="105" w:type="dxa"/>
              <w:bottom w:w="0" w:type="dxa"/>
              <w:right w:w="105" w:type="dxa"/>
            </w:tcMar>
            <w:vAlign w:val="center"/>
          </w:tcPr>
          <w:p w14:paraId="06AA0F4C">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定期对三四级手术目录进行优化维护，调整某些手术的手术级别。</w:t>
            </w:r>
          </w:p>
        </w:tc>
      </w:tr>
      <w:tr w14:paraId="7FF95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40A9981B">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12</w:t>
            </w:r>
          </w:p>
        </w:tc>
        <w:tc>
          <w:tcPr>
            <w:tcW w:w="1545" w:type="dxa"/>
            <w:shd w:val="clear" w:color="auto" w:fill="auto"/>
            <w:tcMar>
              <w:top w:w="0" w:type="dxa"/>
              <w:left w:w="105" w:type="dxa"/>
              <w:bottom w:w="0" w:type="dxa"/>
              <w:right w:w="105" w:type="dxa"/>
            </w:tcMar>
            <w:vAlign w:val="center"/>
          </w:tcPr>
          <w:p w14:paraId="13C6B4FC">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标杆值</w:t>
            </w:r>
          </w:p>
        </w:tc>
        <w:tc>
          <w:tcPr>
            <w:tcW w:w="6345" w:type="dxa"/>
            <w:shd w:val="clear" w:color="auto" w:fill="auto"/>
            <w:tcMar>
              <w:top w:w="0" w:type="dxa"/>
              <w:left w:w="105" w:type="dxa"/>
              <w:bottom w:w="0" w:type="dxa"/>
              <w:right w:w="105" w:type="dxa"/>
            </w:tcMar>
            <w:vAlign w:val="center"/>
          </w:tcPr>
          <w:p w14:paraId="10475A78">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定期更新标杆值，调整某些对比参数指标。</w:t>
            </w:r>
          </w:p>
        </w:tc>
      </w:tr>
      <w:tr w14:paraId="21AF6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7060E60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13</w:t>
            </w:r>
          </w:p>
        </w:tc>
        <w:tc>
          <w:tcPr>
            <w:tcW w:w="1545" w:type="dxa"/>
            <w:shd w:val="clear" w:color="auto" w:fill="auto"/>
            <w:tcMar>
              <w:top w:w="0" w:type="dxa"/>
              <w:left w:w="105" w:type="dxa"/>
              <w:bottom w:w="0" w:type="dxa"/>
              <w:right w:w="105" w:type="dxa"/>
            </w:tcMar>
            <w:vAlign w:val="center"/>
          </w:tcPr>
          <w:p w14:paraId="766E48DF">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绩效OE分析</w:t>
            </w:r>
          </w:p>
        </w:tc>
        <w:tc>
          <w:tcPr>
            <w:tcW w:w="6345" w:type="dxa"/>
            <w:shd w:val="clear" w:color="auto" w:fill="auto"/>
            <w:tcMar>
              <w:top w:w="0" w:type="dxa"/>
              <w:left w:w="105" w:type="dxa"/>
              <w:bottom w:w="0" w:type="dxa"/>
              <w:right w:w="105" w:type="dxa"/>
            </w:tcMar>
            <w:vAlign w:val="center"/>
          </w:tcPr>
          <w:p w14:paraId="25A439CE">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为了推进本院基于DRG绩效考核工作，更加客观的对甲方、绩效科室、医疗组进行绩效分析，根据CMI、均次费用、均次住院天数等指标进行OE值绩效评分，从多维度客观的对全院、绩效科室、医疗组绩效、进行分析。</w:t>
            </w:r>
          </w:p>
        </w:tc>
      </w:tr>
      <w:tr w14:paraId="038B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13F4243F">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14</w:t>
            </w:r>
          </w:p>
        </w:tc>
        <w:tc>
          <w:tcPr>
            <w:tcW w:w="1545" w:type="dxa"/>
            <w:shd w:val="clear" w:color="auto" w:fill="auto"/>
            <w:tcMar>
              <w:top w:w="0" w:type="dxa"/>
              <w:left w:w="105" w:type="dxa"/>
              <w:bottom w:w="0" w:type="dxa"/>
              <w:right w:w="105" w:type="dxa"/>
            </w:tcMar>
            <w:vAlign w:val="center"/>
          </w:tcPr>
          <w:p w14:paraId="466C558E">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手术并发症分析</w:t>
            </w:r>
          </w:p>
        </w:tc>
        <w:tc>
          <w:tcPr>
            <w:tcW w:w="6345" w:type="dxa"/>
            <w:shd w:val="clear" w:color="auto" w:fill="auto"/>
            <w:tcMar>
              <w:top w:w="0" w:type="dxa"/>
              <w:left w:w="105" w:type="dxa"/>
              <w:bottom w:w="0" w:type="dxa"/>
              <w:right w:w="105" w:type="dxa"/>
            </w:tcMar>
            <w:vAlign w:val="center"/>
          </w:tcPr>
          <w:p w14:paraId="509E9BBC">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系统按绩效科室、医疗组，分析存在并发症的手术患者人次、占比、并发症类型，并可查询明细。</w:t>
            </w:r>
          </w:p>
        </w:tc>
      </w:tr>
      <w:tr w14:paraId="3433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60CBD2AE">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15</w:t>
            </w:r>
          </w:p>
        </w:tc>
        <w:tc>
          <w:tcPr>
            <w:tcW w:w="1545" w:type="dxa"/>
            <w:shd w:val="clear" w:color="auto" w:fill="auto"/>
            <w:tcMar>
              <w:top w:w="0" w:type="dxa"/>
              <w:left w:w="105" w:type="dxa"/>
              <w:bottom w:w="0" w:type="dxa"/>
              <w:right w:w="105" w:type="dxa"/>
            </w:tcMar>
            <w:vAlign w:val="center"/>
          </w:tcPr>
          <w:p w14:paraId="44EF0A76">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联合手术</w:t>
            </w:r>
          </w:p>
        </w:tc>
        <w:tc>
          <w:tcPr>
            <w:tcW w:w="6345" w:type="dxa"/>
            <w:shd w:val="clear" w:color="auto" w:fill="auto"/>
            <w:tcMar>
              <w:top w:w="0" w:type="dxa"/>
              <w:left w:w="105" w:type="dxa"/>
              <w:bottom w:w="0" w:type="dxa"/>
              <w:right w:w="105" w:type="dxa"/>
            </w:tcMar>
            <w:vAlign w:val="center"/>
          </w:tcPr>
          <w:p w14:paraId="37F5F671">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ICD手术编码存在单个手术需拆解成多个编码的情况，这类手术的单个编码无法准确体现该手术的等级情况，系统可自定义手术编码组合并赋予自定义手术组合级别。</w:t>
            </w:r>
          </w:p>
        </w:tc>
      </w:tr>
      <w:tr w14:paraId="21DCA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19D98A1A">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16</w:t>
            </w:r>
          </w:p>
        </w:tc>
        <w:tc>
          <w:tcPr>
            <w:tcW w:w="1545" w:type="dxa"/>
            <w:shd w:val="clear" w:color="auto" w:fill="auto"/>
            <w:tcMar>
              <w:top w:w="0" w:type="dxa"/>
              <w:left w:w="105" w:type="dxa"/>
              <w:bottom w:w="0" w:type="dxa"/>
              <w:right w:w="105" w:type="dxa"/>
            </w:tcMar>
            <w:vAlign w:val="center"/>
          </w:tcPr>
          <w:p w14:paraId="263F1DB4">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数据采集维护</w:t>
            </w:r>
          </w:p>
        </w:tc>
        <w:tc>
          <w:tcPr>
            <w:tcW w:w="6345" w:type="dxa"/>
            <w:shd w:val="clear" w:color="auto" w:fill="auto"/>
            <w:tcMar>
              <w:top w:w="0" w:type="dxa"/>
              <w:left w:w="105" w:type="dxa"/>
              <w:bottom w:w="0" w:type="dxa"/>
              <w:right w:w="105" w:type="dxa"/>
            </w:tcMar>
            <w:vAlign w:val="center"/>
          </w:tcPr>
          <w:p w14:paraId="77F5B5B5">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对数据采集功能进行维护，修复系统bug。保障数据采集系统可满足采用国家卫生健康统计直报系统接口规范，支持西医与中医的卫统数据格式。支持DBF及Excel文件格式，支持数据覆盖和添加。</w:t>
            </w:r>
          </w:p>
        </w:tc>
      </w:tr>
      <w:tr w14:paraId="40B93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621CAADF">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17</w:t>
            </w:r>
          </w:p>
        </w:tc>
        <w:tc>
          <w:tcPr>
            <w:tcW w:w="1545" w:type="dxa"/>
            <w:shd w:val="clear" w:color="auto" w:fill="auto"/>
            <w:tcMar>
              <w:top w:w="0" w:type="dxa"/>
              <w:left w:w="105" w:type="dxa"/>
              <w:bottom w:w="0" w:type="dxa"/>
              <w:right w:w="105" w:type="dxa"/>
            </w:tcMar>
            <w:vAlign w:val="center"/>
          </w:tcPr>
          <w:p w14:paraId="5039D176">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DRG分组维护</w:t>
            </w:r>
          </w:p>
        </w:tc>
        <w:tc>
          <w:tcPr>
            <w:tcW w:w="6345" w:type="dxa"/>
            <w:shd w:val="clear" w:color="auto" w:fill="auto"/>
            <w:tcMar>
              <w:top w:w="0" w:type="dxa"/>
              <w:left w:w="105" w:type="dxa"/>
              <w:bottom w:w="0" w:type="dxa"/>
              <w:right w:w="105" w:type="dxa"/>
            </w:tcMar>
            <w:vAlign w:val="center"/>
          </w:tcPr>
          <w:p w14:paraId="00C739C3">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每月提供对上月出院数据DRG分组计算服务，生成DRG分组明细，定期维护DRG分组器。</w:t>
            </w:r>
          </w:p>
        </w:tc>
      </w:tr>
      <w:tr w14:paraId="5DE8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1B03B32C">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18</w:t>
            </w:r>
          </w:p>
        </w:tc>
        <w:tc>
          <w:tcPr>
            <w:tcW w:w="1545" w:type="dxa"/>
            <w:shd w:val="clear" w:color="auto" w:fill="auto"/>
            <w:tcMar>
              <w:top w:w="0" w:type="dxa"/>
              <w:left w:w="105" w:type="dxa"/>
              <w:bottom w:w="0" w:type="dxa"/>
              <w:right w:w="105" w:type="dxa"/>
            </w:tcMar>
            <w:vAlign w:val="center"/>
          </w:tcPr>
          <w:p w14:paraId="7BC01837">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重点病种分组维护</w:t>
            </w:r>
          </w:p>
        </w:tc>
        <w:tc>
          <w:tcPr>
            <w:tcW w:w="6345" w:type="dxa"/>
            <w:shd w:val="clear" w:color="auto" w:fill="auto"/>
            <w:tcMar>
              <w:top w:w="0" w:type="dxa"/>
              <w:left w:w="105" w:type="dxa"/>
              <w:bottom w:w="0" w:type="dxa"/>
              <w:right w:w="105" w:type="dxa"/>
            </w:tcMar>
            <w:vAlign w:val="center"/>
          </w:tcPr>
          <w:p w14:paraId="3C7B13FE">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每月提供对上月出院数据重点病种/术种分组计算服务，生成重点病种分组明细。定期维护重点病种分组器。</w:t>
            </w:r>
          </w:p>
        </w:tc>
      </w:tr>
      <w:tr w14:paraId="6DEE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41181D6C">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19</w:t>
            </w:r>
          </w:p>
        </w:tc>
        <w:tc>
          <w:tcPr>
            <w:tcW w:w="1545" w:type="dxa"/>
            <w:shd w:val="clear" w:color="auto" w:fill="auto"/>
            <w:tcMar>
              <w:top w:w="0" w:type="dxa"/>
              <w:left w:w="105" w:type="dxa"/>
              <w:bottom w:w="0" w:type="dxa"/>
              <w:right w:w="105" w:type="dxa"/>
            </w:tcMar>
            <w:vAlign w:val="center"/>
          </w:tcPr>
          <w:p w14:paraId="1EF97D46">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明细查询维护</w:t>
            </w:r>
          </w:p>
        </w:tc>
        <w:tc>
          <w:tcPr>
            <w:tcW w:w="6345" w:type="dxa"/>
            <w:shd w:val="clear" w:color="auto" w:fill="auto"/>
            <w:tcMar>
              <w:top w:w="0" w:type="dxa"/>
              <w:left w:w="105" w:type="dxa"/>
              <w:bottom w:w="0" w:type="dxa"/>
              <w:right w:w="105" w:type="dxa"/>
            </w:tcMar>
            <w:vAlign w:val="center"/>
          </w:tcPr>
          <w:p w14:paraId="55210727">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维护明细查询功能，包含查询每个病例的DRG分组、重点病种分组以及手术级别的明细数据。</w:t>
            </w:r>
          </w:p>
        </w:tc>
      </w:tr>
      <w:tr w14:paraId="52E4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67FA43A2">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20</w:t>
            </w:r>
          </w:p>
        </w:tc>
        <w:tc>
          <w:tcPr>
            <w:tcW w:w="1545" w:type="dxa"/>
            <w:shd w:val="clear" w:color="auto" w:fill="auto"/>
            <w:tcMar>
              <w:top w:w="0" w:type="dxa"/>
              <w:left w:w="105" w:type="dxa"/>
              <w:bottom w:w="0" w:type="dxa"/>
              <w:right w:w="105" w:type="dxa"/>
            </w:tcMar>
            <w:vAlign w:val="center"/>
          </w:tcPr>
          <w:p w14:paraId="14D4F30C">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综合分析</w:t>
            </w:r>
          </w:p>
        </w:tc>
        <w:tc>
          <w:tcPr>
            <w:tcW w:w="6345" w:type="dxa"/>
            <w:shd w:val="clear" w:color="auto" w:fill="auto"/>
            <w:tcMar>
              <w:top w:w="0" w:type="dxa"/>
              <w:left w:w="105" w:type="dxa"/>
              <w:bottom w:w="0" w:type="dxa"/>
              <w:right w:w="105" w:type="dxa"/>
            </w:tcMar>
            <w:vAlign w:val="center"/>
          </w:tcPr>
          <w:p w14:paraId="31E2C5A8">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综合能力:病例数、CMI、组数等;</w:t>
            </w:r>
          </w:p>
          <w:p w14:paraId="5B0927DA">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外科能力:手术患者数及占比、三四级手术台次及占比;</w:t>
            </w:r>
          </w:p>
          <w:p w14:paraId="0BA059B1">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疑难病例诊治能力:RW&gt;2的病例数及占比、RW&gt;2分段统计分析;</w:t>
            </w:r>
          </w:p>
          <w:p w14:paraId="4A0A3A4E">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专科能力:各专科重点病种的病例数、占比、均次费用、药费、耗材费、药占比、耗材占比、平均住院日等;</w:t>
            </w:r>
          </w:p>
          <w:p w14:paraId="7224CAF7">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医疗质量:死亡率、低风险死亡率、中低风险死亡率等。</w:t>
            </w:r>
          </w:p>
        </w:tc>
      </w:tr>
      <w:tr w14:paraId="5CD5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630" w:type="dxa"/>
            <w:shd w:val="clear" w:color="auto" w:fill="auto"/>
            <w:tcMar>
              <w:top w:w="0" w:type="dxa"/>
              <w:left w:w="105" w:type="dxa"/>
              <w:bottom w:w="0" w:type="dxa"/>
              <w:right w:w="105" w:type="dxa"/>
            </w:tcMar>
            <w:vAlign w:val="center"/>
          </w:tcPr>
          <w:p w14:paraId="37A45E00">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21</w:t>
            </w:r>
          </w:p>
        </w:tc>
        <w:tc>
          <w:tcPr>
            <w:tcW w:w="1545" w:type="dxa"/>
            <w:shd w:val="clear" w:color="auto" w:fill="auto"/>
            <w:tcMar>
              <w:top w:w="0" w:type="dxa"/>
              <w:left w:w="105" w:type="dxa"/>
              <w:bottom w:w="0" w:type="dxa"/>
              <w:right w:w="105" w:type="dxa"/>
            </w:tcMar>
            <w:vAlign w:val="center"/>
          </w:tcPr>
          <w:p w14:paraId="1E9C563D">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医院绩效简报服务</w:t>
            </w:r>
          </w:p>
        </w:tc>
        <w:tc>
          <w:tcPr>
            <w:tcW w:w="6345" w:type="dxa"/>
            <w:shd w:val="clear" w:color="auto" w:fill="auto"/>
            <w:tcMar>
              <w:top w:w="0" w:type="dxa"/>
              <w:left w:w="105" w:type="dxa"/>
              <w:bottom w:w="0" w:type="dxa"/>
              <w:right w:w="105" w:type="dxa"/>
            </w:tcMar>
            <w:vAlign w:val="center"/>
          </w:tcPr>
          <w:p w14:paraId="0FF53F36">
            <w:pPr>
              <w:keepNext w:val="0"/>
              <w:keepLines w:val="0"/>
              <w:widowControl/>
              <w:suppressLineNumbers w:val="0"/>
              <w:adjustRightInd w:val="0"/>
              <w:snapToGrid w:val="0"/>
              <w:spacing w:before="0" w:beforeAutospacing="0" w:after="0" w:afterAutospacing="0" w:line="240" w:lineRule="auto"/>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定期对DRG数据进行汇总分析，生成并发布DRG综合分析简报。</w:t>
            </w:r>
          </w:p>
        </w:tc>
      </w:tr>
    </w:tbl>
    <w:p w14:paraId="69946B16">
      <w:pPr>
        <w:keepNext w:val="0"/>
        <w:keepLines w:val="0"/>
        <w:pageBreakBefore w:val="0"/>
        <w:kinsoku/>
        <w:wordWrap/>
        <w:overflowPunct/>
        <w:topLinePunct w:val="0"/>
        <w:autoSpaceDE/>
        <w:autoSpaceDN/>
        <w:bidi w:val="0"/>
        <w:spacing w:line="336" w:lineRule="auto"/>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2.2</w:t>
      </w:r>
      <w:r>
        <w:rPr>
          <w:rFonts w:hint="eastAsia" w:ascii="仿宋" w:hAnsi="仿宋" w:eastAsia="仿宋" w:cs="仿宋"/>
          <w:b/>
          <w:bCs/>
          <w:sz w:val="24"/>
          <w:szCs w:val="24"/>
        </w:rPr>
        <w:t>服务要求</w:t>
      </w:r>
    </w:p>
    <w:tbl>
      <w:tblPr>
        <w:tblStyle w:val="1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8"/>
        <w:gridCol w:w="1530"/>
        <w:gridCol w:w="5964"/>
        <w:gridCol w:w="1404"/>
      </w:tblGrid>
      <w:tr w14:paraId="127AB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8" w:type="dxa"/>
            <w:shd w:val="clear" w:color="auto" w:fill="auto"/>
            <w:tcMar>
              <w:top w:w="0" w:type="dxa"/>
              <w:left w:w="105" w:type="dxa"/>
              <w:bottom w:w="0" w:type="dxa"/>
              <w:right w:w="105" w:type="dxa"/>
            </w:tcMar>
            <w:vAlign w:val="top"/>
          </w:tcPr>
          <w:p w14:paraId="0AC90966">
            <w:pPr>
              <w:keepNext w:val="0"/>
              <w:keepLines w:val="0"/>
              <w:widowControl/>
              <w:suppressLineNumbers w:val="0"/>
              <w:adjustRightInd w:val="0"/>
              <w:snapToGrid w:val="0"/>
              <w:jc w:val="left"/>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序号</w:t>
            </w:r>
          </w:p>
        </w:tc>
        <w:tc>
          <w:tcPr>
            <w:tcW w:w="1532" w:type="dxa"/>
            <w:shd w:val="clear" w:color="auto" w:fill="auto"/>
            <w:tcMar>
              <w:top w:w="0" w:type="dxa"/>
              <w:left w:w="105" w:type="dxa"/>
              <w:bottom w:w="0" w:type="dxa"/>
              <w:right w:w="105" w:type="dxa"/>
            </w:tcMar>
            <w:vAlign w:val="top"/>
          </w:tcPr>
          <w:p w14:paraId="1EA02B5C">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服务类型</w:t>
            </w:r>
          </w:p>
        </w:tc>
        <w:tc>
          <w:tcPr>
            <w:tcW w:w="5973" w:type="dxa"/>
            <w:shd w:val="clear" w:color="auto" w:fill="auto"/>
            <w:tcMar>
              <w:top w:w="0" w:type="dxa"/>
              <w:left w:w="105" w:type="dxa"/>
              <w:bottom w:w="0" w:type="dxa"/>
              <w:right w:w="105" w:type="dxa"/>
            </w:tcMar>
            <w:vAlign w:val="top"/>
          </w:tcPr>
          <w:p w14:paraId="5DD4E872">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服务内容</w:t>
            </w:r>
          </w:p>
        </w:tc>
        <w:tc>
          <w:tcPr>
            <w:tcW w:w="1405" w:type="dxa"/>
            <w:shd w:val="clear" w:color="auto" w:fill="auto"/>
            <w:tcMar>
              <w:top w:w="0" w:type="dxa"/>
              <w:left w:w="105" w:type="dxa"/>
              <w:bottom w:w="0" w:type="dxa"/>
              <w:right w:w="105" w:type="dxa"/>
            </w:tcMar>
            <w:vAlign w:val="top"/>
          </w:tcPr>
          <w:p w14:paraId="1C213D50">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服务期</w:t>
            </w:r>
          </w:p>
        </w:tc>
      </w:tr>
      <w:tr w14:paraId="3B2A1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8" w:type="dxa"/>
            <w:shd w:val="clear" w:color="auto" w:fill="auto"/>
            <w:tcMar>
              <w:top w:w="0" w:type="dxa"/>
              <w:left w:w="105" w:type="dxa"/>
              <w:bottom w:w="0" w:type="dxa"/>
              <w:right w:w="105" w:type="dxa"/>
            </w:tcMar>
            <w:vAlign w:val="center"/>
          </w:tcPr>
          <w:p w14:paraId="0858A334">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1</w:t>
            </w:r>
          </w:p>
        </w:tc>
        <w:tc>
          <w:tcPr>
            <w:tcW w:w="1532" w:type="dxa"/>
            <w:shd w:val="clear" w:color="auto" w:fill="auto"/>
            <w:tcMar>
              <w:top w:w="0" w:type="dxa"/>
              <w:left w:w="105" w:type="dxa"/>
              <w:bottom w:w="0" w:type="dxa"/>
              <w:right w:w="105" w:type="dxa"/>
            </w:tcMar>
            <w:vAlign w:val="center"/>
          </w:tcPr>
          <w:p w14:paraId="3B242F98">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基本服务</w:t>
            </w:r>
          </w:p>
        </w:tc>
        <w:tc>
          <w:tcPr>
            <w:tcW w:w="5973" w:type="dxa"/>
            <w:shd w:val="clear" w:color="auto" w:fill="auto"/>
            <w:tcMar>
              <w:top w:w="0" w:type="dxa"/>
              <w:left w:w="105" w:type="dxa"/>
              <w:bottom w:w="0" w:type="dxa"/>
              <w:right w:w="105" w:type="dxa"/>
            </w:tcMar>
            <w:vAlign w:val="top"/>
          </w:tcPr>
          <w:p w14:paraId="3A278AC3">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基本服务至少满足以下内容：</w:t>
            </w:r>
          </w:p>
          <w:p w14:paraId="1221FF5D">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1、稳定性：</w:t>
            </w:r>
            <w:r>
              <w:rPr>
                <w:rFonts w:hint="eastAsia" w:ascii="仿宋" w:hAnsi="仿宋" w:eastAsia="仿宋" w:cs="仿宋"/>
                <w:color w:val="auto"/>
                <w:kern w:val="0"/>
                <w:sz w:val="24"/>
                <w:szCs w:val="24"/>
                <w:lang w:val="en-US" w:eastAsia="zh-CN" w:bidi="ar"/>
              </w:rPr>
              <w:t>服务期内需保障业务稳定，不无故出现崩溃或宕机现象；凡已与外部系统完成接口对接的，须确保接口调用的稳定、传输数据的准确完整。</w:t>
            </w:r>
          </w:p>
          <w:p w14:paraId="343BC515">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2、安全性：</w:t>
            </w:r>
            <w:r>
              <w:rPr>
                <w:rFonts w:hint="eastAsia" w:ascii="仿宋" w:hAnsi="仿宋" w:eastAsia="仿宋" w:cs="仿宋"/>
                <w:color w:val="auto"/>
                <w:kern w:val="0"/>
                <w:sz w:val="24"/>
                <w:szCs w:val="24"/>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15BD4BFB">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3、数据质量：</w:t>
            </w:r>
            <w:r>
              <w:rPr>
                <w:rFonts w:hint="eastAsia" w:ascii="仿宋" w:hAnsi="仿宋" w:eastAsia="仿宋" w:cs="仿宋"/>
                <w:color w:val="auto"/>
                <w:kern w:val="0"/>
                <w:sz w:val="24"/>
                <w:szCs w:val="24"/>
                <w:lang w:val="en-US" w:eastAsia="zh-CN" w:bidi="ar"/>
              </w:rPr>
              <w:t>供应商收到异议后，中标供应商应在5个工作日内对数据质量问题进行原因查找和反馈，30个工作日内对数据质量问题进行数据清洗；</w:t>
            </w:r>
          </w:p>
          <w:p w14:paraId="759E8B3A">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4、响应速度：</w:t>
            </w:r>
            <w:r>
              <w:rPr>
                <w:rFonts w:hint="eastAsia" w:ascii="仿宋" w:hAnsi="仿宋" w:eastAsia="仿宋" w:cs="仿宋"/>
                <w:color w:val="auto"/>
                <w:kern w:val="0"/>
                <w:sz w:val="24"/>
                <w:szCs w:val="24"/>
                <w:lang w:val="en-US" w:eastAsia="zh-CN" w:bidi="ar"/>
              </w:rPr>
              <w:t>服务期内，采购人通过电话、微信、现场提出的支持需求，供应商须在需求提出的当日完成响应；</w:t>
            </w:r>
          </w:p>
          <w:p w14:paraId="3D0933AE">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5、定期巡检：</w:t>
            </w:r>
            <w:r>
              <w:rPr>
                <w:rFonts w:hint="eastAsia" w:ascii="仿宋" w:hAnsi="仿宋" w:eastAsia="仿宋" w:cs="仿宋"/>
                <w:color w:val="auto"/>
                <w:kern w:val="0"/>
                <w:sz w:val="24"/>
                <w:szCs w:val="24"/>
                <w:lang w:val="en-US" w:eastAsia="zh-CN" w:bidi="ar"/>
              </w:rPr>
              <w:t>服务期内每月提供至少1次软硬件服务期巡检报告；</w:t>
            </w:r>
          </w:p>
          <w:p w14:paraId="3EAC1DC9">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6、培训服务：</w:t>
            </w:r>
            <w:r>
              <w:rPr>
                <w:rFonts w:hint="eastAsia" w:ascii="仿宋" w:hAnsi="仿宋" w:eastAsia="仿宋" w:cs="仿宋"/>
                <w:color w:val="auto"/>
                <w:kern w:val="0"/>
                <w:sz w:val="24"/>
                <w:szCs w:val="24"/>
                <w:lang w:val="en-US" w:eastAsia="zh-CN" w:bidi="ar"/>
              </w:rPr>
              <w:t>无。</w:t>
            </w:r>
          </w:p>
          <w:p w14:paraId="632CF02B">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7、文档服务：</w:t>
            </w:r>
            <w:r>
              <w:rPr>
                <w:rFonts w:hint="eastAsia" w:ascii="仿宋" w:hAnsi="仿宋" w:eastAsia="仿宋" w:cs="仿宋"/>
                <w:color w:val="auto"/>
                <w:kern w:val="0"/>
                <w:sz w:val="24"/>
                <w:szCs w:val="24"/>
                <w:lang w:val="en-US" w:eastAsia="zh-CN" w:bidi="ar"/>
              </w:rPr>
              <w:t>上线运行之日提交本次采购内容的《四川省人民医院应用系统档案》。服务期满后需提交本次采购内容的运维记录签字扫描版本。</w:t>
            </w:r>
          </w:p>
          <w:p w14:paraId="4366AD9C">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9、</w:t>
            </w:r>
            <w:r>
              <w:rPr>
                <w:rStyle w:val="17"/>
                <w:rFonts w:hint="eastAsia" w:ascii="仿宋" w:hAnsi="仿宋" w:eastAsia="仿宋" w:cs="仿宋"/>
                <w:color w:val="auto"/>
                <w:kern w:val="0"/>
                <w:sz w:val="24"/>
                <w:szCs w:val="24"/>
                <w:lang w:val="en-US" w:eastAsia="zh-CN" w:bidi="ar"/>
              </w:rPr>
              <w:t>人员服务：</w:t>
            </w:r>
            <w:r>
              <w:rPr>
                <w:rFonts w:hint="eastAsia" w:ascii="仿宋" w:hAnsi="仿宋" w:eastAsia="仿宋" w:cs="仿宋"/>
                <w:color w:val="auto"/>
                <w:kern w:val="0"/>
                <w:sz w:val="24"/>
                <w:szCs w:val="24"/>
                <w:lang w:val="en-US" w:eastAsia="zh-CN" w:bidi="ar"/>
              </w:rPr>
              <w:t>无。</w:t>
            </w:r>
          </w:p>
          <w:p w14:paraId="7949A5FA">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10、</w:t>
            </w:r>
            <w:r>
              <w:rPr>
                <w:rStyle w:val="17"/>
                <w:rFonts w:hint="eastAsia" w:ascii="仿宋" w:hAnsi="仿宋" w:eastAsia="仿宋" w:cs="仿宋"/>
                <w:color w:val="auto"/>
                <w:kern w:val="0"/>
                <w:sz w:val="24"/>
                <w:szCs w:val="24"/>
                <w:lang w:val="en-US" w:eastAsia="zh-CN" w:bidi="ar"/>
              </w:rPr>
              <w:t>其他：</w:t>
            </w:r>
          </w:p>
          <w:p w14:paraId="194F2A14">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w:t>
            </w:r>
            <w:r>
              <w:rPr>
                <w:rFonts w:hint="eastAsia" w:ascii="仿宋" w:hAnsi="仿宋" w:eastAsia="仿宋" w:cs="仿宋"/>
                <w:color w:val="auto"/>
                <w:kern w:val="0"/>
                <w:sz w:val="24"/>
                <w:szCs w:val="24"/>
                <w:u w:val="none"/>
                <w:lang w:val="en-US" w:eastAsia="zh-CN" w:bidi="ar"/>
              </w:rPr>
              <w:t>服务期内，采购人</w:t>
            </w:r>
            <w:r>
              <w:rPr>
                <w:rStyle w:val="17"/>
                <w:rFonts w:hint="eastAsia" w:ascii="仿宋" w:hAnsi="仿宋" w:eastAsia="仿宋" w:cs="仿宋"/>
                <w:color w:val="auto"/>
                <w:kern w:val="0"/>
                <w:sz w:val="24"/>
                <w:szCs w:val="24"/>
                <w:u w:val="none"/>
                <w:lang w:val="en-US" w:eastAsia="zh-CN" w:bidi="ar"/>
              </w:rPr>
              <w:t>每月</w:t>
            </w:r>
            <w:r>
              <w:rPr>
                <w:rFonts w:hint="eastAsia" w:ascii="仿宋" w:hAnsi="仿宋" w:eastAsia="仿宋" w:cs="仿宋"/>
                <w:color w:val="auto"/>
                <w:kern w:val="0"/>
                <w:sz w:val="24"/>
                <w:szCs w:val="24"/>
                <w:u w:val="none"/>
                <w:lang w:val="en-US" w:eastAsia="zh-CN" w:bidi="ar"/>
              </w:rPr>
              <w:t>按照</w:t>
            </w:r>
            <w:r>
              <w:rPr>
                <w:rStyle w:val="17"/>
                <w:rFonts w:hint="eastAsia" w:ascii="仿宋" w:hAnsi="仿宋" w:eastAsia="仿宋" w:cs="仿宋"/>
                <w:color w:val="auto"/>
                <w:kern w:val="0"/>
                <w:sz w:val="24"/>
                <w:szCs w:val="24"/>
                <w:u w:val="none"/>
                <w:lang w:val="en-US" w:eastAsia="zh-CN" w:bidi="ar"/>
              </w:rPr>
              <w:t>四川省人民医院供应商考核</w:t>
            </w:r>
            <w:r>
              <w:rPr>
                <w:rFonts w:hint="eastAsia" w:ascii="仿宋" w:hAnsi="仿宋" w:eastAsia="仿宋" w:cs="仿宋"/>
                <w:color w:val="auto"/>
                <w:kern w:val="0"/>
                <w:sz w:val="24"/>
                <w:szCs w:val="24"/>
                <w:u w:val="none"/>
                <w:lang w:val="en-US" w:eastAsia="zh-CN" w:bidi="ar"/>
              </w:rPr>
              <w:t>指标对供应商行为进行评价考核，考核结果关联最终付款金额和履约保证金</w:t>
            </w:r>
            <w:r>
              <w:rPr>
                <w:rFonts w:hint="eastAsia" w:ascii="仿宋" w:hAnsi="仿宋" w:eastAsia="仿宋" w:cs="仿宋"/>
                <w:color w:val="auto"/>
                <w:kern w:val="0"/>
                <w:sz w:val="24"/>
                <w:szCs w:val="24"/>
                <w:u w:val="none"/>
                <w:shd w:val="clear"/>
                <w:lang w:val="en-US" w:eastAsia="zh-CN" w:bidi="ar"/>
              </w:rPr>
              <w:t>（如有履约保证金）</w:t>
            </w:r>
            <w:r>
              <w:rPr>
                <w:rFonts w:hint="eastAsia" w:ascii="仿宋" w:hAnsi="仿宋" w:eastAsia="仿宋" w:cs="仿宋"/>
                <w:color w:val="auto"/>
                <w:kern w:val="0"/>
                <w:sz w:val="24"/>
                <w:szCs w:val="24"/>
                <w:u w:val="none"/>
                <w:lang w:val="en-US" w:eastAsia="zh-CN" w:bidi="ar"/>
              </w:rPr>
              <w:t>。</w:t>
            </w:r>
          </w:p>
          <w:p w14:paraId="1DEF7542">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2）中标供应商应当与本项目相关的第三方保持有痕的沟通，明确项目的具体要求和功能等方面的细节。采购人负责组织、监督和验收，以确保项目的顺利完成。</w:t>
            </w:r>
          </w:p>
          <w:p w14:paraId="431C20E5">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3）如涉及因本项目开发的系统原因造成采购人的经济损失，由中标供应商负责向采购人进行赔偿。</w:t>
            </w:r>
          </w:p>
        </w:tc>
        <w:tc>
          <w:tcPr>
            <w:tcW w:w="1405" w:type="dxa"/>
            <w:shd w:val="clear" w:color="auto" w:fill="auto"/>
            <w:tcMar>
              <w:top w:w="0" w:type="dxa"/>
              <w:left w:w="105" w:type="dxa"/>
              <w:bottom w:w="0" w:type="dxa"/>
              <w:right w:w="105" w:type="dxa"/>
            </w:tcMar>
            <w:vAlign w:val="center"/>
          </w:tcPr>
          <w:p w14:paraId="617767A2">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2027年1月23日-2028年1月22日</w:t>
            </w:r>
          </w:p>
        </w:tc>
      </w:tr>
      <w:tr w14:paraId="40A4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8" w:type="dxa"/>
            <w:shd w:val="clear" w:color="auto" w:fill="auto"/>
            <w:tcMar>
              <w:top w:w="0" w:type="dxa"/>
              <w:left w:w="105" w:type="dxa"/>
              <w:bottom w:w="0" w:type="dxa"/>
              <w:right w:w="105" w:type="dxa"/>
            </w:tcMar>
            <w:vAlign w:val="center"/>
          </w:tcPr>
          <w:p w14:paraId="67795B57">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2</w:t>
            </w:r>
          </w:p>
        </w:tc>
        <w:tc>
          <w:tcPr>
            <w:tcW w:w="1532" w:type="dxa"/>
            <w:shd w:val="clear" w:color="auto" w:fill="auto"/>
            <w:tcMar>
              <w:top w:w="0" w:type="dxa"/>
              <w:left w:w="105" w:type="dxa"/>
              <w:bottom w:w="0" w:type="dxa"/>
              <w:right w:w="105" w:type="dxa"/>
            </w:tcMar>
            <w:vAlign w:val="center"/>
          </w:tcPr>
          <w:p w14:paraId="10B265E9">
            <w:pPr>
              <w:keepNext w:val="0"/>
              <w:keepLines w:val="0"/>
              <w:widowControl/>
              <w:suppressLineNumbers w:val="0"/>
              <w:adjustRightInd w:val="0"/>
              <w:snapToGrid w:val="0"/>
              <w:spacing w:before="0" w:beforeAutospacing="0" w:after="0" w:afterAutospacing="0" w:line="240" w:lineRule="auto"/>
              <w:ind w:left="0" w:right="0"/>
              <w:jc w:val="center"/>
              <w:rPr>
                <w:rFonts w:hint="eastAsia" w:ascii="仿宋" w:hAnsi="仿宋" w:eastAsia="仿宋" w:cs="仿宋"/>
                <w:color w:val="auto"/>
                <w:kern w:val="0"/>
                <w:sz w:val="24"/>
                <w:szCs w:val="24"/>
                <w:lang w:val="en-US" w:eastAsia="zh-CN" w:bidi="ar"/>
              </w:rPr>
            </w:pPr>
            <w:r>
              <w:rPr>
                <w:rStyle w:val="17"/>
                <w:rFonts w:hint="eastAsia" w:ascii="仿宋" w:hAnsi="仿宋" w:eastAsia="仿宋" w:cs="仿宋"/>
                <w:color w:val="auto"/>
                <w:kern w:val="0"/>
                <w:sz w:val="24"/>
                <w:szCs w:val="24"/>
                <w:lang w:val="en-US" w:eastAsia="zh-CN" w:bidi="ar"/>
              </w:rPr>
              <w:t>质保服务</w:t>
            </w:r>
          </w:p>
        </w:tc>
        <w:tc>
          <w:tcPr>
            <w:tcW w:w="5973" w:type="dxa"/>
            <w:shd w:val="clear" w:color="auto" w:fill="auto"/>
            <w:tcMar>
              <w:top w:w="0" w:type="dxa"/>
              <w:left w:w="105" w:type="dxa"/>
              <w:bottom w:w="0" w:type="dxa"/>
              <w:right w:w="105" w:type="dxa"/>
            </w:tcMar>
            <w:vAlign w:val="center"/>
          </w:tcPr>
          <w:p w14:paraId="41D5F7C8">
            <w:pPr>
              <w:keepNext w:val="0"/>
              <w:keepLines w:val="0"/>
              <w:widowControl/>
              <w:suppressLineNumbers w:val="0"/>
              <w:adjustRightInd w:val="0"/>
              <w:snapToGrid w:val="0"/>
              <w:spacing w:before="0" w:beforeAutospacing="0" w:after="0" w:afterAutospacing="0"/>
              <w:ind w:left="0" w:right="0"/>
              <w:jc w:val="left"/>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服务期内保证软件功能正常运行，提供7*24小时原厂质保服务。</w:t>
            </w:r>
          </w:p>
        </w:tc>
        <w:tc>
          <w:tcPr>
            <w:tcW w:w="1405" w:type="dxa"/>
            <w:shd w:val="clear" w:color="auto" w:fill="auto"/>
            <w:tcMar>
              <w:top w:w="0" w:type="dxa"/>
              <w:left w:w="105" w:type="dxa"/>
              <w:bottom w:w="0" w:type="dxa"/>
              <w:right w:w="105" w:type="dxa"/>
            </w:tcMar>
            <w:vAlign w:val="top"/>
          </w:tcPr>
          <w:p w14:paraId="210DA34B">
            <w:pPr>
              <w:keepNext w:val="0"/>
              <w:keepLines w:val="0"/>
              <w:widowControl/>
              <w:suppressLineNumbers w:val="0"/>
              <w:adjustRightInd w:val="0"/>
              <w:snapToGrid w:val="0"/>
              <w:jc w:val="left"/>
              <w:rPr>
                <w:rFonts w:hint="eastAsia" w:ascii="仿宋" w:hAnsi="仿宋" w:eastAsia="仿宋" w:cs="仿宋"/>
                <w:color w:val="auto"/>
                <w:kern w:val="0"/>
                <w:sz w:val="24"/>
                <w:szCs w:val="24"/>
                <w:lang w:bidi="ar"/>
              </w:rPr>
            </w:pPr>
          </w:p>
        </w:tc>
      </w:tr>
    </w:tbl>
    <w:p w14:paraId="2E0E11AE">
      <w:pPr>
        <w:keepNext w:val="0"/>
        <w:keepLines w:val="0"/>
        <w:pageBreakBefore w:val="0"/>
        <w:kinsoku/>
        <w:wordWrap/>
        <w:overflowPunct/>
        <w:topLinePunct w:val="0"/>
        <w:autoSpaceDE/>
        <w:autoSpaceDN/>
        <w:bidi w:val="0"/>
        <w:adjustRightInd w:val="0"/>
        <w:snapToGrid w:val="0"/>
        <w:spacing w:beforeAutospacing="0" w:afterAutospacing="0" w:line="312"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A76180E">
      <w:pPr>
        <w:pStyle w:val="5"/>
        <w:keepNext w:val="0"/>
        <w:keepLines w:val="0"/>
        <w:pageBreakBefore w:val="0"/>
        <w:kinsoku/>
        <w:wordWrap/>
        <w:overflowPunct/>
        <w:topLinePunct w:val="0"/>
        <w:autoSpaceDE/>
        <w:autoSpaceDN/>
        <w:bidi w:val="0"/>
        <w:adjustRightInd w:val="0"/>
        <w:snapToGrid w:val="0"/>
        <w:spacing w:beforeAutospacing="0" w:afterAutospacing="0" w:line="312"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3.1服务地点：本项目涉及的四川省人民医院所有院区。</w:t>
      </w:r>
    </w:p>
    <w:p w14:paraId="7B914D43">
      <w:pPr>
        <w:pStyle w:val="5"/>
        <w:keepNext w:val="0"/>
        <w:keepLines w:val="0"/>
        <w:pageBreakBefore w:val="0"/>
        <w:kinsoku/>
        <w:wordWrap/>
        <w:overflowPunct/>
        <w:topLinePunct w:val="0"/>
        <w:autoSpaceDE/>
        <w:autoSpaceDN/>
        <w:bidi w:val="0"/>
        <w:adjustRightInd w:val="0"/>
        <w:snapToGrid w:val="0"/>
        <w:spacing w:beforeAutospacing="0" w:afterAutospacing="0" w:line="312"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b w:val="0"/>
          <w:sz w:val="24"/>
          <w:szCs w:val="24"/>
          <w:vertAlign w:val="baseline"/>
          <w:lang w:val="en-US" w:eastAsia="zh-CN"/>
        </w:rPr>
        <w:t>付款条件：总价包干，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55CA320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12" w:lineRule="auto"/>
        <w:ind w:left="0" w:firstLine="480" w:firstLineChars="200"/>
        <w:textAlignment w:val="auto"/>
        <w:rPr>
          <w:rFonts w:hint="eastAsia" w:ascii="仿宋" w:hAnsi="仿宋" w:eastAsia="仿宋" w:cs="仿宋"/>
          <w:b w:val="0"/>
          <w:bCs/>
          <w:color w:val="auto"/>
          <w:sz w:val="24"/>
          <w:szCs w:val="24"/>
          <w:lang w:val="en-US"/>
        </w:rPr>
      </w:pPr>
      <w:r>
        <w:rPr>
          <w:rFonts w:hint="eastAsia" w:ascii="仿宋" w:hAnsi="仿宋" w:eastAsia="仿宋" w:cs="仿宋"/>
          <w:color w:val="auto"/>
          <w:sz w:val="24"/>
          <w:szCs w:val="24"/>
          <w:highlight w:val="none"/>
          <w:lang w:val="en-US" w:eastAsia="zh-CN"/>
        </w:rPr>
        <w:t>3.</w:t>
      </w:r>
      <w:bookmarkStart w:id="13" w:name="_Toc15867"/>
      <w:bookmarkStart w:id="14" w:name="第四章"/>
      <w:r>
        <w:rPr>
          <w:rFonts w:hint="eastAsia" w:ascii="仿宋" w:hAnsi="仿宋" w:eastAsia="仿宋" w:cs="仿宋"/>
          <w:color w:val="auto"/>
          <w:sz w:val="24"/>
          <w:szCs w:val="24"/>
          <w:highlight w:val="none"/>
          <w:lang w:val="en-US" w:eastAsia="zh-CN"/>
        </w:rPr>
        <w:t>3</w:t>
      </w:r>
      <w:r>
        <w:rPr>
          <w:rFonts w:hint="eastAsia" w:ascii="仿宋" w:hAnsi="仿宋" w:eastAsia="仿宋" w:cs="仿宋"/>
          <w:b w:val="0"/>
          <w:bCs/>
          <w:color w:val="auto"/>
          <w:sz w:val="24"/>
          <w:szCs w:val="24"/>
          <w:lang w:val="en-US" w:eastAsia="zh-CN"/>
        </w:rPr>
        <w:t>履约验收方案</w:t>
      </w:r>
    </w:p>
    <w:p w14:paraId="76B8D8E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（5）履约验收内容:按照基于本项目采购需求编制的采购文件要求及供应商响应文件情况，由供应商向采购人提供的全部服务。</w:t>
      </w:r>
    </w:p>
    <w:p w14:paraId="7C1DC9C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（6）履约验收时间：服务期满且供应商完成所有服务内容后5日内通知采购人验收，采购人接供应商通知后10日内组织验收。</w:t>
      </w:r>
    </w:p>
    <w:p w14:paraId="41CD86B6">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3）产品生产厂家出具的产品说明书、技术白皮书、医疗器械注册证或备案凭证等官方技术资料（如涉及）。</w:t>
      </w:r>
    </w:p>
    <w:p w14:paraId="3D750A0A">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43ED4745">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6）如本项目验收方式为考核验收，则考核结果须为合格。</w:t>
      </w:r>
    </w:p>
    <w:p w14:paraId="46903A4B">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12" w:lineRule="auto"/>
        <w:ind w:left="0" w:leftChars="0" w:firstLine="480" w:firstLineChars="20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7）其它标准：无。</w:t>
      </w:r>
    </w:p>
    <w:p w14:paraId="53E9A719">
      <w:pPr>
        <w:keepNext w:val="0"/>
        <w:keepLines w:val="0"/>
        <w:pageBreakBefore w:val="0"/>
        <w:widowControl/>
        <w:numPr>
          <w:ilvl w:val="0"/>
          <w:numId w:val="0"/>
        </w:numPr>
        <w:suppressLineNumbers w:val="0"/>
        <w:tabs>
          <w:tab w:val="left" w:pos="0"/>
        </w:tabs>
        <w:kinsoku/>
        <w:wordWrap/>
        <w:overflowPunct/>
        <w:topLinePunct w:val="0"/>
        <w:autoSpaceDE/>
        <w:autoSpaceDN/>
        <w:bidi w:val="0"/>
        <w:adjustRightInd w:val="0"/>
        <w:snapToGrid w:val="0"/>
        <w:spacing w:before="0" w:beforeAutospacing="0" w:afterAutospacing="0" w:line="312" w:lineRule="auto"/>
        <w:ind w:left="0" w:leftChars="0" w:firstLine="480" w:firstLineChars="200"/>
        <w:jc w:val="both"/>
        <w:textAlignment w:val="auto"/>
        <w:outlineLvl w:val="9"/>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sz w:val="24"/>
          <w:szCs w:val="24"/>
          <w:vertAlign w:val="baseline"/>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2187799A">
      <w:pPr>
        <w:keepNext w:val="0"/>
        <w:keepLines w:val="0"/>
        <w:pageBreakBefore w:val="0"/>
        <w:kinsoku/>
        <w:wordWrap/>
        <w:overflowPunct/>
        <w:topLinePunct w:val="0"/>
        <w:autoSpaceDE/>
        <w:autoSpaceDN/>
        <w:bidi w:val="0"/>
        <w:adjustRightInd w:val="0"/>
        <w:snapToGrid w:val="0"/>
        <w:spacing w:beforeAutospacing="0" w:afterAutospacing="0" w:line="312" w:lineRule="auto"/>
        <w:ind w:lef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3.4其它要求：由采购人、供应商双方共同开发的项目：采购人、供应商双方共同研发的该系统软件产品，知识产权归采购人、供应商双方共同拥有，软件所有数据归采购人所有。</w:t>
      </w:r>
    </w:p>
    <w:p w14:paraId="0D796410">
      <w:pPr>
        <w:pageBreakBefore w:val="0"/>
        <w:kinsoku/>
        <w:wordWrap/>
        <w:overflowPunct/>
        <w:topLinePunct w:val="0"/>
        <w:autoSpaceDE/>
        <w:autoSpaceDN/>
        <w:bidi w:val="0"/>
        <w:adjustRightInd w:val="0"/>
        <w:snapToGrid w:val="0"/>
        <w:spacing w:beforeAutospacing="0" w:afterAutospacing="0" w:line="312" w:lineRule="auto"/>
        <w:ind w:left="0" w:firstLine="480" w:firstLineChars="200"/>
        <w:rPr>
          <w:rFonts w:hint="eastAsia" w:ascii="仿宋" w:hAnsi="仿宋" w:eastAsia="仿宋" w:cs="仿宋"/>
          <w:color w:val="auto"/>
          <w:sz w:val="24"/>
          <w:szCs w:val="24"/>
          <w:highlight w:val="none"/>
          <w:lang w:val="zh-TW"/>
        </w:rPr>
      </w:pPr>
    </w:p>
    <w:p w14:paraId="1D711586">
      <w:pPr>
        <w:pageBreakBefore w:val="0"/>
        <w:kinsoku/>
        <w:wordWrap/>
        <w:overflowPunct/>
        <w:topLinePunct w:val="0"/>
        <w:autoSpaceDE/>
        <w:autoSpaceDN/>
        <w:bidi w:val="0"/>
        <w:adjustRightInd/>
        <w:snapToGrid/>
        <w:spacing w:beforeAutospacing="0" w:afterAutospacing="0" w:line="240" w:lineRule="auto"/>
        <w:ind w:left="0" w:firstLine="0" w:firstLineChars="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647AAD17">
      <w:pPr>
        <w:keepNext w:val="0"/>
        <w:keepLines w:val="0"/>
        <w:widowControl/>
        <w:suppressLineNumbers w:val="0"/>
        <w:spacing w:before="0" w:beforeAutospacing="0" w:after="0" w:afterAutospacing="0"/>
        <w:ind w:left="0" w:firstLine="0"/>
        <w:jc w:val="left"/>
        <w:rPr>
          <w:rFonts w:hint="eastAsia" w:ascii="仿宋" w:hAnsi="仿宋" w:eastAsia="仿宋" w:cs="仿宋"/>
          <w:b/>
          <w:bCs/>
          <w:kern w:val="44"/>
          <w:sz w:val="24"/>
          <w:szCs w:val="24"/>
          <w:lang w:val="en-US" w:eastAsia="zh-CN" w:bidi="ar"/>
        </w:rPr>
      </w:pPr>
      <w:r>
        <w:rPr>
          <w:rStyle w:val="17"/>
          <w:rFonts w:hint="eastAsia" w:ascii="仿宋" w:hAnsi="仿宋" w:eastAsia="仿宋" w:cs="仿宋"/>
          <w:b/>
          <w:bCs/>
          <w:kern w:val="2"/>
          <w:sz w:val="24"/>
          <w:szCs w:val="24"/>
          <w:lang w:val="en-US" w:eastAsia="zh-CN" w:bidi="ar"/>
        </w:rPr>
        <w:t>供应商考核</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35"/>
        <w:gridCol w:w="1523"/>
        <w:gridCol w:w="1692"/>
        <w:gridCol w:w="1337"/>
        <w:gridCol w:w="3080"/>
        <w:gridCol w:w="761"/>
      </w:tblGrid>
      <w:tr w14:paraId="603D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1148B38D">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32"/>
                <w:szCs w:val="32"/>
                <w:lang w:val="en-US" w:eastAsia="zh-CN" w:bidi="ar"/>
              </w:rPr>
              <w:t>四川省人民医院供应商考核</w:t>
            </w:r>
          </w:p>
        </w:tc>
      </w:tr>
      <w:tr w14:paraId="7461F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5F24704">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供应商</w:t>
            </w:r>
          </w:p>
        </w:tc>
        <w:tc>
          <w:tcPr>
            <w:tcW w:w="2850" w:type="dxa"/>
            <w:gridSpan w:val="2"/>
            <w:shd w:val="clear" w:color="auto" w:fill="auto"/>
            <w:tcMar>
              <w:top w:w="0" w:type="dxa"/>
              <w:left w:w="105" w:type="dxa"/>
              <w:bottom w:w="0" w:type="dxa"/>
              <w:right w:w="105" w:type="dxa"/>
            </w:tcMar>
            <w:vAlign w:val="center"/>
          </w:tcPr>
          <w:p w14:paraId="4BB9A383">
            <w:pPr>
              <w:keepNext w:val="0"/>
              <w:keepLines w:val="0"/>
              <w:widowControl/>
              <w:suppressLineNumbers w:val="0"/>
              <w:jc w:val="left"/>
              <w:rPr>
                <w:rFonts w:hint="eastAsia" w:ascii="仿宋" w:hAnsi="仿宋" w:eastAsia="仿宋" w:cs="仿宋"/>
                <w:kern w:val="0"/>
                <w:sz w:val="24"/>
                <w:szCs w:val="24"/>
                <w:lang w:bidi="ar"/>
              </w:rPr>
            </w:pPr>
          </w:p>
        </w:tc>
        <w:tc>
          <w:tcPr>
            <w:tcW w:w="1185" w:type="dxa"/>
            <w:shd w:val="clear" w:color="auto" w:fill="auto"/>
            <w:tcMar>
              <w:top w:w="0" w:type="dxa"/>
              <w:left w:w="105" w:type="dxa"/>
              <w:bottom w:w="0" w:type="dxa"/>
              <w:right w:w="105" w:type="dxa"/>
            </w:tcMar>
            <w:vAlign w:val="center"/>
          </w:tcPr>
          <w:p w14:paraId="25D255F5">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合同名</w:t>
            </w:r>
          </w:p>
        </w:tc>
        <w:tc>
          <w:tcPr>
            <w:tcW w:w="3390" w:type="dxa"/>
            <w:gridSpan w:val="2"/>
            <w:shd w:val="clear" w:color="auto" w:fill="auto"/>
            <w:tcMar>
              <w:top w:w="0" w:type="dxa"/>
              <w:left w:w="105" w:type="dxa"/>
              <w:bottom w:w="0" w:type="dxa"/>
              <w:right w:w="105" w:type="dxa"/>
            </w:tcMar>
            <w:vAlign w:val="top"/>
          </w:tcPr>
          <w:p w14:paraId="27462493">
            <w:pPr>
              <w:keepNext w:val="0"/>
              <w:keepLines w:val="0"/>
              <w:widowControl/>
              <w:suppressLineNumbers w:val="0"/>
              <w:jc w:val="left"/>
              <w:rPr>
                <w:rFonts w:hint="eastAsia" w:ascii="仿宋" w:hAnsi="仿宋" w:eastAsia="仿宋" w:cs="仿宋"/>
                <w:kern w:val="0"/>
                <w:sz w:val="24"/>
                <w:szCs w:val="24"/>
                <w:lang w:bidi="ar"/>
              </w:rPr>
            </w:pPr>
          </w:p>
        </w:tc>
      </w:tr>
      <w:tr w14:paraId="3EC9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7DD8A92">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指标类别</w:t>
            </w:r>
          </w:p>
        </w:tc>
        <w:tc>
          <w:tcPr>
            <w:tcW w:w="1350" w:type="dxa"/>
            <w:shd w:val="clear" w:color="auto" w:fill="auto"/>
            <w:tcMar>
              <w:top w:w="0" w:type="dxa"/>
              <w:left w:w="105" w:type="dxa"/>
              <w:bottom w:w="0" w:type="dxa"/>
              <w:right w:w="105" w:type="dxa"/>
            </w:tcMar>
            <w:vAlign w:val="center"/>
          </w:tcPr>
          <w:p w14:paraId="153DF0DE">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指标</w:t>
            </w:r>
          </w:p>
        </w:tc>
        <w:tc>
          <w:tcPr>
            <w:tcW w:w="5415" w:type="dxa"/>
            <w:gridSpan w:val="3"/>
            <w:shd w:val="clear" w:color="auto" w:fill="auto"/>
            <w:tcMar>
              <w:top w:w="0" w:type="dxa"/>
              <w:left w:w="105" w:type="dxa"/>
              <w:bottom w:w="0" w:type="dxa"/>
              <w:right w:w="105" w:type="dxa"/>
            </w:tcMar>
            <w:vAlign w:val="center"/>
          </w:tcPr>
          <w:p w14:paraId="79E687A3">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考核内容</w:t>
            </w:r>
          </w:p>
        </w:tc>
        <w:tc>
          <w:tcPr>
            <w:tcW w:w="675" w:type="dxa"/>
            <w:shd w:val="clear" w:color="auto" w:fill="auto"/>
            <w:tcMar>
              <w:top w:w="0" w:type="dxa"/>
              <w:left w:w="105" w:type="dxa"/>
              <w:bottom w:w="0" w:type="dxa"/>
              <w:right w:w="105" w:type="dxa"/>
            </w:tcMar>
            <w:vAlign w:val="center"/>
          </w:tcPr>
          <w:p w14:paraId="37602CE2">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扣分</w:t>
            </w:r>
          </w:p>
        </w:tc>
      </w:tr>
      <w:tr w14:paraId="67A7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6A92B108">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性能质</w:t>
            </w:r>
          </w:p>
          <w:p w14:paraId="70127310">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量评价</w:t>
            </w:r>
          </w:p>
        </w:tc>
        <w:tc>
          <w:tcPr>
            <w:tcW w:w="1350" w:type="dxa"/>
            <w:shd w:val="clear" w:color="auto" w:fill="auto"/>
            <w:tcMar>
              <w:top w:w="0" w:type="dxa"/>
              <w:left w:w="105" w:type="dxa"/>
              <w:bottom w:w="0" w:type="dxa"/>
              <w:right w:w="105" w:type="dxa"/>
            </w:tcMar>
            <w:vAlign w:val="center"/>
          </w:tcPr>
          <w:p w14:paraId="41B1892E">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稳定性</w:t>
            </w:r>
          </w:p>
        </w:tc>
        <w:tc>
          <w:tcPr>
            <w:tcW w:w="5415" w:type="dxa"/>
            <w:gridSpan w:val="3"/>
            <w:shd w:val="clear" w:color="auto" w:fill="auto"/>
            <w:tcMar>
              <w:top w:w="0" w:type="dxa"/>
              <w:left w:w="105" w:type="dxa"/>
              <w:bottom w:w="0" w:type="dxa"/>
              <w:right w:w="105" w:type="dxa"/>
            </w:tcMar>
            <w:vAlign w:val="center"/>
          </w:tcPr>
          <w:p w14:paraId="18B10630">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59A249EC">
            <w:pPr>
              <w:keepNext w:val="0"/>
              <w:keepLines w:val="0"/>
              <w:widowControl/>
              <w:suppressLineNumbers w:val="0"/>
              <w:jc w:val="left"/>
              <w:rPr>
                <w:rFonts w:hint="eastAsia" w:ascii="仿宋" w:hAnsi="仿宋" w:eastAsia="仿宋" w:cs="仿宋"/>
                <w:kern w:val="0"/>
                <w:sz w:val="24"/>
                <w:szCs w:val="24"/>
                <w:lang w:bidi="ar"/>
              </w:rPr>
            </w:pPr>
          </w:p>
        </w:tc>
      </w:tr>
      <w:tr w14:paraId="6970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0AEACD5">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D0A9EAB">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安全性</w:t>
            </w:r>
          </w:p>
        </w:tc>
        <w:tc>
          <w:tcPr>
            <w:tcW w:w="5415" w:type="dxa"/>
            <w:gridSpan w:val="3"/>
            <w:shd w:val="clear" w:color="auto" w:fill="auto"/>
            <w:tcMar>
              <w:top w:w="0" w:type="dxa"/>
              <w:left w:w="105" w:type="dxa"/>
              <w:bottom w:w="0" w:type="dxa"/>
              <w:right w:w="105" w:type="dxa"/>
            </w:tcMar>
            <w:vAlign w:val="center"/>
          </w:tcPr>
          <w:p w14:paraId="4362D303">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051156B3">
            <w:pPr>
              <w:keepNext w:val="0"/>
              <w:keepLines w:val="0"/>
              <w:widowControl/>
              <w:suppressLineNumbers w:val="0"/>
              <w:jc w:val="left"/>
              <w:rPr>
                <w:rFonts w:hint="eastAsia" w:ascii="仿宋" w:hAnsi="仿宋" w:eastAsia="仿宋" w:cs="仿宋"/>
                <w:kern w:val="0"/>
                <w:sz w:val="24"/>
                <w:szCs w:val="24"/>
                <w:lang w:bidi="ar"/>
              </w:rPr>
            </w:pPr>
          </w:p>
        </w:tc>
      </w:tr>
      <w:tr w14:paraId="5BF7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4F290D4">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EB543ED">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用户满意度</w:t>
            </w:r>
          </w:p>
        </w:tc>
        <w:tc>
          <w:tcPr>
            <w:tcW w:w="5415" w:type="dxa"/>
            <w:gridSpan w:val="3"/>
            <w:shd w:val="clear" w:color="auto" w:fill="auto"/>
            <w:tcMar>
              <w:top w:w="0" w:type="dxa"/>
              <w:left w:w="105" w:type="dxa"/>
              <w:bottom w:w="0" w:type="dxa"/>
              <w:right w:w="105" w:type="dxa"/>
            </w:tcMar>
            <w:vAlign w:val="center"/>
          </w:tcPr>
          <w:p w14:paraId="5479A987">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2B77B9AB">
            <w:pPr>
              <w:keepNext w:val="0"/>
              <w:keepLines w:val="0"/>
              <w:widowControl/>
              <w:suppressLineNumbers w:val="0"/>
              <w:jc w:val="left"/>
              <w:rPr>
                <w:rFonts w:hint="eastAsia" w:ascii="仿宋" w:hAnsi="仿宋" w:eastAsia="仿宋" w:cs="仿宋"/>
                <w:kern w:val="0"/>
                <w:sz w:val="24"/>
                <w:szCs w:val="24"/>
                <w:lang w:bidi="ar"/>
              </w:rPr>
            </w:pPr>
          </w:p>
        </w:tc>
      </w:tr>
      <w:tr w14:paraId="7270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4E97C613">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使用支</w:t>
            </w:r>
          </w:p>
          <w:p w14:paraId="0CD649CE">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持评价</w:t>
            </w:r>
          </w:p>
        </w:tc>
        <w:tc>
          <w:tcPr>
            <w:tcW w:w="1350" w:type="dxa"/>
            <w:shd w:val="clear" w:color="auto" w:fill="auto"/>
            <w:tcMar>
              <w:top w:w="0" w:type="dxa"/>
              <w:left w:w="105" w:type="dxa"/>
              <w:bottom w:w="0" w:type="dxa"/>
              <w:right w:w="105" w:type="dxa"/>
            </w:tcMar>
            <w:vAlign w:val="center"/>
          </w:tcPr>
          <w:p w14:paraId="1981C53C">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考勤</w:t>
            </w:r>
          </w:p>
        </w:tc>
        <w:tc>
          <w:tcPr>
            <w:tcW w:w="5415" w:type="dxa"/>
            <w:gridSpan w:val="3"/>
            <w:shd w:val="clear" w:color="auto" w:fill="auto"/>
            <w:tcMar>
              <w:top w:w="0" w:type="dxa"/>
              <w:left w:w="105" w:type="dxa"/>
              <w:bottom w:w="0" w:type="dxa"/>
              <w:right w:w="105" w:type="dxa"/>
            </w:tcMar>
            <w:vAlign w:val="center"/>
          </w:tcPr>
          <w:p w14:paraId="6AEAD4A7">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508E929A">
            <w:pPr>
              <w:keepNext w:val="0"/>
              <w:keepLines w:val="0"/>
              <w:widowControl/>
              <w:suppressLineNumbers w:val="0"/>
              <w:jc w:val="left"/>
              <w:rPr>
                <w:rFonts w:hint="eastAsia" w:ascii="仿宋" w:hAnsi="仿宋" w:eastAsia="仿宋" w:cs="仿宋"/>
                <w:kern w:val="0"/>
                <w:sz w:val="24"/>
                <w:szCs w:val="24"/>
                <w:lang w:bidi="ar"/>
              </w:rPr>
            </w:pPr>
          </w:p>
        </w:tc>
      </w:tr>
      <w:tr w14:paraId="2B0F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DF521FD">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32468C5">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响应速度</w:t>
            </w:r>
          </w:p>
        </w:tc>
        <w:tc>
          <w:tcPr>
            <w:tcW w:w="5415" w:type="dxa"/>
            <w:gridSpan w:val="3"/>
            <w:shd w:val="clear" w:color="auto" w:fill="auto"/>
            <w:tcMar>
              <w:top w:w="0" w:type="dxa"/>
              <w:left w:w="105" w:type="dxa"/>
              <w:bottom w:w="0" w:type="dxa"/>
              <w:right w:w="105" w:type="dxa"/>
            </w:tcMar>
            <w:vAlign w:val="center"/>
          </w:tcPr>
          <w:p w14:paraId="75FC9DAA">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2114C62A">
            <w:pPr>
              <w:keepNext w:val="0"/>
              <w:keepLines w:val="0"/>
              <w:widowControl/>
              <w:suppressLineNumbers w:val="0"/>
              <w:jc w:val="left"/>
              <w:rPr>
                <w:rFonts w:hint="eastAsia" w:ascii="仿宋" w:hAnsi="仿宋" w:eastAsia="仿宋" w:cs="仿宋"/>
                <w:kern w:val="0"/>
                <w:sz w:val="24"/>
                <w:szCs w:val="24"/>
                <w:lang w:bidi="ar"/>
              </w:rPr>
            </w:pPr>
          </w:p>
        </w:tc>
      </w:tr>
      <w:tr w14:paraId="2EBE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2ADA2F4">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58F796B">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备件供应</w:t>
            </w:r>
          </w:p>
          <w:p w14:paraId="2A7AF576">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5415" w:type="dxa"/>
            <w:gridSpan w:val="3"/>
            <w:shd w:val="clear" w:color="auto" w:fill="auto"/>
            <w:tcMar>
              <w:top w:w="0" w:type="dxa"/>
              <w:left w:w="105" w:type="dxa"/>
              <w:bottom w:w="0" w:type="dxa"/>
              <w:right w:w="105" w:type="dxa"/>
            </w:tcMar>
            <w:vAlign w:val="center"/>
          </w:tcPr>
          <w:p w14:paraId="4937DE90">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75CB00E0">
            <w:pPr>
              <w:keepNext w:val="0"/>
              <w:keepLines w:val="0"/>
              <w:widowControl/>
              <w:suppressLineNumbers w:val="0"/>
              <w:jc w:val="left"/>
              <w:rPr>
                <w:rFonts w:hint="eastAsia" w:ascii="仿宋" w:hAnsi="仿宋" w:eastAsia="仿宋" w:cs="仿宋"/>
                <w:kern w:val="0"/>
                <w:sz w:val="24"/>
                <w:szCs w:val="24"/>
                <w:lang w:bidi="ar"/>
              </w:rPr>
            </w:pPr>
          </w:p>
        </w:tc>
      </w:tr>
      <w:tr w14:paraId="272D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790DA9C">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B8075EA">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定期巡检</w:t>
            </w:r>
          </w:p>
        </w:tc>
        <w:tc>
          <w:tcPr>
            <w:tcW w:w="5415" w:type="dxa"/>
            <w:gridSpan w:val="3"/>
            <w:shd w:val="clear" w:color="auto" w:fill="auto"/>
            <w:tcMar>
              <w:top w:w="0" w:type="dxa"/>
              <w:left w:w="105" w:type="dxa"/>
              <w:bottom w:w="0" w:type="dxa"/>
              <w:right w:w="105" w:type="dxa"/>
            </w:tcMar>
            <w:vAlign w:val="center"/>
          </w:tcPr>
          <w:p w14:paraId="7E7087EB">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65DFDA3F">
            <w:pPr>
              <w:keepNext w:val="0"/>
              <w:keepLines w:val="0"/>
              <w:widowControl/>
              <w:suppressLineNumbers w:val="0"/>
              <w:jc w:val="left"/>
              <w:rPr>
                <w:rFonts w:hint="eastAsia" w:ascii="仿宋" w:hAnsi="仿宋" w:eastAsia="仿宋" w:cs="仿宋"/>
                <w:kern w:val="0"/>
                <w:sz w:val="24"/>
                <w:szCs w:val="24"/>
                <w:lang w:bidi="ar"/>
              </w:rPr>
            </w:pPr>
          </w:p>
        </w:tc>
      </w:tr>
      <w:tr w14:paraId="12B7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7F0744E">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7891E61D">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培训服务</w:t>
            </w:r>
          </w:p>
        </w:tc>
        <w:tc>
          <w:tcPr>
            <w:tcW w:w="5415" w:type="dxa"/>
            <w:gridSpan w:val="3"/>
            <w:shd w:val="clear" w:color="auto" w:fill="auto"/>
            <w:tcMar>
              <w:top w:w="0" w:type="dxa"/>
              <w:left w:w="105" w:type="dxa"/>
              <w:bottom w:w="0" w:type="dxa"/>
              <w:right w:w="105" w:type="dxa"/>
            </w:tcMar>
            <w:vAlign w:val="center"/>
          </w:tcPr>
          <w:p w14:paraId="76ECA342">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1C50E265">
            <w:pPr>
              <w:keepNext w:val="0"/>
              <w:keepLines w:val="0"/>
              <w:widowControl/>
              <w:suppressLineNumbers w:val="0"/>
              <w:jc w:val="left"/>
              <w:rPr>
                <w:rFonts w:hint="eastAsia" w:ascii="仿宋" w:hAnsi="仿宋" w:eastAsia="仿宋" w:cs="仿宋"/>
                <w:kern w:val="0"/>
                <w:sz w:val="24"/>
                <w:szCs w:val="24"/>
                <w:lang w:bidi="ar"/>
              </w:rPr>
            </w:pPr>
          </w:p>
        </w:tc>
      </w:tr>
      <w:tr w14:paraId="3F9FD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E943D7E">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6BC35ED">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技术文档</w:t>
            </w:r>
          </w:p>
        </w:tc>
        <w:tc>
          <w:tcPr>
            <w:tcW w:w="5415" w:type="dxa"/>
            <w:gridSpan w:val="3"/>
            <w:shd w:val="clear" w:color="auto" w:fill="auto"/>
            <w:tcMar>
              <w:top w:w="0" w:type="dxa"/>
              <w:left w:w="105" w:type="dxa"/>
              <w:bottom w:w="0" w:type="dxa"/>
              <w:right w:w="105" w:type="dxa"/>
            </w:tcMar>
            <w:vAlign w:val="center"/>
          </w:tcPr>
          <w:p w14:paraId="22F07959">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521767E6">
            <w:pPr>
              <w:keepNext w:val="0"/>
              <w:keepLines w:val="0"/>
              <w:widowControl/>
              <w:suppressLineNumbers w:val="0"/>
              <w:jc w:val="left"/>
              <w:rPr>
                <w:rFonts w:hint="eastAsia" w:ascii="仿宋" w:hAnsi="仿宋" w:eastAsia="仿宋" w:cs="仿宋"/>
                <w:kern w:val="0"/>
                <w:sz w:val="24"/>
                <w:szCs w:val="24"/>
                <w:lang w:bidi="ar"/>
              </w:rPr>
            </w:pPr>
          </w:p>
        </w:tc>
      </w:tr>
      <w:tr w14:paraId="0BF2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72F12A2A">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违规违</w:t>
            </w:r>
          </w:p>
          <w:p w14:paraId="2590BDBC">
            <w:pPr>
              <w:keepNext w:val="0"/>
              <w:keepLines w:val="0"/>
              <w:widowControl/>
              <w:suppressLineNumbers w:val="0"/>
              <w:autoSpaceDE w:val="0"/>
              <w:autoSpaceDN/>
              <w:spacing w:before="0" w:beforeAutospacing="0" w:after="195" w:afterAutospacing="0" w:line="240"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纪评价</w:t>
            </w:r>
          </w:p>
        </w:tc>
        <w:tc>
          <w:tcPr>
            <w:tcW w:w="1350" w:type="dxa"/>
            <w:shd w:val="clear" w:color="auto" w:fill="auto"/>
            <w:tcMar>
              <w:top w:w="0" w:type="dxa"/>
              <w:left w:w="105" w:type="dxa"/>
              <w:bottom w:w="0" w:type="dxa"/>
              <w:right w:w="105" w:type="dxa"/>
            </w:tcMar>
            <w:vAlign w:val="center"/>
          </w:tcPr>
          <w:p w14:paraId="35D8D0D6">
            <w:pPr>
              <w:keepNext w:val="0"/>
              <w:keepLines w:val="0"/>
              <w:widowControl/>
              <w:suppressLineNumbers w:val="0"/>
              <w:autoSpaceDE w:val="0"/>
              <w:autoSpaceDN/>
              <w:spacing w:before="0" w:beforeAutospacing="0" w:after="195"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廉洁从业</w:t>
            </w:r>
          </w:p>
        </w:tc>
        <w:tc>
          <w:tcPr>
            <w:tcW w:w="5415" w:type="dxa"/>
            <w:gridSpan w:val="3"/>
            <w:shd w:val="clear" w:color="auto" w:fill="auto"/>
            <w:tcMar>
              <w:top w:w="0" w:type="dxa"/>
              <w:left w:w="105" w:type="dxa"/>
              <w:bottom w:w="0" w:type="dxa"/>
              <w:right w:w="105" w:type="dxa"/>
            </w:tcMar>
            <w:vAlign w:val="center"/>
          </w:tcPr>
          <w:p w14:paraId="4CEB5189">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1037AF13">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一票否决</w:t>
            </w:r>
          </w:p>
        </w:tc>
      </w:tr>
      <w:tr w14:paraId="2863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5C1227E">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418E7055">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安全规范</w:t>
            </w:r>
          </w:p>
        </w:tc>
        <w:tc>
          <w:tcPr>
            <w:tcW w:w="5415" w:type="dxa"/>
            <w:gridSpan w:val="3"/>
            <w:shd w:val="clear" w:color="auto" w:fill="auto"/>
            <w:tcMar>
              <w:top w:w="0" w:type="dxa"/>
              <w:left w:w="105" w:type="dxa"/>
              <w:bottom w:w="0" w:type="dxa"/>
              <w:right w:w="105" w:type="dxa"/>
            </w:tcMar>
            <w:vAlign w:val="center"/>
          </w:tcPr>
          <w:p w14:paraId="7A002D55">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675" w:type="dxa"/>
            <w:shd w:val="clear" w:color="auto" w:fill="auto"/>
            <w:tcMar>
              <w:top w:w="0" w:type="dxa"/>
              <w:left w:w="105" w:type="dxa"/>
              <w:bottom w:w="0" w:type="dxa"/>
              <w:right w:w="105" w:type="dxa"/>
            </w:tcMar>
            <w:vAlign w:val="center"/>
          </w:tcPr>
          <w:p w14:paraId="66A4835B">
            <w:pPr>
              <w:keepNext w:val="0"/>
              <w:keepLines w:val="0"/>
              <w:widowControl/>
              <w:suppressLineNumbers w:val="0"/>
              <w:jc w:val="left"/>
              <w:rPr>
                <w:rFonts w:hint="eastAsia" w:ascii="仿宋" w:hAnsi="仿宋" w:eastAsia="仿宋" w:cs="仿宋"/>
                <w:kern w:val="0"/>
                <w:sz w:val="24"/>
                <w:szCs w:val="24"/>
                <w:lang w:bidi="ar"/>
              </w:rPr>
            </w:pPr>
          </w:p>
        </w:tc>
      </w:tr>
      <w:tr w14:paraId="3560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8BC2373">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4EB7F6C6">
            <w:pPr>
              <w:keepNext w:val="0"/>
              <w:keepLines w:val="0"/>
              <w:widowControl/>
              <w:suppressLineNumbers w:val="0"/>
              <w:autoSpaceDE w:val="0"/>
              <w:autoSpaceDN/>
              <w:spacing w:before="0" w:beforeAutospacing="0" w:after="0" w:afterAutospacing="0" w:line="405" w:lineRule="atLeast"/>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其他违纪违规</w:t>
            </w:r>
          </w:p>
        </w:tc>
        <w:tc>
          <w:tcPr>
            <w:tcW w:w="5415" w:type="dxa"/>
            <w:gridSpan w:val="3"/>
            <w:shd w:val="clear" w:color="auto" w:fill="auto"/>
            <w:tcMar>
              <w:top w:w="0" w:type="dxa"/>
              <w:left w:w="105" w:type="dxa"/>
              <w:bottom w:w="0" w:type="dxa"/>
              <w:right w:w="105" w:type="dxa"/>
            </w:tcMar>
            <w:vAlign w:val="center"/>
          </w:tcPr>
          <w:p w14:paraId="5F9F0074">
            <w:pPr>
              <w:keepNext w:val="0"/>
              <w:keepLines w:val="0"/>
              <w:widowControl/>
              <w:suppressLineNumbers w:val="0"/>
              <w:autoSpaceDE w:val="0"/>
              <w:autoSpaceDN/>
              <w:spacing w:before="0" w:beforeAutospacing="0" w:after="0" w:afterAutospacing="0"/>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707DC940">
            <w:pPr>
              <w:keepNext w:val="0"/>
              <w:keepLines w:val="0"/>
              <w:widowControl/>
              <w:suppressLineNumbers w:val="0"/>
              <w:jc w:val="left"/>
              <w:rPr>
                <w:rFonts w:hint="eastAsia" w:ascii="仿宋" w:hAnsi="仿宋" w:eastAsia="仿宋" w:cs="仿宋"/>
                <w:kern w:val="0"/>
                <w:sz w:val="24"/>
                <w:szCs w:val="24"/>
                <w:lang w:bidi="ar"/>
              </w:rPr>
            </w:pPr>
          </w:p>
        </w:tc>
      </w:tr>
      <w:tr w14:paraId="20C6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B92C946">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扣分合计</w:t>
            </w:r>
          </w:p>
        </w:tc>
        <w:tc>
          <w:tcPr>
            <w:tcW w:w="7425" w:type="dxa"/>
            <w:gridSpan w:val="5"/>
            <w:shd w:val="clear" w:color="auto" w:fill="auto"/>
            <w:tcMar>
              <w:top w:w="0" w:type="dxa"/>
              <w:left w:w="105" w:type="dxa"/>
              <w:bottom w:w="0" w:type="dxa"/>
              <w:right w:w="105" w:type="dxa"/>
            </w:tcMar>
            <w:vAlign w:val="center"/>
          </w:tcPr>
          <w:p w14:paraId="15A04E8C">
            <w:pPr>
              <w:keepNext w:val="0"/>
              <w:keepLines w:val="0"/>
              <w:widowControl/>
              <w:suppressLineNumbers w:val="0"/>
              <w:jc w:val="left"/>
              <w:rPr>
                <w:rFonts w:hint="eastAsia" w:ascii="仿宋" w:hAnsi="仿宋" w:eastAsia="仿宋" w:cs="仿宋"/>
                <w:kern w:val="0"/>
                <w:sz w:val="24"/>
                <w:szCs w:val="24"/>
                <w:lang w:bidi="ar"/>
              </w:rPr>
            </w:pPr>
          </w:p>
        </w:tc>
      </w:tr>
      <w:tr w14:paraId="3909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86" w:hRule="atLeast"/>
        </w:trPr>
        <w:tc>
          <w:tcPr>
            <w:tcW w:w="1095" w:type="dxa"/>
            <w:shd w:val="clear" w:color="auto" w:fill="auto"/>
            <w:tcMar>
              <w:top w:w="0" w:type="dxa"/>
              <w:left w:w="105" w:type="dxa"/>
              <w:bottom w:w="0" w:type="dxa"/>
              <w:right w:w="105" w:type="dxa"/>
            </w:tcMar>
            <w:vAlign w:val="center"/>
          </w:tcPr>
          <w:p w14:paraId="4DFD7B0E">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考核人</w:t>
            </w:r>
          </w:p>
        </w:tc>
        <w:tc>
          <w:tcPr>
            <w:tcW w:w="7425" w:type="dxa"/>
            <w:gridSpan w:val="5"/>
            <w:shd w:val="clear" w:color="auto" w:fill="auto"/>
            <w:tcMar>
              <w:top w:w="0" w:type="dxa"/>
              <w:left w:w="105" w:type="dxa"/>
              <w:bottom w:w="0" w:type="dxa"/>
              <w:right w:w="105" w:type="dxa"/>
            </w:tcMar>
            <w:vAlign w:val="center"/>
          </w:tcPr>
          <w:p w14:paraId="31CAE26D">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4A263311">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4ACF427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2"/>
          <w:sz w:val="24"/>
          <w:szCs w:val="24"/>
          <w:lang w:val="en-US" w:eastAsia="zh-CN" w:bidi="ar"/>
        </w:rPr>
        <w:t>备注：</w:t>
      </w:r>
    </w:p>
    <w:p w14:paraId="46E079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1.服务期内，采购人可按照本项目采购需求内容对应的考核指标对供应商进行考核，具体指标以采购人要求为准；</w:t>
      </w:r>
    </w:p>
    <w:p w14:paraId="3FFEE31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2.考核关联最终付款金额，具体计算规则如下：</w:t>
      </w:r>
    </w:p>
    <w:p w14:paraId="51F8D3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b w:val="0"/>
          <w:bCs/>
          <w:kern w:val="2"/>
          <w:sz w:val="24"/>
          <w:szCs w:val="24"/>
          <w:lang w:val="en-US" w:eastAsia="zh-CN" w:bidi="ar"/>
        </w:rPr>
        <w:t>1）</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=服务期汇总考核扣分之和÷服务期内考核次数；</w:t>
      </w:r>
    </w:p>
    <w:p w14:paraId="76023B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2）0分&lt;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≤3分，将对供应商进行诫勉谈话；  </w:t>
      </w:r>
    </w:p>
    <w:p w14:paraId="696417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3）3分&lt;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≤5分，对供应商提出警告，</w:t>
      </w:r>
      <w:r>
        <w:rPr>
          <w:rFonts w:hint="eastAsia" w:ascii="仿宋" w:hAnsi="仿宋" w:eastAsia="仿宋" w:cs="仿宋"/>
          <w:kern w:val="2"/>
          <w:sz w:val="24"/>
          <w:szCs w:val="24"/>
          <w:u w:val="single"/>
          <w:lang w:val="en-US" w:eastAsia="zh-CN" w:bidi="ar"/>
        </w:rPr>
        <w:t>从合同待支付金额中或履约保证金中</w:t>
      </w:r>
      <w:r>
        <w:rPr>
          <w:rFonts w:hint="eastAsia" w:ascii="仿宋" w:hAnsi="仿宋" w:eastAsia="仿宋" w:cs="仿宋"/>
          <w:kern w:val="2"/>
          <w:sz w:val="24"/>
          <w:szCs w:val="24"/>
          <w:lang w:val="en-US" w:eastAsia="zh-CN" w:bidi="ar"/>
        </w:rPr>
        <w:t>扣除合同总金额5%费用，扣完为止；</w:t>
      </w:r>
    </w:p>
    <w:p w14:paraId="24D923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4）5分&lt;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≤10分，对供应商提出严重警告，</w:t>
      </w:r>
      <w:r>
        <w:rPr>
          <w:rFonts w:hint="eastAsia" w:ascii="仿宋" w:hAnsi="仿宋" w:eastAsia="仿宋" w:cs="仿宋"/>
          <w:kern w:val="2"/>
          <w:sz w:val="24"/>
          <w:szCs w:val="24"/>
          <w:u w:val="single"/>
          <w:lang w:val="en-US" w:eastAsia="zh-CN" w:bidi="ar"/>
        </w:rPr>
        <w:t>从合同待支付金额中或履约保证金中</w:t>
      </w:r>
      <w:r>
        <w:rPr>
          <w:rFonts w:hint="eastAsia" w:ascii="仿宋" w:hAnsi="仿宋" w:eastAsia="仿宋" w:cs="仿宋"/>
          <w:kern w:val="2"/>
          <w:sz w:val="24"/>
          <w:szCs w:val="24"/>
          <w:lang w:val="en-US" w:eastAsia="zh-CN" w:bidi="ar"/>
        </w:rPr>
        <w:t>扣除合同总金额10%费用，扣完为止；</w:t>
      </w:r>
    </w:p>
    <w:p w14:paraId="6FA3B4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5）10分&lt;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，视为</w:t>
      </w:r>
      <w:r>
        <w:rPr>
          <w:rStyle w:val="17"/>
          <w:rFonts w:hint="eastAsia" w:ascii="仿宋" w:hAnsi="仿宋" w:eastAsia="仿宋" w:cs="仿宋"/>
          <w:kern w:val="2"/>
          <w:sz w:val="24"/>
          <w:szCs w:val="24"/>
          <w:lang w:val="en-US" w:eastAsia="zh-CN" w:bidi="ar"/>
        </w:rPr>
        <w:t>不合格</w:t>
      </w:r>
      <w:r>
        <w:rPr>
          <w:rFonts w:hint="eastAsia" w:ascii="仿宋" w:hAnsi="仿宋" w:eastAsia="仿宋" w:cs="仿宋"/>
          <w:kern w:val="2"/>
          <w:sz w:val="24"/>
          <w:szCs w:val="24"/>
          <w:lang w:val="en-US" w:eastAsia="zh-CN" w:bidi="ar"/>
        </w:rPr>
        <w:t>，终止合同，合同待支付金额不予支付，履约保证金（如有履约保证金）不予退还；</w:t>
      </w:r>
    </w:p>
    <w:p w14:paraId="37B6C4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64716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4.如合同待支付金额或履约保证金中无款可扣且考核后出现扣款情况，供应商承诺在得到采购人考核结果后的10日内向采购人缴纳对应的扣款金额。（提供承诺函）</w:t>
      </w:r>
    </w:p>
    <w:p w14:paraId="761BF10A">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kern w:val="2"/>
          <w:sz w:val="24"/>
          <w:szCs w:val="24"/>
          <w:lang w:val="en-US" w:eastAsia="zh-CN" w:bidi="ar"/>
        </w:rPr>
        <w:t>5.本考核指标最终解释权归四川省医学科学院·四川省人民医院。</w:t>
      </w:r>
    </w:p>
    <w:p w14:paraId="07918E9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p>
    <w:p w14:paraId="03ACA368">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0B19A78B">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p>
    <w:p w14:paraId="13278513">
      <w:pPr>
        <w:rPr>
          <w:rFonts w:hint="default"/>
          <w:color w:val="auto"/>
          <w:highlight w:val="none"/>
          <w:lang w:val="zh-TW"/>
        </w:rPr>
      </w:pPr>
    </w:p>
    <w:p w14:paraId="676F9ACB">
      <w:pPr>
        <w:pStyle w:val="2"/>
        <w:rPr>
          <w:rFonts w:cs="Times New Roman" w:asciiTheme="majorEastAsia" w:hAnsiTheme="majorEastAsia" w:eastAsiaTheme="majorEastAsia"/>
          <w:color w:val="auto"/>
          <w:szCs w:val="36"/>
          <w:highlight w:val="none"/>
          <w:lang w:val="zh-TW"/>
        </w:rPr>
      </w:pPr>
      <w:bookmarkStart w:id="15" w:name="_Toc19035"/>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13"/>
      <w:r>
        <w:rPr>
          <w:rFonts w:hint="eastAsia"/>
          <w:color w:val="auto"/>
          <w:highlight w:val="none"/>
          <w:lang w:val="en-US"/>
        </w:rPr>
        <w:t>格式</w:t>
      </w:r>
      <w:bookmarkEnd w:id="15"/>
    </w:p>
    <w:bookmarkEnd w:id="14"/>
    <w:p w14:paraId="3F9247B2">
      <w:pPr>
        <w:pStyle w:val="5"/>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6" w:name="_Toc19851"/>
      <w:bookmarkStart w:id="17" w:name="_Toc30609"/>
      <w:bookmarkStart w:id="18" w:name="_Toc9428"/>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6"/>
      <w:bookmarkEnd w:id="17"/>
      <w:bookmarkEnd w:id="18"/>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9" w:name="_Toc32352"/>
      <w:bookmarkStart w:id="20" w:name="_Toc1544"/>
      <w:bookmarkStart w:id="21" w:name="_Toc9041"/>
      <w:r>
        <w:rPr>
          <w:rFonts w:hint="default" w:ascii="Times New Roman" w:hAnsi="Times New Roman" w:eastAsia="宋体" w:cs="Times New Roman"/>
          <w:b/>
          <w:bCs/>
          <w:color w:val="auto"/>
          <w:sz w:val="28"/>
          <w:szCs w:val="28"/>
          <w:highlight w:val="none"/>
        </w:rPr>
        <w:t>项目编号：</w:t>
      </w:r>
      <w:bookmarkEnd w:id="19"/>
      <w:bookmarkEnd w:id="20"/>
      <w:bookmarkEnd w:id="21"/>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22" w:name="_Toc21472"/>
      <w:bookmarkStart w:id="23" w:name="_Toc24097"/>
    </w:p>
    <w:bookmarkEnd w:id="22"/>
    <w:bookmarkEnd w:id="23"/>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24" w:name="_Toc17163"/>
      <w:bookmarkStart w:id="25" w:name="_Toc32749"/>
      <w:bookmarkStart w:id="26" w:name="_Toc24859"/>
      <w:bookmarkStart w:id="27" w:name="_Toc1690"/>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24"/>
      <w:bookmarkEnd w:id="25"/>
      <w:bookmarkEnd w:id="26"/>
      <w:bookmarkEnd w:id="27"/>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8" w:name="_Toc2989"/>
      <w:bookmarkStart w:id="29" w:name="_Toc27526"/>
      <w:bookmarkStart w:id="30" w:name="_Toc5996"/>
      <w:bookmarkStart w:id="31" w:name="_Toc27135"/>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8"/>
      <w:bookmarkEnd w:id="29"/>
      <w:bookmarkEnd w:id="30"/>
      <w:bookmarkEnd w:id="31"/>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32" w:name="_Toc5056"/>
      <w:bookmarkStart w:id="33" w:name="_Toc19987"/>
      <w:bookmarkStart w:id="34" w:name="_Toc7233"/>
      <w:bookmarkStart w:id="35" w:name="_Toc2031"/>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32"/>
      <w:bookmarkEnd w:id="33"/>
      <w:bookmarkEnd w:id="34"/>
      <w:bookmarkEnd w:id="35"/>
    </w:p>
    <w:p w14:paraId="4EA7F0C2">
      <w:pPr>
        <w:rPr>
          <w:rFonts w:hint="default" w:cs="Times New Roman" w:asciiTheme="majorEastAsia" w:hAnsiTheme="majorEastAsia" w:eastAsiaTheme="majorEastAsia"/>
          <w:color w:val="auto"/>
          <w:sz w:val="30"/>
          <w:szCs w:val="30"/>
          <w:highlight w:val="none"/>
          <w:lang w:val="zh-TW" w:eastAsia="zh-TW"/>
        </w:rPr>
      </w:pPr>
      <w:bookmarkStart w:id="36"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6"/>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4"/>
        <w:gridCol w:w="4664"/>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7"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7"/>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52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18"/>
        <w:gridCol w:w="2155"/>
        <w:gridCol w:w="3522"/>
        <w:gridCol w:w="854"/>
        <w:gridCol w:w="868"/>
        <w:gridCol w:w="1704"/>
      </w:tblGrid>
      <w:tr w14:paraId="385D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458" w:type="pct"/>
            <w:shd w:val="clear" w:color="auto" w:fill="auto"/>
            <w:tcMar>
              <w:top w:w="0" w:type="dxa"/>
              <w:left w:w="105" w:type="dxa"/>
              <w:bottom w:w="0" w:type="dxa"/>
              <w:right w:w="105" w:type="dxa"/>
            </w:tcMar>
            <w:vAlign w:val="center"/>
          </w:tcPr>
          <w:p w14:paraId="3BC8AD9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序号</w:t>
            </w:r>
          </w:p>
        </w:tc>
        <w:tc>
          <w:tcPr>
            <w:tcW w:w="1075" w:type="pct"/>
            <w:shd w:val="clear" w:color="auto" w:fill="auto"/>
            <w:tcMar>
              <w:top w:w="0" w:type="dxa"/>
              <w:left w:w="105" w:type="dxa"/>
              <w:bottom w:w="0" w:type="dxa"/>
              <w:right w:w="105" w:type="dxa"/>
            </w:tcMar>
            <w:vAlign w:val="center"/>
          </w:tcPr>
          <w:p w14:paraId="3AC8AB4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品名</w:t>
            </w:r>
          </w:p>
        </w:tc>
        <w:tc>
          <w:tcPr>
            <w:tcW w:w="1757" w:type="pct"/>
            <w:shd w:val="clear" w:color="auto" w:fill="auto"/>
            <w:tcMar>
              <w:top w:w="0" w:type="dxa"/>
              <w:left w:w="105" w:type="dxa"/>
              <w:bottom w:w="0" w:type="dxa"/>
              <w:right w:w="105" w:type="dxa"/>
            </w:tcMar>
            <w:vAlign w:val="center"/>
          </w:tcPr>
          <w:p w14:paraId="305DCDC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详细描述</w:t>
            </w:r>
          </w:p>
        </w:tc>
        <w:tc>
          <w:tcPr>
            <w:tcW w:w="426" w:type="pct"/>
            <w:shd w:val="clear" w:color="auto" w:fill="auto"/>
            <w:tcMar>
              <w:top w:w="0" w:type="dxa"/>
              <w:left w:w="105" w:type="dxa"/>
              <w:bottom w:w="0" w:type="dxa"/>
              <w:right w:w="105" w:type="dxa"/>
            </w:tcMar>
            <w:vAlign w:val="center"/>
          </w:tcPr>
          <w:p w14:paraId="03F3FB0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数量</w:t>
            </w:r>
          </w:p>
        </w:tc>
        <w:tc>
          <w:tcPr>
            <w:tcW w:w="433" w:type="pct"/>
            <w:shd w:val="clear" w:color="auto" w:fill="auto"/>
            <w:tcMar>
              <w:top w:w="0" w:type="dxa"/>
              <w:left w:w="105" w:type="dxa"/>
              <w:bottom w:w="0" w:type="dxa"/>
              <w:right w:w="105" w:type="dxa"/>
            </w:tcMar>
            <w:vAlign w:val="center"/>
          </w:tcPr>
          <w:p w14:paraId="5DF0EE8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单位</w:t>
            </w:r>
          </w:p>
        </w:tc>
        <w:tc>
          <w:tcPr>
            <w:tcW w:w="849" w:type="pct"/>
            <w:shd w:val="clear" w:color="auto" w:fill="auto"/>
            <w:tcMar>
              <w:top w:w="0" w:type="dxa"/>
              <w:left w:w="105" w:type="dxa"/>
              <w:bottom w:w="0" w:type="dxa"/>
              <w:right w:w="105" w:type="dxa"/>
            </w:tcMar>
            <w:vAlign w:val="center"/>
          </w:tcPr>
          <w:p w14:paraId="10E3590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报价（元）</w:t>
            </w:r>
          </w:p>
        </w:tc>
      </w:tr>
      <w:tr w14:paraId="1EAE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458" w:type="pct"/>
            <w:shd w:val="clear" w:color="auto" w:fill="auto"/>
            <w:tcMar>
              <w:top w:w="0" w:type="dxa"/>
              <w:left w:w="105" w:type="dxa"/>
              <w:bottom w:w="0" w:type="dxa"/>
              <w:right w:w="105" w:type="dxa"/>
            </w:tcMar>
            <w:vAlign w:val="center"/>
          </w:tcPr>
          <w:p w14:paraId="4D62D31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1075" w:type="pct"/>
            <w:shd w:val="clear" w:color="auto" w:fill="auto"/>
            <w:tcMar>
              <w:top w:w="0" w:type="dxa"/>
              <w:left w:w="105" w:type="dxa"/>
              <w:bottom w:w="0" w:type="dxa"/>
              <w:right w:w="105" w:type="dxa"/>
            </w:tcMar>
            <w:vAlign w:val="center"/>
          </w:tcPr>
          <w:p w14:paraId="4F08E1F9">
            <w:pPr>
              <w:pStyle w:val="12"/>
              <w:jc w:val="center"/>
              <w:rPr>
                <w:rFonts w:hint="eastAsia" w:ascii="宋体" w:hAnsi="宋体" w:eastAsia="宋体" w:cs="宋体"/>
                <w:b w:val="0"/>
                <w:bCs w:val="0"/>
                <w:color w:val="auto"/>
                <w:sz w:val="21"/>
                <w:szCs w:val="21"/>
                <w:highlight w:val="none"/>
                <w:u w:val="none" w:color="auto"/>
                <w:lang w:val="en-US" w:eastAsia="zh-CN"/>
              </w:rPr>
            </w:pPr>
            <w:r>
              <w:rPr>
                <w:rStyle w:val="17"/>
                <w:rFonts w:hint="eastAsia" w:ascii="宋体" w:hAnsi="宋体" w:eastAsia="宋体" w:cs="宋体"/>
                <w:b w:val="0"/>
                <w:bCs w:val="0"/>
                <w:sz w:val="21"/>
                <w:szCs w:val="21"/>
                <w:u w:val="none" w:color="auto"/>
                <w:lang w:val="en-US" w:eastAsia="zh-CN"/>
              </w:rPr>
              <w:t>四川省人民医院DRGs系统维护服务</w:t>
            </w:r>
          </w:p>
        </w:tc>
        <w:tc>
          <w:tcPr>
            <w:tcW w:w="1757" w:type="pct"/>
            <w:shd w:val="clear" w:color="auto" w:fill="auto"/>
            <w:tcMar>
              <w:top w:w="0" w:type="dxa"/>
              <w:left w:w="105" w:type="dxa"/>
              <w:bottom w:w="0" w:type="dxa"/>
              <w:right w:w="105" w:type="dxa"/>
            </w:tcMar>
            <w:vAlign w:val="center"/>
          </w:tcPr>
          <w:p w14:paraId="24F7ADC9">
            <w:pPr>
              <w:pStyle w:val="12"/>
              <w:jc w:val="both"/>
              <w:rPr>
                <w:rFonts w:hint="eastAsia" w:ascii="宋体" w:hAnsi="宋体" w:eastAsia="宋体" w:cs="宋体"/>
                <w:b w:val="0"/>
                <w:bCs w:val="0"/>
                <w:color w:val="auto"/>
                <w:sz w:val="21"/>
                <w:szCs w:val="21"/>
                <w:highlight w:val="none"/>
                <w:u w:val="none" w:color="auto"/>
                <w:lang w:val="en-US" w:eastAsia="zh-CN"/>
              </w:rPr>
            </w:pPr>
            <w:r>
              <w:rPr>
                <w:rFonts w:hint="eastAsia" w:ascii="宋体" w:hAnsi="宋体" w:eastAsia="宋体" w:cs="宋体"/>
                <w:b w:val="0"/>
                <w:bCs w:val="0"/>
                <w:sz w:val="21"/>
                <w:szCs w:val="21"/>
                <w:u w:val="none" w:color="auto"/>
                <w:lang w:val="en-US" w:eastAsia="zh-CN"/>
              </w:rPr>
              <w:t>保障DRGs系统持续稳定、合规、高效运行。原系统的名称：DRGs院内版；版本号：V4.0；生产厂家：上海联众网络信息股份有限公司。</w:t>
            </w:r>
          </w:p>
        </w:tc>
        <w:tc>
          <w:tcPr>
            <w:tcW w:w="426" w:type="pct"/>
            <w:shd w:val="clear" w:color="auto" w:fill="auto"/>
            <w:tcMar>
              <w:top w:w="0" w:type="dxa"/>
              <w:left w:w="105" w:type="dxa"/>
              <w:bottom w:w="0" w:type="dxa"/>
              <w:right w:w="105" w:type="dxa"/>
            </w:tcMar>
            <w:vAlign w:val="center"/>
          </w:tcPr>
          <w:p w14:paraId="67B20C9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433" w:type="pct"/>
            <w:shd w:val="clear" w:color="auto" w:fill="auto"/>
            <w:tcMar>
              <w:top w:w="0" w:type="dxa"/>
              <w:left w:w="105" w:type="dxa"/>
              <w:bottom w:w="0" w:type="dxa"/>
              <w:right w:w="105" w:type="dxa"/>
            </w:tcMar>
            <w:vAlign w:val="center"/>
          </w:tcPr>
          <w:p w14:paraId="1400299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w:t>
            </w:r>
          </w:p>
        </w:tc>
        <w:tc>
          <w:tcPr>
            <w:tcW w:w="849" w:type="pct"/>
            <w:shd w:val="clear" w:color="auto" w:fill="auto"/>
            <w:tcMar>
              <w:top w:w="0" w:type="dxa"/>
              <w:left w:w="105" w:type="dxa"/>
              <w:bottom w:w="0" w:type="dxa"/>
              <w:right w:w="105" w:type="dxa"/>
            </w:tcMar>
            <w:vAlign w:val="center"/>
          </w:tcPr>
          <w:p w14:paraId="4A2C891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4647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458" w:type="pct"/>
            <w:shd w:val="clear" w:color="auto" w:fill="auto"/>
            <w:tcMar>
              <w:top w:w="0" w:type="dxa"/>
              <w:left w:w="105" w:type="dxa"/>
              <w:bottom w:w="0" w:type="dxa"/>
              <w:right w:w="105" w:type="dxa"/>
            </w:tcMar>
            <w:vAlign w:val="center"/>
          </w:tcPr>
          <w:p w14:paraId="1F46CE1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合计</w:t>
            </w:r>
          </w:p>
        </w:tc>
        <w:tc>
          <w:tcPr>
            <w:tcW w:w="4541" w:type="pct"/>
            <w:gridSpan w:val="5"/>
            <w:shd w:val="clear" w:color="auto" w:fill="auto"/>
            <w:tcMar>
              <w:top w:w="0" w:type="dxa"/>
              <w:left w:w="105" w:type="dxa"/>
              <w:bottom w:w="0" w:type="dxa"/>
              <w:right w:w="105" w:type="dxa"/>
            </w:tcMar>
            <w:vAlign w:val="center"/>
          </w:tcPr>
          <w:p w14:paraId="0107B06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大写：          小写：             </w:t>
            </w:r>
          </w:p>
        </w:tc>
      </w:tr>
    </w:tbl>
    <w:p w14:paraId="574D72B7">
      <w:pPr>
        <w:widowControl/>
        <w:spacing w:line="360" w:lineRule="auto"/>
        <w:ind w:firstLine="420" w:firstLineChars="200"/>
        <w:jc w:val="left"/>
        <w:rPr>
          <w:rFonts w:ascii="宋体" w:hAnsi="宋体" w:eastAsia="宋体" w:cs="宋体"/>
          <w:color w:val="auto"/>
          <w:highlight w:val="none"/>
        </w:rPr>
      </w:pPr>
    </w:p>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8"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8"/>
    <w:p w14:paraId="18966B45">
      <w:pPr>
        <w:rPr>
          <w:rFonts w:hint="default" w:cs="Times New Roman" w:asciiTheme="majorEastAsia" w:hAnsiTheme="majorEastAsia" w:eastAsiaTheme="majorEastAsia"/>
          <w:b/>
          <w:bCs/>
          <w:color w:val="auto"/>
          <w:sz w:val="32"/>
          <w:szCs w:val="32"/>
          <w:highlight w:val="none"/>
          <w:lang w:val="zh-TW" w:eastAsia="zh-TW"/>
        </w:rPr>
      </w:pPr>
      <w:bookmarkStart w:id="39"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2"/>
        <w:ind w:firstLine="0"/>
        <w:rPr>
          <w:color w:val="auto"/>
          <w:highlight w:val="none"/>
          <w:lang w:val="zh-TW" w:eastAsia="zh-TW"/>
        </w:rPr>
      </w:pPr>
      <w:bookmarkStart w:id="40" w:name="_Toc11837"/>
      <w:bookmarkStart w:id="41" w:name="_Toc11645"/>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40"/>
      <w:bookmarkEnd w:id="41"/>
    </w:p>
    <w:bookmarkEnd w:id="39"/>
    <w:p w14:paraId="0BE2715F">
      <w:pPr>
        <w:widowControl w:val="0"/>
        <w:jc w:val="center"/>
        <w:rPr>
          <w:rFonts w:ascii="Times New Roman" w:hAnsi="Times New Roman" w:eastAsia="黑体" w:cs="Times New Roman"/>
          <w:b/>
          <w:kern w:val="2"/>
          <w:sz w:val="48"/>
          <w:szCs w:val="48"/>
          <w:lang w:val="en-US" w:eastAsia="zh-CN" w:bidi="ar-SA"/>
        </w:rPr>
      </w:pPr>
      <w:r>
        <w:rPr>
          <w:rFonts w:hint="eastAsia" w:ascii="Times New Roman" w:hAnsi="Times New Roman" w:eastAsia="黑体" w:cs="Times New Roman"/>
          <w:b/>
          <w:kern w:val="2"/>
          <w:sz w:val="48"/>
          <w:szCs w:val="48"/>
          <w:lang w:val="en-US" w:eastAsia="zh-CN" w:bidi="ar-SA"/>
        </w:rPr>
        <w:t>计算机软件</w:t>
      </w:r>
    </w:p>
    <w:p w14:paraId="45C8C60C">
      <w:pPr>
        <w:widowControl w:val="0"/>
        <w:jc w:val="center"/>
        <w:rPr>
          <w:rFonts w:ascii="Times New Roman" w:hAnsi="Times New Roman" w:eastAsia="黑体" w:cs="Times New Roman"/>
          <w:b/>
          <w:kern w:val="2"/>
          <w:sz w:val="48"/>
          <w:szCs w:val="48"/>
          <w:lang w:val="en-US" w:eastAsia="zh-CN" w:bidi="ar-SA"/>
        </w:rPr>
      </w:pPr>
      <w:r>
        <w:rPr>
          <w:rFonts w:ascii="Times New Roman" w:hAnsi="Times New Roman" w:eastAsia="黑体" w:cs="Times New Roman"/>
          <w:b/>
          <w:kern w:val="2"/>
          <w:sz w:val="48"/>
          <w:szCs w:val="48"/>
          <w:lang w:val="en-US" w:eastAsia="zh-CN" w:bidi="ar-SA"/>
        </w:rPr>
        <w:t>维保服务合同</w:t>
      </w:r>
    </w:p>
    <w:p w14:paraId="5AC07CA5">
      <w:pPr>
        <w:keepNext/>
        <w:keepLines/>
        <w:widowControl w:val="0"/>
        <w:spacing w:before="260" w:after="260" w:line="240" w:lineRule="auto"/>
        <w:jc w:val="both"/>
        <w:outlineLvl w:val="9"/>
        <w:rPr>
          <w:rFonts w:ascii="Times New Roman" w:hAnsi="Times New Roman" w:eastAsia="宋体" w:cs="Times New Roman"/>
          <w:b/>
          <w:kern w:val="2"/>
          <w:sz w:val="21"/>
          <w:szCs w:val="21"/>
          <w:lang w:val="en-US" w:eastAsia="zh-CN" w:bidi="ar-SA"/>
        </w:rPr>
      </w:pPr>
    </w:p>
    <w:tbl>
      <w:tblPr>
        <w:tblStyle w:val="14"/>
        <w:tblW w:w="5000" w:type="pct"/>
        <w:jc w:val="center"/>
        <w:tblLayout w:type="autofit"/>
        <w:tblCellMar>
          <w:top w:w="0" w:type="dxa"/>
          <w:left w:w="0" w:type="dxa"/>
          <w:bottom w:w="0" w:type="dxa"/>
          <w:right w:w="0" w:type="dxa"/>
        </w:tblCellMar>
      </w:tblPr>
      <w:tblGrid>
        <w:gridCol w:w="4688"/>
        <w:gridCol w:w="4950"/>
      </w:tblGrid>
      <w:tr w14:paraId="1B41EFD7">
        <w:tblPrEx>
          <w:tblCellMar>
            <w:top w:w="0" w:type="dxa"/>
            <w:left w:w="0" w:type="dxa"/>
            <w:bottom w:w="0" w:type="dxa"/>
            <w:right w:w="0" w:type="dxa"/>
          </w:tblCellMar>
        </w:tblPrEx>
        <w:trPr>
          <w:trHeight w:val="767" w:hRule="atLeast"/>
          <w:jc w:val="center"/>
        </w:trPr>
        <w:tc>
          <w:tcPr>
            <w:tcW w:w="10204" w:type="dxa"/>
            <w:gridSpan w:val="2"/>
          </w:tcPr>
          <w:p w14:paraId="1DE741BB">
            <w:pPr>
              <w:contextualSpacing/>
              <w:rPr>
                <w:rFonts w:hint="default" w:ascii="Times New Roman" w:hAnsi="Times New Roman" w:eastAsia="宋体" w:cs="Times New Roman"/>
                <w:color w:val="000000"/>
                <w:szCs w:val="21"/>
              </w:rPr>
            </w:pPr>
            <w:r>
              <w:rPr>
                <w:rFonts w:hint="default" w:ascii="Times New Roman" w:hAnsi="Times New Roman" w:eastAsia="宋体" w:cs="Times New Roman"/>
                <w:b/>
                <w:bCs/>
                <w:color w:val="000000"/>
                <w:szCs w:val="21"/>
              </w:rPr>
              <w:t>合同编号</w:t>
            </w:r>
            <w:r>
              <w:rPr>
                <w:rFonts w:hint="default" w:ascii="Times New Roman" w:hAnsi="Times New Roman" w:eastAsia="宋体" w:cs="Times New Roman"/>
                <w:color w:val="000000"/>
                <w:szCs w:val="21"/>
              </w:rPr>
              <w:t>：CGZX-***</w:t>
            </w:r>
          </w:p>
          <w:p w14:paraId="73102055">
            <w:pPr>
              <w:contextualSpacing/>
              <w:rPr>
                <w:rFonts w:hint="default" w:ascii="Times New Roman" w:hAnsi="Times New Roman" w:eastAsia="宋体" w:cs="Times New Roman"/>
                <w:color w:val="000000"/>
                <w:szCs w:val="21"/>
              </w:rPr>
            </w:pPr>
            <w:r>
              <w:rPr>
                <w:rFonts w:hint="default" w:ascii="Times New Roman" w:hAnsi="Times New Roman" w:eastAsia="宋体" w:cs="Times New Roman"/>
                <w:b/>
                <w:bCs/>
                <w:color w:val="000000"/>
                <w:szCs w:val="21"/>
              </w:rPr>
              <w:t>签订地点</w:t>
            </w:r>
            <w:r>
              <w:rPr>
                <w:rFonts w:hint="default" w:ascii="Times New Roman" w:hAnsi="Times New Roman" w:eastAsia="宋体" w:cs="Times New Roman"/>
                <w:color w:val="000000"/>
                <w:szCs w:val="21"/>
              </w:rPr>
              <w:t>：四川省人民医院</w:t>
            </w:r>
          </w:p>
        </w:tc>
      </w:tr>
      <w:tr w14:paraId="401C09AF">
        <w:tblPrEx>
          <w:tblCellMar>
            <w:top w:w="0" w:type="dxa"/>
            <w:left w:w="0" w:type="dxa"/>
            <w:bottom w:w="0" w:type="dxa"/>
            <w:right w:w="0" w:type="dxa"/>
          </w:tblCellMar>
        </w:tblPrEx>
        <w:trPr>
          <w:jc w:val="center"/>
        </w:trPr>
        <w:tc>
          <w:tcPr>
            <w:tcW w:w="4962" w:type="dxa"/>
          </w:tcPr>
          <w:p w14:paraId="5CD726AE">
            <w:pPr>
              <w:rPr>
                <w:rFonts w:hint="default" w:ascii="Times New Roman" w:hAnsi="Times New Roman" w:eastAsia="宋体" w:cs="Times New Roman"/>
                <w:szCs w:val="21"/>
              </w:rPr>
            </w:pPr>
            <w:r>
              <w:rPr>
                <w:rFonts w:hint="default" w:ascii="Times New Roman" w:hAnsi="Times New Roman" w:eastAsia="宋体" w:cs="Times New Roman"/>
                <w:b/>
                <w:bCs/>
                <w:szCs w:val="21"/>
              </w:rPr>
              <w:t>采购人（以下简称甲方）</w:t>
            </w:r>
            <w:r>
              <w:rPr>
                <w:rFonts w:hint="default" w:ascii="Times New Roman" w:hAnsi="Times New Roman" w:eastAsia="宋体" w:cs="Times New Roman"/>
                <w:szCs w:val="21"/>
              </w:rPr>
              <w:t>：四川省人民医院</w:t>
            </w:r>
          </w:p>
          <w:p w14:paraId="21A18612">
            <w:pPr>
              <w:rPr>
                <w:rFonts w:hint="default" w:ascii="Times New Roman" w:hAnsi="Times New Roman" w:eastAsia="宋体" w:cs="Times New Roman"/>
                <w:szCs w:val="21"/>
              </w:rPr>
            </w:pPr>
            <w:r>
              <w:rPr>
                <w:rFonts w:hint="default" w:ascii="Times New Roman" w:hAnsi="Times New Roman" w:eastAsia="宋体" w:cs="Times New Roman"/>
                <w:b/>
                <w:bCs/>
                <w:szCs w:val="21"/>
              </w:rPr>
              <w:t>地址</w:t>
            </w:r>
            <w:r>
              <w:rPr>
                <w:rFonts w:hint="default" w:ascii="Times New Roman" w:hAnsi="Times New Roman" w:eastAsia="宋体" w:cs="Times New Roman"/>
                <w:szCs w:val="21"/>
              </w:rPr>
              <w:t>：四川省成都市一环路西二段32号</w:t>
            </w:r>
          </w:p>
          <w:p w14:paraId="2C4048CE">
            <w:pPr>
              <w:rPr>
                <w:rFonts w:hint="default" w:ascii="Times New Roman" w:hAnsi="Times New Roman" w:eastAsia="宋体" w:cs="Times New Roman"/>
                <w:szCs w:val="21"/>
              </w:rPr>
            </w:pPr>
            <w:r>
              <w:rPr>
                <w:rFonts w:hint="default" w:ascii="Times New Roman" w:hAnsi="Times New Roman" w:eastAsia="宋体" w:cs="Times New Roman"/>
                <w:b/>
                <w:bCs/>
                <w:szCs w:val="21"/>
              </w:rPr>
              <w:t>项目联系人</w:t>
            </w:r>
            <w:r>
              <w:rPr>
                <w:rFonts w:hint="default" w:ascii="Times New Roman" w:hAnsi="Times New Roman" w:eastAsia="宋体" w:cs="Times New Roman"/>
                <w:szCs w:val="21"/>
              </w:rPr>
              <w:t xml:space="preserve">：*** </w:t>
            </w:r>
            <w:r>
              <w:rPr>
                <w:rFonts w:hint="default" w:ascii="Times New Roman" w:hAnsi="Times New Roman" w:eastAsia="宋体" w:cs="Times New Roman"/>
                <w:b/>
                <w:bCs/>
                <w:szCs w:val="21"/>
              </w:rPr>
              <w:t>电话</w:t>
            </w:r>
            <w:r>
              <w:rPr>
                <w:rFonts w:hint="default" w:ascii="Times New Roman" w:hAnsi="Times New Roman" w:eastAsia="宋体" w:cs="Times New Roman"/>
                <w:szCs w:val="21"/>
              </w:rPr>
              <w:t>：***</w:t>
            </w:r>
          </w:p>
        </w:tc>
        <w:tc>
          <w:tcPr>
            <w:tcW w:w="5242" w:type="dxa"/>
          </w:tcPr>
          <w:p w14:paraId="68660626">
            <w:pPr>
              <w:rPr>
                <w:rFonts w:hint="default" w:ascii="Times New Roman" w:hAnsi="Times New Roman" w:eastAsia="宋体" w:cs="Times New Roman"/>
                <w:szCs w:val="21"/>
              </w:rPr>
            </w:pPr>
            <w:r>
              <w:rPr>
                <w:rFonts w:hint="default" w:ascii="Times New Roman" w:hAnsi="Times New Roman" w:eastAsia="宋体" w:cs="Times New Roman"/>
                <w:b/>
                <w:bCs/>
                <w:szCs w:val="21"/>
              </w:rPr>
              <w:t>供应商（以下简称乙方）</w:t>
            </w:r>
            <w:r>
              <w:rPr>
                <w:rFonts w:hint="default" w:ascii="Times New Roman" w:hAnsi="Times New Roman" w:eastAsia="宋体" w:cs="Times New Roman"/>
                <w:szCs w:val="21"/>
              </w:rPr>
              <w:t>：***</w:t>
            </w:r>
          </w:p>
          <w:p w14:paraId="648182C3">
            <w:pPr>
              <w:rPr>
                <w:rFonts w:hint="default" w:ascii="Times New Roman" w:hAnsi="Times New Roman" w:eastAsia="宋体" w:cs="Times New Roman"/>
                <w:szCs w:val="21"/>
              </w:rPr>
            </w:pPr>
            <w:r>
              <w:rPr>
                <w:rFonts w:hint="default" w:ascii="Times New Roman" w:hAnsi="Times New Roman" w:eastAsia="宋体" w:cs="Times New Roman"/>
                <w:b/>
                <w:bCs/>
                <w:szCs w:val="21"/>
              </w:rPr>
              <w:t>地址</w:t>
            </w:r>
            <w:r>
              <w:rPr>
                <w:rFonts w:hint="default" w:ascii="Times New Roman" w:hAnsi="Times New Roman" w:eastAsia="宋体" w:cs="Times New Roman"/>
                <w:szCs w:val="21"/>
              </w:rPr>
              <w:t>：***</w:t>
            </w:r>
          </w:p>
          <w:p w14:paraId="06E5318B">
            <w:pPr>
              <w:rPr>
                <w:rFonts w:hint="default" w:ascii="Times New Roman" w:hAnsi="Times New Roman" w:eastAsia="宋体" w:cs="Times New Roman"/>
                <w:szCs w:val="21"/>
              </w:rPr>
            </w:pPr>
            <w:r>
              <w:rPr>
                <w:rFonts w:hint="default" w:ascii="Times New Roman" w:hAnsi="Times New Roman" w:eastAsia="宋体" w:cs="Times New Roman"/>
                <w:b/>
                <w:bCs/>
                <w:szCs w:val="21"/>
              </w:rPr>
              <w:t>移动电话</w:t>
            </w:r>
            <w:r>
              <w:rPr>
                <w:rFonts w:hint="default" w:ascii="Times New Roman" w:hAnsi="Times New Roman" w:eastAsia="宋体" w:cs="Times New Roman"/>
                <w:szCs w:val="21"/>
              </w:rPr>
              <w:t>：***</w:t>
            </w:r>
          </w:p>
          <w:p w14:paraId="257812FC">
            <w:pPr>
              <w:contextualSpacing/>
              <w:rPr>
                <w:rFonts w:hint="default" w:ascii="Times New Roman" w:hAnsi="Times New Roman" w:eastAsia="宋体" w:cs="Times New Roman"/>
                <w:szCs w:val="21"/>
              </w:rPr>
            </w:pPr>
            <w:r>
              <w:rPr>
                <w:rFonts w:hint="default" w:ascii="Times New Roman" w:hAnsi="Times New Roman" w:eastAsia="宋体" w:cs="Times New Roman"/>
                <w:b/>
                <w:bCs/>
                <w:szCs w:val="21"/>
              </w:rPr>
              <w:t>联系人</w:t>
            </w:r>
            <w:r>
              <w:rPr>
                <w:rFonts w:hint="default" w:ascii="Times New Roman" w:hAnsi="Times New Roman" w:eastAsia="宋体" w:cs="Times New Roman"/>
                <w:szCs w:val="21"/>
              </w:rPr>
              <w:t>：***</w:t>
            </w:r>
          </w:p>
        </w:tc>
      </w:tr>
    </w:tbl>
    <w:p w14:paraId="428B67D4">
      <w:pPr>
        <w:ind w:firstLine="420" w:firstLineChars="200"/>
        <w:contextualSpacing/>
        <w:jc w:val="left"/>
        <w:rPr>
          <w:rFonts w:hint="default" w:ascii="Times New Roman" w:hAnsi="Times New Roman" w:eastAsia="宋体" w:cs="Times New Roman"/>
          <w:color w:val="000000"/>
          <w:szCs w:val="21"/>
        </w:rPr>
      </w:pPr>
    </w:p>
    <w:p w14:paraId="026CC96E">
      <w:pPr>
        <w:adjustRightInd w:val="0"/>
        <w:ind w:firstLine="420" w:firstLineChars="200"/>
        <w:contextualSpacing/>
        <w:jc w:val="left"/>
        <w:rPr>
          <w:rFonts w:hint="default" w:ascii="Times New Roman" w:hAnsi="Times New Roman" w:eastAsia="宋体" w:cs="Times New Roman"/>
          <w:b/>
          <w:szCs w:val="21"/>
          <w:highlight w:val="none"/>
        </w:rPr>
      </w:pPr>
      <w:r>
        <w:rPr>
          <w:rFonts w:hint="eastAsia" w:ascii="Times New Roman" w:hAnsi="Times New Roman" w:eastAsia="宋体" w:cs="Times New Roman"/>
          <w:color w:val="000000"/>
          <w:szCs w:val="21"/>
        </w:rPr>
        <w:t>根</w:t>
      </w:r>
      <w:r>
        <w:rPr>
          <w:rFonts w:hint="default" w:ascii="Times New Roman" w:hAnsi="Times New Roman" w:eastAsia="宋体" w:cs="Times New Roman"/>
          <w:color w:val="000000"/>
          <w:szCs w:val="21"/>
        </w:rPr>
        <w:t>据《中华人民共和国民法典》及甲方发布的***项目（项目编号</w:t>
      </w:r>
      <w:permStart w:id="0" w:edGrp="everyone"/>
      <w:r>
        <w:rPr>
          <w:rFonts w:hint="default" w:ascii="Times New Roman" w:hAnsi="Times New Roman" w:eastAsia="宋体" w:cs="Times New Roman"/>
          <w:color w:val="000000"/>
          <w:szCs w:val="21"/>
        </w:rPr>
        <w:t>：</w:t>
      </w:r>
      <w:r>
        <w:rPr>
          <w:rFonts w:hint="default" w:ascii="Times New Roman" w:hAnsi="Times New Roman" w:eastAsia="宋体" w:cs="Times New Roman"/>
          <w:szCs w:val="21"/>
        </w:rPr>
        <w:t>***</w:t>
      </w:r>
      <w:permEnd w:id="0"/>
      <w:r>
        <w:rPr>
          <w:rFonts w:hint="default" w:ascii="Times New Roman" w:hAnsi="Times New Roman" w:eastAsia="宋体" w:cs="Times New Roman"/>
          <w:color w:val="000000"/>
          <w:szCs w:val="21"/>
        </w:rPr>
        <w:t>）《采购文件》、乙方的《</w:t>
      </w:r>
      <w:r>
        <w:rPr>
          <w:rFonts w:hint="eastAsia" w:ascii="Times New Roman" w:hAnsi="Times New Roman" w:eastAsia="宋体" w:cs="Times New Roman"/>
          <w:color w:val="000000"/>
          <w:szCs w:val="21"/>
        </w:rPr>
        <w:t>响应</w:t>
      </w:r>
      <w:r>
        <w:rPr>
          <w:rFonts w:hint="default" w:ascii="Times New Roman" w:hAnsi="Times New Roman" w:eastAsia="宋体" w:cs="Times New Roman"/>
          <w:color w:val="000000"/>
          <w:szCs w:val="21"/>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rPr>
        <w:t>响应</w:t>
      </w:r>
      <w:r>
        <w:rPr>
          <w:rFonts w:hint="default" w:ascii="Times New Roman" w:hAnsi="Times New Roman" w:eastAsia="宋体" w:cs="Times New Roman"/>
          <w:color w:val="000000"/>
          <w:szCs w:val="21"/>
        </w:rPr>
        <w:t>文件》等均为本合同不可分割的部分。双方同意共同遵守以下条款：</w:t>
      </w:r>
    </w:p>
    <w:p w14:paraId="30ECA6B4">
      <w:pPr>
        <w:contextualSpacing/>
        <w:jc w:val="left"/>
        <w:rPr>
          <w:rFonts w:hint="default" w:ascii="Times New Roman" w:hAnsi="Times New Roman" w:eastAsia="宋体" w:cs="Times New Roman"/>
          <w:b/>
          <w:szCs w:val="21"/>
          <w:highlight w:val="none"/>
        </w:rPr>
      </w:pPr>
    </w:p>
    <w:p w14:paraId="7B651C83">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合同标的</w:t>
      </w:r>
    </w:p>
    <w:p w14:paraId="7F3C4AF4">
      <w:pPr>
        <w:widowControl w:val="0"/>
        <w:numPr>
          <w:ilvl w:val="0"/>
          <w:numId w:val="18"/>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标的名称：</w:t>
      </w:r>
      <w:permStart w:id="1" w:edGrp="everyone"/>
      <w:r>
        <w:rPr>
          <w:rFonts w:ascii="Times New Roman" w:hAnsi="Times New Roman" w:eastAsia="宋体" w:cs="Times New Roman"/>
          <w:kern w:val="2"/>
          <w:sz w:val="21"/>
          <w:szCs w:val="21"/>
          <w:highlight w:val="none"/>
          <w:lang w:val="en-US" w:eastAsia="zh-CN" w:bidi="ar-SA"/>
        </w:rPr>
        <w:t>***</w:t>
      </w:r>
      <w:permEnd w:id="1"/>
      <w:r>
        <w:rPr>
          <w:rFonts w:ascii="Times New Roman" w:hAnsi="Times New Roman" w:eastAsia="宋体" w:cs="Times New Roman"/>
          <w:kern w:val="2"/>
          <w:sz w:val="21"/>
          <w:szCs w:val="21"/>
          <w:highlight w:val="none"/>
          <w:lang w:val="en-US" w:eastAsia="zh-CN" w:bidi="ar-SA"/>
        </w:rPr>
        <w:t>。</w:t>
      </w:r>
    </w:p>
    <w:p w14:paraId="097B9F23">
      <w:pPr>
        <w:widowControl w:val="0"/>
        <w:numPr>
          <w:ilvl w:val="0"/>
          <w:numId w:val="18"/>
        </w:numPr>
        <w:spacing w:after="0" w:line="240" w:lineRule="auto"/>
        <w:ind w:left="210" w:leftChars="0" w:hanging="210" w:hangingChars="100"/>
        <w:contextualSpacing/>
        <w:jc w:val="left"/>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21"/>
          <w:szCs w:val="21"/>
          <w:highlight w:val="none"/>
          <w:lang w:val="en-US" w:eastAsia="zh-CN" w:bidi="ar-SA"/>
        </w:rPr>
        <w:t>维保服务涉及的</w:t>
      </w:r>
      <w:r>
        <w:rPr>
          <w:rFonts w:hint="eastAsia" w:ascii="Times New Roman" w:hAnsi="Times New Roman" w:eastAsia="宋体" w:cs="Times New Roman"/>
          <w:kern w:val="2"/>
          <w:sz w:val="21"/>
          <w:szCs w:val="21"/>
          <w:highlight w:val="none"/>
          <w:lang w:val="en-US" w:eastAsia="zh-CN" w:bidi="ar-SA"/>
        </w:rPr>
        <w:t>分项明细</w:t>
      </w:r>
      <w:r>
        <w:rPr>
          <w:rFonts w:ascii="Times New Roman" w:hAnsi="Times New Roman" w:eastAsia="宋体" w:cs="Times New Roman"/>
          <w:kern w:val="2"/>
          <w:sz w:val="21"/>
          <w:szCs w:val="21"/>
          <w:highlight w:val="none"/>
          <w:lang w:val="en-US" w:eastAsia="zh-CN" w:bidi="ar-SA"/>
        </w:rPr>
        <w:t>（如计算机软件为医疗器械，则以下表格中填写的相关内容均须与医疗器械注册证或备案证信息保持一致）。</w:t>
      </w:r>
      <w:r>
        <w:rPr>
          <w:rFonts w:hint="eastAsia" w:ascii="Times New Roman" w:hAnsi="Times New Roman" w:eastAsia="宋体" w:cs="Times New Roman"/>
          <w:i/>
          <w:iCs/>
          <w:color w:val="000000"/>
          <w:kern w:val="2"/>
          <w:sz w:val="21"/>
          <w:szCs w:val="21"/>
          <w:highlight w:val="none"/>
          <w:lang w:val="zh-CN" w:eastAsia="zh-CN" w:bidi="ar-SA"/>
        </w:rPr>
        <w:t>&lt;根据项目实际情况调整&gt;</w:t>
      </w:r>
    </w:p>
    <w:tbl>
      <w:tblPr>
        <w:tblStyle w:val="14"/>
        <w:tblW w:w="5000" w:type="pct"/>
        <w:jc w:val="center"/>
        <w:tblLayout w:type="fixed"/>
        <w:tblCellMar>
          <w:top w:w="0" w:type="dxa"/>
          <w:left w:w="0" w:type="dxa"/>
          <w:bottom w:w="0" w:type="dxa"/>
          <w:right w:w="0" w:type="dxa"/>
        </w:tblCellMar>
      </w:tblPr>
      <w:tblGrid>
        <w:gridCol w:w="418"/>
        <w:gridCol w:w="2024"/>
        <w:gridCol w:w="1847"/>
        <w:gridCol w:w="1337"/>
        <w:gridCol w:w="1337"/>
        <w:gridCol w:w="1122"/>
        <w:gridCol w:w="1553"/>
      </w:tblGrid>
      <w:tr w14:paraId="1791303E">
        <w:tblPrEx>
          <w:tblCellMar>
            <w:top w:w="0" w:type="dxa"/>
            <w:left w:w="0" w:type="dxa"/>
            <w:bottom w:w="0" w:type="dxa"/>
            <w:right w:w="0" w:type="dxa"/>
          </w:tblCellMar>
        </w:tblPrEx>
        <w:trPr>
          <w:cantSplit/>
          <w:trHeight w:val="495"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7309773A">
            <w:pPr>
              <w:autoSpaceDE w:val="0"/>
              <w:autoSpaceDN w:val="0"/>
              <w:adjustRightInd w:val="0"/>
              <w:contextualSpacing/>
              <w:jc w:val="center"/>
              <w:rPr>
                <w:rFonts w:hint="default" w:ascii="Times New Roman" w:hAnsi="Times New Roman" w:eastAsia="宋体" w:cs="Times New Roman"/>
                <w:b/>
                <w:bCs/>
                <w:sz w:val="18"/>
                <w:szCs w:val="18"/>
                <w:highlight w:val="none"/>
              </w:rPr>
            </w:pPr>
            <w:permStart w:id="2" w:edGrp="everyone"/>
            <w:r>
              <w:rPr>
                <w:rFonts w:hint="default" w:ascii="Times New Roman" w:hAnsi="Times New Roman" w:eastAsia="宋体" w:cs="Times New Roman"/>
                <w:b/>
                <w:bCs/>
                <w:sz w:val="18"/>
                <w:szCs w:val="18"/>
                <w:highlight w:val="none"/>
              </w:rPr>
              <w:t>序号</w:t>
            </w:r>
          </w:p>
        </w:tc>
        <w:tc>
          <w:tcPr>
            <w:tcW w:w="2020" w:type="dxa"/>
            <w:tcBorders>
              <w:top w:val="single" w:color="auto" w:sz="6" w:space="0"/>
              <w:left w:val="single" w:color="auto" w:sz="6" w:space="0"/>
              <w:bottom w:val="single" w:color="auto" w:sz="6" w:space="0"/>
              <w:right w:val="single" w:color="auto" w:sz="4" w:space="0"/>
            </w:tcBorders>
            <w:vAlign w:val="center"/>
          </w:tcPr>
          <w:p w14:paraId="0CD71189">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bCs/>
                <w:sz w:val="18"/>
                <w:szCs w:val="18"/>
                <w:highlight w:val="none"/>
              </w:rPr>
              <w:t>计算机软件名称</w:t>
            </w:r>
          </w:p>
        </w:tc>
        <w:tc>
          <w:tcPr>
            <w:tcW w:w="1844" w:type="dxa"/>
            <w:tcBorders>
              <w:top w:val="single" w:color="auto" w:sz="6" w:space="0"/>
              <w:left w:val="single" w:color="auto" w:sz="4" w:space="0"/>
              <w:bottom w:val="single" w:color="auto" w:sz="6" w:space="0"/>
              <w:right w:val="single" w:color="auto" w:sz="4" w:space="0"/>
            </w:tcBorders>
            <w:vAlign w:val="center"/>
          </w:tcPr>
          <w:p w14:paraId="77FA33FA">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开发企业</w:t>
            </w:r>
          </w:p>
        </w:tc>
        <w:tc>
          <w:tcPr>
            <w:tcW w:w="1335" w:type="dxa"/>
            <w:tcBorders>
              <w:top w:val="single" w:color="auto" w:sz="6" w:space="0"/>
              <w:left w:val="single" w:color="auto" w:sz="4" w:space="0"/>
              <w:bottom w:val="single" w:color="auto" w:sz="6" w:space="0"/>
              <w:right w:val="single" w:color="auto" w:sz="6" w:space="0"/>
            </w:tcBorders>
            <w:vAlign w:val="center"/>
          </w:tcPr>
          <w:p w14:paraId="5E0260F7">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版本</w:t>
            </w:r>
          </w:p>
        </w:tc>
        <w:tc>
          <w:tcPr>
            <w:tcW w:w="1335" w:type="dxa"/>
            <w:tcBorders>
              <w:top w:val="single" w:color="auto" w:sz="6" w:space="0"/>
              <w:left w:val="single" w:color="auto" w:sz="6" w:space="0"/>
              <w:bottom w:val="single" w:color="auto" w:sz="6" w:space="0"/>
              <w:right w:val="single" w:color="auto" w:sz="6" w:space="0"/>
            </w:tcBorders>
            <w:vAlign w:val="center"/>
          </w:tcPr>
          <w:p w14:paraId="04C6738E">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序列号</w:t>
            </w:r>
          </w:p>
        </w:tc>
        <w:tc>
          <w:tcPr>
            <w:tcW w:w="1120" w:type="dxa"/>
            <w:tcBorders>
              <w:top w:val="single" w:color="auto" w:sz="6" w:space="0"/>
              <w:left w:val="single" w:color="auto" w:sz="6" w:space="0"/>
              <w:bottom w:val="single" w:color="auto" w:sz="6" w:space="0"/>
              <w:right w:val="single" w:color="auto" w:sz="6" w:space="0"/>
            </w:tcBorders>
            <w:vAlign w:val="center"/>
          </w:tcPr>
          <w:p w14:paraId="5945CB62">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维保分项价格（万元）</w:t>
            </w:r>
          </w:p>
        </w:tc>
        <w:tc>
          <w:tcPr>
            <w:tcW w:w="1550" w:type="dxa"/>
            <w:tcBorders>
              <w:top w:val="single" w:color="auto" w:sz="6" w:space="0"/>
              <w:left w:val="single" w:color="auto" w:sz="6" w:space="0"/>
              <w:bottom w:val="single" w:color="auto" w:sz="6" w:space="0"/>
              <w:right w:val="single" w:color="auto" w:sz="6" w:space="0"/>
            </w:tcBorders>
            <w:vAlign w:val="center"/>
          </w:tcPr>
          <w:p w14:paraId="61168A09">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备注</w:t>
            </w:r>
          </w:p>
        </w:tc>
      </w:tr>
      <w:tr w14:paraId="0DC6E89F">
        <w:tblPrEx>
          <w:tblCellMar>
            <w:top w:w="0" w:type="dxa"/>
            <w:left w:w="0" w:type="dxa"/>
            <w:bottom w:w="0" w:type="dxa"/>
            <w:right w:w="0" w:type="dxa"/>
          </w:tblCellMar>
        </w:tblPrEx>
        <w:trPr>
          <w:cantSplit/>
          <w:trHeight w:val="767"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6AEB6E8B">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1</w:t>
            </w:r>
          </w:p>
        </w:tc>
        <w:tc>
          <w:tcPr>
            <w:tcW w:w="2020" w:type="dxa"/>
            <w:tcBorders>
              <w:top w:val="single" w:color="auto" w:sz="6" w:space="0"/>
              <w:left w:val="single" w:color="auto" w:sz="6" w:space="0"/>
              <w:bottom w:val="single" w:color="auto" w:sz="6" w:space="0"/>
              <w:right w:val="single" w:color="auto" w:sz="4" w:space="0"/>
            </w:tcBorders>
            <w:vAlign w:val="center"/>
          </w:tcPr>
          <w:p w14:paraId="1046ECFD">
            <w:pPr>
              <w:autoSpaceDE w:val="0"/>
              <w:autoSpaceDN w:val="0"/>
              <w:adjustRightInd w:val="0"/>
              <w:contextualSpacing/>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844" w:type="dxa"/>
            <w:tcBorders>
              <w:top w:val="single" w:color="auto" w:sz="6" w:space="0"/>
              <w:left w:val="single" w:color="auto" w:sz="4" w:space="0"/>
              <w:bottom w:val="single" w:color="auto" w:sz="6" w:space="0"/>
              <w:right w:val="single" w:color="auto" w:sz="4" w:space="0"/>
            </w:tcBorders>
            <w:vAlign w:val="center"/>
          </w:tcPr>
          <w:p w14:paraId="13E38545">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335" w:type="dxa"/>
            <w:tcBorders>
              <w:top w:val="single" w:color="auto" w:sz="6" w:space="0"/>
              <w:left w:val="single" w:color="auto" w:sz="4" w:space="0"/>
              <w:bottom w:val="single" w:color="auto" w:sz="6" w:space="0"/>
              <w:right w:val="single" w:color="auto" w:sz="6" w:space="0"/>
            </w:tcBorders>
            <w:vAlign w:val="center"/>
          </w:tcPr>
          <w:p w14:paraId="3BC10BB3">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335" w:type="dxa"/>
            <w:tcBorders>
              <w:top w:val="single" w:color="auto" w:sz="6" w:space="0"/>
              <w:left w:val="single" w:color="auto" w:sz="6" w:space="0"/>
              <w:bottom w:val="single" w:color="auto" w:sz="6" w:space="0"/>
              <w:right w:val="single" w:color="auto" w:sz="6" w:space="0"/>
            </w:tcBorders>
            <w:vAlign w:val="center"/>
          </w:tcPr>
          <w:p w14:paraId="679E8FEE">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120" w:type="dxa"/>
            <w:tcBorders>
              <w:top w:val="single" w:color="auto" w:sz="6" w:space="0"/>
              <w:left w:val="single" w:color="auto" w:sz="6" w:space="0"/>
              <w:bottom w:val="single" w:color="auto" w:sz="6" w:space="0"/>
              <w:right w:val="single" w:color="auto" w:sz="6" w:space="0"/>
            </w:tcBorders>
            <w:vAlign w:val="center"/>
          </w:tcPr>
          <w:p w14:paraId="717D0CA3">
            <w:pPr>
              <w:autoSpaceDE w:val="0"/>
              <w:autoSpaceDN w:val="0"/>
              <w:adjustRightInd w:val="0"/>
              <w:contextualSpacing/>
              <w:jc w:val="center"/>
              <w:rPr>
                <w:rFonts w:hint="default" w:ascii="Times New Roman" w:hAnsi="Times New Roman" w:eastAsia="宋体" w:cs="Times New Roman"/>
                <w:sz w:val="18"/>
                <w:szCs w:val="18"/>
                <w:highlight w:val="none"/>
              </w:rPr>
            </w:pPr>
          </w:p>
        </w:tc>
        <w:tc>
          <w:tcPr>
            <w:tcW w:w="1550" w:type="dxa"/>
            <w:tcBorders>
              <w:top w:val="single" w:color="auto" w:sz="6" w:space="0"/>
              <w:left w:val="single" w:color="auto" w:sz="6" w:space="0"/>
              <w:bottom w:val="single" w:color="auto" w:sz="6" w:space="0"/>
              <w:right w:val="single" w:color="auto" w:sz="6" w:space="0"/>
            </w:tcBorders>
            <w:vAlign w:val="center"/>
          </w:tcPr>
          <w:p w14:paraId="2C0DA326">
            <w:pPr>
              <w:autoSpaceDE w:val="0"/>
              <w:autoSpaceDN w:val="0"/>
              <w:adjustRightInd w:val="0"/>
              <w:contextualSpacing/>
              <w:rPr>
                <w:rFonts w:hint="default" w:ascii="Times New Roman" w:hAnsi="Times New Roman" w:eastAsia="宋体" w:cs="Times New Roman"/>
                <w:sz w:val="18"/>
                <w:szCs w:val="18"/>
                <w:highlight w:val="none"/>
              </w:rPr>
            </w:pPr>
          </w:p>
        </w:tc>
      </w:tr>
      <w:permEnd w:id="2"/>
    </w:tbl>
    <w:p w14:paraId="65C234D3">
      <w:pPr>
        <w:widowControl w:val="0"/>
        <w:numPr>
          <w:ilvl w:val="0"/>
          <w:numId w:val="17"/>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合同总价</w:t>
      </w:r>
    </w:p>
    <w:p w14:paraId="2DFFF056">
      <w:pPr>
        <w:ind w:firstLine="480"/>
        <w:contextualSpacing/>
        <w:jc w:val="left"/>
        <w:rPr>
          <w:rFonts w:hint="default" w:ascii="Times New Roman" w:hAnsi="Times New Roman" w:eastAsia="宋体" w:cs="Times New Roman"/>
          <w:szCs w:val="21"/>
          <w:highlight w:val="none"/>
        </w:rPr>
      </w:pPr>
      <w:bookmarkStart w:id="42" w:name="OLE_LINK1"/>
      <w:bookmarkStart w:id="43" w:name="OLE_LINK2"/>
      <w:r>
        <w:rPr>
          <w:rFonts w:hint="default" w:ascii="Times New Roman" w:hAnsi="Times New Roman" w:eastAsia="宋体" w:cs="Times New Roman"/>
          <w:color w:val="000000"/>
          <w:szCs w:val="21"/>
          <w:highlight w:val="none"/>
        </w:rPr>
        <w:sym w:font="Wingdings 2" w:char="F052"/>
      </w:r>
      <w:r>
        <w:rPr>
          <w:rFonts w:hint="eastAsia" w:ascii="Times New Roman" w:hAnsi="Times New Roman" w:eastAsia="宋体" w:cs="Times New Roman"/>
          <w:szCs w:val="21"/>
          <w:highlight w:val="none"/>
        </w:rPr>
        <w:t>全包服务</w:t>
      </w:r>
    </w:p>
    <w:p w14:paraId="2274BC2C">
      <w:pPr>
        <w:ind w:left="420" w:leftChars="200" w:firstLine="420" w:firstLineChars="200"/>
        <w:contextualSpacing/>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合同总价（含税）为人民币大写：*** 圆整，即RMB *** 元</w:t>
      </w:r>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该合同总价已包括本合同标的所涉及的所有相关费用（包括但不限于技术服务、差旅</w:t>
      </w:r>
      <w:r>
        <w:rPr>
          <w:rFonts w:hint="eastAsia" w:ascii="Times New Roman" w:hAnsi="Times New Roman" w:eastAsia="宋体" w:cs="Times New Roman"/>
          <w:szCs w:val="21"/>
          <w:highlight w:val="none"/>
        </w:rPr>
        <w:t>交通</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原材料、备品备件及</w:t>
      </w:r>
      <w:r>
        <w:rPr>
          <w:rFonts w:hint="default"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等在内</w:t>
      </w:r>
      <w:r>
        <w:rPr>
          <w:rFonts w:hint="default" w:ascii="Times New Roman" w:hAnsi="Times New Roman" w:eastAsia="宋体" w:cs="Times New Roman"/>
          <w:szCs w:val="21"/>
          <w:highlight w:val="none"/>
        </w:rPr>
        <w:t>的全部含税费用）。本合同执行期间合同总价不变，甲方无须另向乙方支付本合同规定之外的其他任何费用。</w:t>
      </w:r>
    </w:p>
    <w:p w14:paraId="1EE5DA1B">
      <w:pPr>
        <w:ind w:firstLine="480"/>
        <w:contextualSpacing/>
        <w:jc w:val="left"/>
        <w:rPr>
          <w:rFonts w:hint="default" w:ascii="Times New Roman" w:hAnsi="Times New Roman" w:eastAsia="宋体" w:cs="Times New Roman"/>
          <w:szCs w:val="20"/>
          <w:highlight w:val="none"/>
        </w:rPr>
      </w:pPr>
      <w:r>
        <w:rPr>
          <w:rFonts w:hint="default"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半包服务</w:t>
      </w:r>
    </w:p>
    <w:p w14:paraId="7621654A">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本合同固定部分价款为</w:t>
      </w:r>
      <w:bookmarkStart w:id="44" w:name="OLE_LINK28"/>
      <w:r>
        <w:rPr>
          <w:rFonts w:hint="default" w:ascii="Times New Roman" w:hAnsi="Times New Roman" w:eastAsia="宋体" w:cs="Times New Roman"/>
          <w:szCs w:val="21"/>
          <w:highlight w:val="none"/>
        </w:rPr>
        <w:t>人民币大写：*** 圆整，即RMB *** 元</w:t>
      </w:r>
      <w:bookmarkEnd w:id="44"/>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该</w:t>
      </w:r>
      <w:r>
        <w:rPr>
          <w:rFonts w:hint="eastAsia" w:ascii="Times New Roman" w:hAnsi="Times New Roman" w:eastAsia="宋体" w:cs="Times New Roman"/>
          <w:szCs w:val="21"/>
          <w:highlight w:val="none"/>
        </w:rPr>
        <w:t>部分价款</w:t>
      </w:r>
      <w:r>
        <w:rPr>
          <w:rFonts w:hint="default" w:ascii="Times New Roman" w:hAnsi="Times New Roman" w:eastAsia="宋体" w:cs="Times New Roman"/>
          <w:szCs w:val="21"/>
          <w:highlight w:val="none"/>
        </w:rPr>
        <w:t>已包括</w:t>
      </w:r>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及</w:t>
      </w:r>
      <w:r>
        <w:rPr>
          <w:rFonts w:hint="default"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在内</w:t>
      </w:r>
      <w:r>
        <w:rPr>
          <w:rFonts w:hint="default" w:ascii="Times New Roman" w:hAnsi="Times New Roman" w:eastAsia="宋体" w:cs="Times New Roman"/>
          <w:szCs w:val="21"/>
          <w:highlight w:val="none"/>
        </w:rPr>
        <w:t>的全部含税费用。本合同执行期间</w:t>
      </w:r>
      <w:r>
        <w:rPr>
          <w:rFonts w:hint="eastAsia" w:ascii="Times New Roman" w:hAnsi="Times New Roman" w:eastAsia="宋体" w:cs="Times New Roman"/>
          <w:szCs w:val="21"/>
          <w:highlight w:val="none"/>
        </w:rPr>
        <w:t>该部分</w:t>
      </w:r>
      <w:r>
        <w:rPr>
          <w:rFonts w:hint="default" w:ascii="Times New Roman" w:hAnsi="Times New Roman" w:eastAsia="宋体" w:cs="Times New Roman"/>
          <w:szCs w:val="21"/>
          <w:highlight w:val="none"/>
        </w:rPr>
        <w:t>合同</w:t>
      </w:r>
      <w:r>
        <w:rPr>
          <w:rFonts w:hint="eastAsia" w:ascii="Times New Roman" w:hAnsi="Times New Roman" w:eastAsia="宋体" w:cs="Times New Roman"/>
          <w:szCs w:val="21"/>
          <w:highlight w:val="none"/>
        </w:rPr>
        <w:t>价款</w:t>
      </w:r>
      <w:r>
        <w:rPr>
          <w:rFonts w:hint="default" w:ascii="Times New Roman" w:hAnsi="Times New Roman" w:eastAsia="宋体" w:cs="Times New Roman"/>
          <w:szCs w:val="21"/>
          <w:highlight w:val="none"/>
        </w:rPr>
        <w:t>不变，甲方无须向乙方支付本合同规定之外的其他任何费用。</w:t>
      </w:r>
    </w:p>
    <w:p w14:paraId="25B83E4F">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本合同按实结算部分支付总额不超过</w:t>
      </w:r>
      <w:r>
        <w:rPr>
          <w:rFonts w:hint="default"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w:t>
      </w:r>
      <w:r>
        <w:rPr>
          <w:rFonts w:hint="eastAsia" w:ascii="Times New Roman" w:hAnsi="Times New Roman" w:eastAsia="宋体" w:cs="Times New Roman"/>
          <w:szCs w:val="21"/>
          <w:highlight w:val="none"/>
          <w:u w:val="single"/>
        </w:rPr>
        <w:t>附件1《结算单价清单》</w:t>
      </w:r>
      <w:r>
        <w:rPr>
          <w:rFonts w:hint="eastAsia" w:ascii="Times New Roman" w:hAnsi="Times New Roman" w:eastAsia="宋体" w:cs="Times New Roman"/>
          <w:szCs w:val="21"/>
          <w:highlight w:val="none"/>
        </w:rPr>
        <w:t>。</w:t>
      </w:r>
      <w:r>
        <w:rPr>
          <w:rFonts w:hint="default"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hint="default" w:ascii="Times New Roman" w:hAnsi="Times New Roman" w:eastAsia="宋体" w:cs="Times New Roman"/>
          <w:i/>
          <w:iCs/>
          <w:szCs w:val="21"/>
          <w:highlight w:val="none"/>
        </w:rPr>
        <w:t>&gt;</w:t>
      </w:r>
    </w:p>
    <w:p w14:paraId="73B8F9BD">
      <w:pPr>
        <w:ind w:firstLine="480"/>
        <w:contextualSpacing/>
        <w:jc w:val="left"/>
        <w:rPr>
          <w:rFonts w:hint="default" w:ascii="Times New Roman" w:hAnsi="Times New Roman" w:eastAsia="宋体" w:cs="Times New Roman"/>
          <w:szCs w:val="20"/>
          <w:highlight w:val="none"/>
        </w:rPr>
      </w:pPr>
      <w:r>
        <w:rPr>
          <w:rFonts w:hint="default"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按实结算</w:t>
      </w:r>
    </w:p>
    <w:p w14:paraId="1D3490CA">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本合同支付总额不超过</w:t>
      </w:r>
      <w:r>
        <w:rPr>
          <w:rFonts w:hint="default"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w:t>
      </w:r>
      <w:r>
        <w:rPr>
          <w:rFonts w:hint="eastAsia" w:ascii="Times New Roman" w:hAnsi="Times New Roman" w:eastAsia="宋体" w:cs="Times New Roman"/>
          <w:szCs w:val="21"/>
          <w:highlight w:val="none"/>
          <w:u w:val="single"/>
        </w:rPr>
        <w:t>附件1《结算单价清单》</w:t>
      </w:r>
      <w:r>
        <w:rPr>
          <w:rFonts w:hint="eastAsia" w:ascii="Times New Roman" w:hAnsi="Times New Roman" w:eastAsia="宋体" w:cs="Times New Roman"/>
          <w:szCs w:val="21"/>
          <w:highlight w:val="none"/>
        </w:rPr>
        <w:t>。</w:t>
      </w:r>
      <w:r>
        <w:rPr>
          <w:rFonts w:hint="default"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hint="default" w:ascii="Times New Roman" w:hAnsi="Times New Roman" w:eastAsia="宋体" w:cs="Times New Roman"/>
          <w:i/>
          <w:iCs/>
          <w:szCs w:val="21"/>
          <w:highlight w:val="none"/>
        </w:rPr>
        <w:t>&gt;</w:t>
      </w:r>
    </w:p>
    <w:bookmarkEnd w:id="42"/>
    <w:bookmarkEnd w:id="43"/>
    <w:p w14:paraId="4BC4CD53">
      <w:pPr>
        <w:widowControl w:val="0"/>
        <w:numPr>
          <w:ilvl w:val="0"/>
          <w:numId w:val="17"/>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计算机软件维保服务期限</w:t>
      </w:r>
      <w:r>
        <w:rPr>
          <w:rFonts w:ascii="Times New Roman" w:hAnsi="Times New Roman" w:eastAsia="宋体" w:cs="Times New Roman"/>
          <w:i/>
          <w:iCs/>
          <w:kern w:val="2"/>
          <w:sz w:val="21"/>
          <w:szCs w:val="21"/>
          <w:highlight w:val="none"/>
          <w:lang w:val="en-US" w:eastAsia="zh-CN" w:bidi="ar-SA"/>
        </w:rPr>
        <w:t>&lt;根据项目实际情况选择&gt;</w:t>
      </w:r>
    </w:p>
    <w:p w14:paraId="7CE84FFE">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本合同</w:t>
      </w:r>
      <w:r>
        <w:rPr>
          <w:rFonts w:hint="eastAsia" w:ascii="Times New Roman" w:hAnsi="Times New Roman" w:eastAsia="宋体" w:cs="Times New Roman"/>
          <w:bCs/>
          <w:kern w:val="2"/>
          <w:sz w:val="21"/>
          <w:szCs w:val="21"/>
          <w:highlight w:val="none"/>
          <w:lang w:val="en-US" w:eastAsia="zh-CN" w:bidi="ar-SA"/>
        </w:rPr>
        <w:t>维保</w:t>
      </w:r>
      <w:r>
        <w:rPr>
          <w:rFonts w:ascii="Times New Roman" w:hAnsi="Times New Roman" w:eastAsia="宋体" w:cs="Times New Roman"/>
          <w:bCs/>
          <w:kern w:val="2"/>
          <w:sz w:val="21"/>
          <w:szCs w:val="21"/>
          <w:highlight w:val="none"/>
          <w:lang w:val="en-US" w:eastAsia="zh-CN" w:bidi="ar-SA"/>
        </w:rPr>
        <w:t>服务期限为 *** 年，自 202* 年 *** 月 *** 日起至 202* 年 *** 月 *** 日。</w:t>
      </w:r>
    </w:p>
    <w:p w14:paraId="7CCD7299">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3B76101E">
      <w:pPr>
        <w:widowControl w:val="0"/>
        <w:ind w:left="105" w:leftChars="50" w:firstLine="315" w:firstLineChars="15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本项目服务期为</w:t>
      </w:r>
      <w:r>
        <w:rPr>
          <w:rFonts w:ascii="Times New Roman" w:hAnsi="Times New Roman" w:eastAsia="宋体" w:cs="Times New Roman"/>
          <w:bCs/>
          <w:kern w:val="2"/>
          <w:sz w:val="21"/>
          <w:szCs w:val="21"/>
          <w:highlight w:val="none"/>
          <w:u w:val="single"/>
          <w:lang w:val="en-US" w:eastAsia="zh-CN" w:bidi="ar-SA"/>
        </w:rPr>
        <w:t>叁</w:t>
      </w:r>
      <w:r>
        <w:rPr>
          <w:rFonts w:ascii="Times New Roman" w:hAnsi="Times New Roman" w:eastAsia="宋体" w:cs="Times New Roman"/>
          <w:bCs/>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kern w:val="2"/>
          <w:sz w:val="21"/>
          <w:szCs w:val="21"/>
          <w:highlight w:val="none"/>
          <w:u w:val="single"/>
          <w:lang w:val="en-US" w:eastAsia="zh-CN" w:bidi="ar-SA"/>
        </w:rPr>
        <w:t>，经甲方考核合格后续签下一年合同</w:t>
      </w:r>
      <w:bookmarkStart w:id="45" w:name="OLE_LINK29"/>
      <w:r>
        <w:rPr>
          <w:rFonts w:hint="eastAsia" w:ascii="Times New Roman" w:hAnsi="Times New Roman" w:eastAsia="宋体" w:cs="Times New Roman"/>
          <w:bCs/>
          <w:kern w:val="2"/>
          <w:sz w:val="21"/>
          <w:szCs w:val="21"/>
          <w:highlight w:val="none"/>
          <w:lang w:val="en-US" w:eastAsia="zh-CN" w:bidi="ar-SA"/>
        </w:rPr>
        <w:t>，考核标准详见</w:t>
      </w:r>
      <w:r>
        <w:rPr>
          <w:rFonts w:hint="eastAsia" w:ascii="Times New Roman" w:hAnsi="Times New Roman" w:eastAsia="宋体" w:cs="Times New Roman"/>
          <w:bCs/>
          <w:kern w:val="2"/>
          <w:sz w:val="21"/>
          <w:szCs w:val="21"/>
          <w:highlight w:val="none"/>
          <w:u w:val="single"/>
          <w:lang w:val="en-US" w:eastAsia="zh-CN" w:bidi="ar-SA"/>
        </w:rPr>
        <w:t>附件2《考核标准》</w:t>
      </w:r>
      <w:bookmarkEnd w:id="45"/>
      <w:r>
        <w:rPr>
          <w:rFonts w:ascii="Times New Roman" w:hAnsi="Times New Roman" w:eastAsia="宋体" w:cs="Times New Roman"/>
          <w:bCs/>
          <w:kern w:val="2"/>
          <w:sz w:val="21"/>
          <w:szCs w:val="21"/>
          <w:highlight w:val="none"/>
          <w:lang w:val="en-US" w:eastAsia="zh-CN" w:bidi="ar-SA"/>
        </w:rPr>
        <w:t>。</w:t>
      </w:r>
    </w:p>
    <w:p w14:paraId="501BE410">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维保服务内容</w:t>
      </w:r>
    </w:p>
    <w:p w14:paraId="18FAA16A">
      <w:pPr>
        <w:ind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bCs/>
          <w:szCs w:val="21"/>
          <w:highlight w:val="none"/>
        </w:rPr>
        <w:t>乙方应严格按照本合同服务方案和甲方要求提供服务，服务方案</w:t>
      </w:r>
      <w:r>
        <w:rPr>
          <w:rFonts w:hint="default" w:ascii="Times New Roman" w:hAnsi="Times New Roman" w:eastAsia="宋体" w:cs="Times New Roman"/>
          <w:bCs/>
          <w:szCs w:val="21"/>
          <w:highlight w:val="none"/>
        </w:rPr>
        <w:t>详见附件3《服务</w:t>
      </w:r>
      <w:r>
        <w:rPr>
          <w:rFonts w:hint="eastAsia" w:ascii="Times New Roman" w:hAnsi="Times New Roman" w:eastAsia="宋体" w:cs="Times New Roman"/>
          <w:bCs/>
          <w:szCs w:val="21"/>
          <w:highlight w:val="none"/>
        </w:rPr>
        <w:t>方案</w:t>
      </w:r>
      <w:r>
        <w:rPr>
          <w:rFonts w:hint="default" w:ascii="Times New Roman" w:hAnsi="Times New Roman" w:eastAsia="宋体" w:cs="Times New Roman"/>
          <w:bCs/>
          <w:szCs w:val="21"/>
          <w:highlight w:val="none"/>
        </w:rPr>
        <w:t>》</w:t>
      </w:r>
      <w:r>
        <w:rPr>
          <w:rFonts w:hint="eastAsia" w:ascii="Times New Roman" w:hAnsi="Times New Roman" w:eastAsia="宋体" w:cs="Times New Roman"/>
          <w:bCs/>
          <w:szCs w:val="21"/>
          <w:highlight w:val="none"/>
        </w:rPr>
        <w:t>。</w:t>
      </w:r>
    </w:p>
    <w:p w14:paraId="04D88F97">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验收</w:t>
      </w:r>
    </w:p>
    <w:p w14:paraId="263EAB59">
      <w:pPr>
        <w:widowControl w:val="0"/>
        <w:numPr>
          <w:ilvl w:val="0"/>
          <w:numId w:val="19"/>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甲、乙双方确定，按照本合同约定的验收方案对乙方按本合同约定所提供的服务进行验收。</w:t>
      </w:r>
    </w:p>
    <w:p w14:paraId="700A4C15">
      <w:pPr>
        <w:widowControl w:val="0"/>
        <w:numPr>
          <w:ilvl w:val="0"/>
          <w:numId w:val="19"/>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验收方案：</w:t>
      </w:r>
    </w:p>
    <w:p w14:paraId="5BCFB3B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验收主体：甲方</w:t>
      </w:r>
    </w:p>
    <w:p w14:paraId="2F4005A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验收组织方式：自行验收</w:t>
      </w:r>
    </w:p>
    <w:p w14:paraId="6158488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验收程序：</w:t>
      </w:r>
      <w:r>
        <w:rPr>
          <w:rFonts w:ascii="Times New Roman" w:hAnsi="Times New Roman" w:eastAsia="宋体" w:cs="Times New Roman"/>
          <w:kern w:val="2"/>
          <w:sz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一次性验收</w:t>
      </w:r>
      <w:r>
        <w:rPr>
          <w:rFonts w:ascii="Times New Roman" w:hAnsi="Times New Roman" w:eastAsia="宋体" w:cs="Times New Roman"/>
          <w:color w:val="000000"/>
          <w:kern w:val="2"/>
          <w:sz w:val="21"/>
          <w:szCs w:val="21"/>
          <w:highlight w:val="none"/>
          <w:lang w:val="en-US" w:eastAsia="zh-CN" w:bidi="ar-SA"/>
        </w:rPr>
        <w:t xml:space="preserve">   </w:t>
      </w:r>
      <w:r>
        <w:rPr>
          <w:rFonts w:ascii="Times New Roman" w:hAnsi="Times New Roman" w:eastAsia="宋体" w:cs="Times New Roman"/>
          <w:kern w:val="2"/>
          <w:sz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分段</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分期验收</w:t>
      </w:r>
    </w:p>
    <w:p w14:paraId="03A92CD0">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验收方式：</w:t>
      </w:r>
      <w:r>
        <w:rPr>
          <w:rFonts w:ascii="Times New Roman" w:hAnsi="Times New Roman" w:eastAsia="宋体" w:cs="Times New Roman"/>
          <w:color w:val="000000"/>
          <w:kern w:val="2"/>
          <w:sz w:val="21"/>
          <w:highlight w:val="none"/>
          <w:lang w:val="en-US" w:eastAsia="zh-CN" w:bidi="ar-SA"/>
        </w:rPr>
        <w:sym w:font="Wingdings 2" w:char="F052"/>
      </w:r>
      <w:r>
        <w:rPr>
          <w:rFonts w:hint="eastAsia" w:ascii="Times New Roman" w:hAnsi="Times New Roman" w:eastAsia="宋体" w:cs="Times New Roman"/>
          <w:color w:val="000000"/>
          <w:kern w:val="2"/>
          <w:sz w:val="21"/>
          <w:highlight w:val="none"/>
          <w:lang w:val="en-US" w:eastAsia="zh-CN" w:bidi="ar-SA"/>
        </w:rPr>
        <w:t>现场整体验收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highlight w:val="none"/>
          <w:shd w:val="clear" w:color="auto" w:fill="FFFFFF"/>
          <w:lang w:val="en-US" w:eastAsia="zh-CN" w:bidi="ar-SA"/>
        </w:rPr>
        <w:t>考核验收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highlight w:val="none"/>
          <w:shd w:val="clear" w:color="auto" w:fill="FFFFFF"/>
          <w:lang w:val="en-US" w:eastAsia="zh-CN" w:bidi="ar-SA"/>
        </w:rPr>
        <w:t>其它验收方式：</w:t>
      </w:r>
      <w:r>
        <w:rPr>
          <w:rFonts w:ascii="Times New Roman" w:hAnsi="Times New Roman" w:eastAsia="宋体" w:cs="Times New Roman"/>
          <w:color w:val="000000"/>
          <w:kern w:val="2"/>
          <w:sz w:val="21"/>
          <w:highlight w:val="none"/>
          <w:u w:val="single"/>
          <w:shd w:val="clear" w:color="auto" w:fill="FFFFFF"/>
          <w:lang w:val="en-US" w:eastAsia="zh-CN" w:bidi="ar-SA"/>
        </w:rPr>
        <w:t>***</w:t>
      </w:r>
    </w:p>
    <w:p w14:paraId="31189537">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w:t>
      </w:r>
      <w:r>
        <w:rPr>
          <w:rFonts w:ascii="Times New Roman" w:hAnsi="Times New Roman" w:eastAsia="宋体" w:cs="Times New Roman"/>
          <w:kern w:val="2"/>
          <w:sz w:val="21"/>
          <w:szCs w:val="21"/>
          <w:highlight w:val="none"/>
          <w:lang w:val="en-US" w:eastAsia="zh-CN" w:bidi="ar-SA"/>
        </w:rPr>
        <w:t>验收内容：</w:t>
      </w:r>
      <w:r>
        <w:rPr>
          <w:rFonts w:hint="eastAsia" w:ascii="Times New Roman" w:hAnsi="Times New Roman" w:eastAsia="宋体" w:cs="Times New Roman"/>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kern w:val="2"/>
          <w:sz w:val="21"/>
          <w:szCs w:val="21"/>
          <w:highlight w:val="none"/>
          <w:u w:val="single"/>
          <w:lang w:val="en-US" w:eastAsia="zh-CN" w:bidi="ar-SA"/>
        </w:rPr>
        <w:t>全部服务</w:t>
      </w:r>
      <w:r>
        <w:rPr>
          <w:rFonts w:hint="eastAsia" w:ascii="Times New Roman" w:hAnsi="Times New Roman" w:eastAsia="宋体" w:cs="Times New Roman"/>
          <w:kern w:val="2"/>
          <w:sz w:val="21"/>
          <w:szCs w:val="21"/>
          <w:highlight w:val="none"/>
          <w:lang w:val="en-US" w:eastAsia="zh-CN" w:bidi="ar-SA"/>
        </w:rPr>
        <w:t>的履约情况。</w:t>
      </w:r>
    </w:p>
    <w:p w14:paraId="10DD8D28">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履约</w:t>
      </w:r>
      <w:r>
        <w:rPr>
          <w:rFonts w:ascii="Times New Roman" w:hAnsi="Times New Roman" w:eastAsia="宋体" w:cs="Times New Roman"/>
          <w:color w:val="000000"/>
          <w:kern w:val="2"/>
          <w:sz w:val="21"/>
          <w:szCs w:val="21"/>
          <w:highlight w:val="none"/>
          <w:lang w:val="en-US" w:eastAsia="zh-CN" w:bidi="ar-SA"/>
        </w:rPr>
        <w:t>验收时间：</w:t>
      </w:r>
    </w:p>
    <w:p w14:paraId="1285DC86">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服务期满且</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完成所有服务内容后X日内通知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17C80E82">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303BA7DF">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完成考核后X日内组织验收</w:t>
      </w:r>
    </w:p>
    <w:p w14:paraId="35931436">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shd w:val="clear" w:color="auto" w:fill="FFFFFF"/>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 xml:space="preserve">其它验收时间：            </w:t>
      </w:r>
    </w:p>
    <w:p w14:paraId="429A27C1">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是否邀请本项目的其他供应商：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56CC33C0">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是否邀请专家：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6C69DBDB">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是否邀请服务对象：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5F48E21C">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是否</w:t>
      </w:r>
      <w:r>
        <w:rPr>
          <w:rFonts w:hint="eastAsia" w:ascii="Times New Roman" w:hAnsi="Times New Roman" w:eastAsia="宋体" w:cs="Times New Roman"/>
          <w:kern w:val="2"/>
          <w:sz w:val="21"/>
          <w:szCs w:val="21"/>
          <w:highlight w:val="none"/>
          <w:lang w:val="en-US" w:eastAsia="zh-CN" w:bidi="ar-SA"/>
        </w:rPr>
        <w:t>邀请</w:t>
      </w:r>
      <w:r>
        <w:rPr>
          <w:rFonts w:ascii="Times New Roman" w:hAnsi="Times New Roman" w:eastAsia="宋体" w:cs="Times New Roman"/>
          <w:kern w:val="2"/>
          <w:sz w:val="21"/>
          <w:szCs w:val="21"/>
          <w:highlight w:val="none"/>
          <w:lang w:val="en-US" w:eastAsia="zh-CN" w:bidi="ar-SA"/>
        </w:rPr>
        <w:t>第三方检测机构：</w:t>
      </w:r>
      <w:r>
        <w:rPr>
          <w:rFonts w:ascii="Times New Roman" w:hAnsi="Times New Roman" w:eastAsia="宋体" w:cs="Times New Roman"/>
          <w:kern w:val="0"/>
          <w:sz w:val="21"/>
          <w:highlight w:val="none"/>
          <w:shd w:val="clear" w:color="auto" w:fill="FFFFFF"/>
          <w:lang w:val="en-US" w:eastAsia="zh-CN" w:bidi="ar-SA"/>
        </w:rPr>
        <w:t xml:space="preserve">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715B6156">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验收标准：</w:t>
      </w:r>
    </w:p>
    <w:p w14:paraId="552139DC">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15207607">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甲方的采购</w:t>
      </w:r>
      <w:r>
        <w:rPr>
          <w:rFonts w:ascii="Times New Roman" w:hAnsi="Times New Roman" w:eastAsia="宋体" w:cs="Times New Roman"/>
          <w:kern w:val="2"/>
          <w:sz w:val="21"/>
          <w:szCs w:val="21"/>
          <w:highlight w:val="none"/>
          <w:lang w:val="en-US" w:eastAsia="zh-CN" w:bidi="ar-SA"/>
        </w:rPr>
        <w:t>文件相关技术、服务要求、</w:t>
      </w:r>
      <w:r>
        <w:rPr>
          <w:rFonts w:hint="eastAsia" w:ascii="Times New Roman" w:hAnsi="Times New Roman" w:eastAsia="宋体" w:cs="Times New Roman"/>
          <w:kern w:val="2"/>
          <w:sz w:val="21"/>
          <w:szCs w:val="21"/>
          <w:highlight w:val="none"/>
          <w:lang w:val="en-US" w:eastAsia="zh-CN" w:bidi="ar-SA"/>
        </w:rPr>
        <w:t>乙方响应</w:t>
      </w:r>
      <w:r>
        <w:rPr>
          <w:rFonts w:ascii="Times New Roman" w:hAnsi="Times New Roman" w:eastAsia="宋体" w:cs="Times New Roman"/>
          <w:kern w:val="2"/>
          <w:sz w:val="21"/>
          <w:szCs w:val="21"/>
          <w:highlight w:val="none"/>
          <w:lang w:val="en-US" w:eastAsia="zh-CN" w:bidi="ar-SA"/>
        </w:rPr>
        <w:t>文件相关响应内容。</w:t>
      </w:r>
    </w:p>
    <w:p w14:paraId="68BE7839">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如本项目验收方式为考核验收，则考核结果须为合格。</w:t>
      </w:r>
    </w:p>
    <w:p w14:paraId="07E8171A">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如验收时，</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与</w:t>
      </w:r>
      <w:r>
        <w:rPr>
          <w:rFonts w:hint="eastAsia" w:ascii="Times New Roman" w:hAnsi="Times New Roman" w:eastAsia="宋体" w:cs="Times New Roman"/>
          <w:kern w:val="2"/>
          <w:sz w:val="21"/>
          <w:szCs w:val="21"/>
          <w:highlight w:val="none"/>
          <w:lang w:val="en-US" w:eastAsia="zh-CN" w:bidi="ar-SA"/>
        </w:rPr>
        <w:t>乙方</w:t>
      </w:r>
      <w:r>
        <w:rPr>
          <w:rFonts w:ascii="Times New Roman" w:hAnsi="Times New Roman" w:eastAsia="宋体" w:cs="Times New Roman"/>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71A94E22">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参照</w:t>
      </w:r>
      <w:r>
        <w:rPr>
          <w:rFonts w:ascii="Times New Roman" w:hAnsi="Times New Roman" w:eastAsia="宋体" w:cs="Times New Roman"/>
          <w:kern w:val="2"/>
          <w:sz w:val="21"/>
          <w:szCs w:val="21"/>
          <w:highlight w:val="none"/>
          <w:lang w:val="en-US" w:eastAsia="zh-CN" w:bidi="ar-SA"/>
        </w:rPr>
        <w:t>《财政部关于进一步加强政府采购需求和履约验收管理的指导意见》（财库〔2016〕205号）的要求进行验收。</w:t>
      </w:r>
    </w:p>
    <w:p w14:paraId="285F3B44">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其它标准：</w:t>
      </w:r>
      <w:r>
        <w:rPr>
          <w:rFonts w:hint="eastAsia" w:ascii="Times New Roman" w:hAnsi="Times New Roman" w:eastAsia="宋体" w:cs="Times New Roman"/>
          <w:kern w:val="2"/>
          <w:sz w:val="21"/>
          <w:szCs w:val="21"/>
          <w:highlight w:val="none"/>
          <w:u w:val="single"/>
          <w:lang w:val="en-US" w:eastAsia="zh-CN" w:bidi="ar-SA"/>
        </w:rPr>
        <w:t>无。</w:t>
      </w:r>
    </w:p>
    <w:p w14:paraId="7A9F2502">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其它验收要求：</w:t>
      </w:r>
      <w:r>
        <w:rPr>
          <w:rFonts w:ascii="Times New Roman" w:hAnsi="Times New Roman" w:eastAsia="宋体" w:cs="Times New Roman"/>
          <w:color w:val="000000"/>
          <w:kern w:val="0"/>
          <w:sz w:val="21"/>
          <w:szCs w:val="21"/>
          <w:highlight w:val="none"/>
          <w:u w:val="single"/>
          <w:lang w:val="en-US" w:eastAsia="zh-CN" w:bidi="ar-SA"/>
        </w:rPr>
        <w:t>无</w:t>
      </w:r>
      <w:r>
        <w:rPr>
          <w:rFonts w:ascii="Times New Roman" w:hAnsi="Times New Roman" w:eastAsia="宋体" w:cs="Times New Roman"/>
          <w:i/>
          <w:iCs/>
          <w:color w:val="000000"/>
          <w:kern w:val="0"/>
          <w:sz w:val="21"/>
          <w:szCs w:val="21"/>
          <w:highlight w:val="none"/>
          <w:lang w:val="en-US" w:eastAsia="zh-CN" w:bidi="ar-SA"/>
        </w:rPr>
        <w:t>&lt;如有请填写&gt;</w:t>
      </w:r>
    </w:p>
    <w:p w14:paraId="4FF01A03">
      <w:pPr>
        <w:widowControl w:val="0"/>
        <w:numPr>
          <w:ilvl w:val="0"/>
          <w:numId w:val="1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%的违约金给甲方，违约金不能弥补甲方损失的，乙方应全额赔偿。</w:t>
      </w:r>
    </w:p>
    <w:p w14:paraId="294E0E3C">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付款方式</w:t>
      </w:r>
    </w:p>
    <w:p w14:paraId="4FD1904C">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履约保证金：</w:t>
      </w:r>
    </w:p>
    <w:p w14:paraId="4099375B">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乙方在合同签订生效之日起的***个工作日内，按合同总价</w:t>
      </w:r>
      <w:r>
        <w:rPr>
          <w:rFonts w:hint="eastAsia" w:ascii="Times New Roman" w:hAnsi="Times New Roman" w:eastAsia="宋体" w:cs="Times New Roman"/>
          <w:color w:val="000000"/>
          <w:kern w:val="2"/>
          <w:sz w:val="21"/>
          <w:szCs w:val="21"/>
          <w:highlight w:val="none"/>
          <w:lang w:val="en-US" w:eastAsia="zh-CN" w:bidi="ar-SA"/>
        </w:rPr>
        <w:t>的</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%支付履约保证金；本合同维保服务</w:t>
      </w:r>
      <w:r>
        <w:rPr>
          <w:rFonts w:hint="eastAsia" w:ascii="Times New Roman" w:hAnsi="Times New Roman" w:eastAsia="宋体" w:cs="Times New Roman"/>
          <w:color w:val="000000"/>
          <w:kern w:val="2"/>
          <w:sz w:val="21"/>
          <w:szCs w:val="21"/>
          <w:highlight w:val="none"/>
          <w:lang w:val="en-US" w:eastAsia="zh-CN" w:bidi="ar-SA"/>
        </w:rPr>
        <w:t>结束且验收合格</w:t>
      </w:r>
      <w:r>
        <w:rPr>
          <w:rFonts w:ascii="Times New Roman" w:hAnsi="Times New Roman" w:eastAsia="宋体" w:cs="Times New Roman"/>
          <w:color w:val="000000"/>
          <w:kern w:val="2"/>
          <w:sz w:val="21"/>
          <w:szCs w:val="21"/>
          <w:highlight w:val="none"/>
          <w:lang w:val="en-US" w:eastAsia="zh-CN" w:bidi="ar-SA"/>
        </w:rPr>
        <w:t>后，甲方接到乙方付款申请后30个工作日内，甲方一次性无息退还乙方的履约保证金；经验收后乙方履约不合格的，履约保证金不予退还。</w:t>
      </w:r>
    </w:p>
    <w:p w14:paraId="53784AF4">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本合同不涉及履约保证金。</w:t>
      </w:r>
    </w:p>
    <w:p w14:paraId="3BD89324">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本项目价款采用以下方式支付，以人民币结算：</w:t>
      </w:r>
    </w:p>
    <w:p w14:paraId="3C1189DD">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一次性支付：</w:t>
      </w:r>
    </w:p>
    <w:p w14:paraId="7DBD861D">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维保服务期满且经甲方验收合格</w:t>
      </w:r>
      <w:r>
        <w:rPr>
          <w:rFonts w:ascii="Times New Roman" w:hAnsi="Times New Roman" w:eastAsia="宋体" w:cs="Times New Roman"/>
          <w:kern w:val="2"/>
          <w:sz w:val="21"/>
          <w:szCs w:val="21"/>
          <w:highlight w:val="none"/>
          <w:lang w:val="en-US" w:eastAsia="zh-CN" w:bidi="ar-SA"/>
        </w:rPr>
        <w:t>后5日内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资料后55日内支付合同总价100%的</w:t>
      </w:r>
      <w:r>
        <w:rPr>
          <w:rFonts w:hint="eastAsia" w:ascii="Times New Roman" w:hAnsi="Times New Roman" w:eastAsia="宋体" w:cs="Times New Roman"/>
          <w:color w:val="000000"/>
          <w:kern w:val="2"/>
          <w:sz w:val="21"/>
          <w:szCs w:val="21"/>
          <w:highlight w:val="none"/>
          <w:lang w:val="en-US" w:eastAsia="zh-CN" w:bidi="ar-SA"/>
        </w:rPr>
        <w:t>金额</w:t>
      </w:r>
      <w:r>
        <w:rPr>
          <w:rFonts w:ascii="Times New Roman" w:hAnsi="Times New Roman" w:eastAsia="宋体" w:cs="Times New Roman"/>
          <w:color w:val="000000"/>
          <w:kern w:val="2"/>
          <w:sz w:val="21"/>
          <w:szCs w:val="21"/>
          <w:highlight w:val="none"/>
          <w:lang w:val="en-US" w:eastAsia="zh-CN" w:bidi="ar-SA"/>
        </w:rPr>
        <w:t>给乙方。</w:t>
      </w:r>
    </w:p>
    <w:p w14:paraId="4865E054">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分阶段支付，支付期限及额度如下：</w:t>
      </w:r>
    </w:p>
    <w:p w14:paraId="287E8B3E">
      <w:pPr>
        <w:widowControl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（1）预付款：本合同生效后***个工作日内，甲方预付本合同总价的***%，即人民币（大写） *** 圆整（RMB *** 元）。</w:t>
      </w:r>
    </w:p>
    <w:p w14:paraId="525424F6">
      <w:pPr>
        <w:widowControl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（2）进度款，甲方应当按照下列方式支付进度款：</w:t>
      </w:r>
    </w:p>
    <w:p w14:paraId="45933736">
      <w:pPr>
        <w:widowControl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乙方按照本合同约定完成阶段性工作后，甲方应于每一阶段性工作成果验收合格之日起***个工作日内，向乙方支付相应的费用。</w:t>
      </w:r>
    </w:p>
    <w:p w14:paraId="58D0E54B">
      <w:pPr>
        <w:widowControl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乙方完成***，甲方支付项目费用总额的***%，即 人民币（大写）*** 圆整（RMB *** 元）。</w:t>
      </w:r>
    </w:p>
    <w:p w14:paraId="60C8FCCF">
      <w:pPr>
        <w:widowControl w:val="0"/>
        <w:spacing w:after="0"/>
        <w:ind w:left="945" w:leftChars="400" w:hanging="105" w:hangingChars="5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（3）结算款：本合同维保服务结束后，甲方向乙方支付剩余价款人民币（大写）*** 圆整（RMB *** 元）。</w:t>
      </w:r>
    </w:p>
    <w:p w14:paraId="59DB7E5B">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甲方付款前，乙方需</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kern w:val="2"/>
          <w:sz w:val="21"/>
          <w:szCs w:val="21"/>
          <w:highlight w:val="none"/>
          <w:lang w:val="en-US" w:eastAsia="zh-CN" w:bidi="ar-SA"/>
        </w:rPr>
        <w:t>，否则甲方有权拒绝支付且不承担任何违约责任，且乙方不得因此停止工作。</w:t>
      </w:r>
    </w:p>
    <w:p w14:paraId="09752FD0">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0DD53F8B">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双方权利与义务</w:t>
      </w:r>
    </w:p>
    <w:p w14:paraId="6BD01B17">
      <w:pPr>
        <w:widowControl w:val="0"/>
        <w:numPr>
          <w:ilvl w:val="0"/>
          <w:numId w:val="23"/>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甲方权利与义务</w:t>
      </w:r>
    </w:p>
    <w:p w14:paraId="451FE948">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按合同约定向乙方支付费用。</w:t>
      </w:r>
    </w:p>
    <w:p w14:paraId="4B804311">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保证乙方实施维保服务所必须的外部条件如电源、水源的正常供应及开启、关闭等。</w:t>
      </w:r>
    </w:p>
    <w:p w14:paraId="131FFFB9">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对于乙方在提供保修保养期间所提供的信息，甲方应予保密，未经乙方书面同意，甲方不得擅自使用或透露给第三方。</w:t>
      </w:r>
    </w:p>
    <w:p w14:paraId="3F19F1EE">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甲方对服务人员不满意的，有权要求乙方在7日内更换相关服务人员。</w:t>
      </w:r>
    </w:p>
    <w:p w14:paraId="451A27D9">
      <w:pPr>
        <w:widowControl w:val="0"/>
        <w:numPr>
          <w:ilvl w:val="0"/>
          <w:numId w:val="23"/>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乙方权利与义务</w:t>
      </w:r>
    </w:p>
    <w:p w14:paraId="0CA2FD5F">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按本合同约定向甲方提供维保服务。</w:t>
      </w:r>
    </w:p>
    <w:p w14:paraId="2634E924">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kern w:val="2"/>
          <w:sz w:val="21"/>
          <w:szCs w:val="21"/>
          <w:highlight w:val="none"/>
          <w:lang w:val="en-US" w:eastAsia="zh-CN" w:bidi="ar-SA"/>
        </w:rPr>
        <w:t>。</w:t>
      </w:r>
    </w:p>
    <w:p w14:paraId="18B7C342">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乙方应保证</w:t>
      </w:r>
      <w:r>
        <w:rPr>
          <w:rFonts w:hint="eastAsia" w:ascii="Times New Roman" w:hAnsi="Times New Roman" w:eastAsia="宋体" w:cs="Times New Roman"/>
          <w:kern w:val="2"/>
          <w:sz w:val="21"/>
          <w:szCs w:val="21"/>
          <w:highlight w:val="none"/>
          <w:lang w:val="en-US" w:eastAsia="zh-CN" w:bidi="ar-SA"/>
        </w:rPr>
        <w:t>计算机软件达到</w:t>
      </w:r>
      <w:bookmarkStart w:id="46" w:name="OLE_LINK19"/>
      <w:r>
        <w:rPr>
          <w:rFonts w:hint="eastAsia" w:ascii="Times New Roman" w:hAnsi="Times New Roman" w:eastAsia="宋体" w:cs="Times New Roman"/>
          <w:kern w:val="2"/>
          <w:sz w:val="21"/>
          <w:szCs w:val="21"/>
          <w:highlight w:val="none"/>
          <w:lang w:val="en-US" w:eastAsia="zh-CN" w:bidi="ar-SA"/>
        </w:rPr>
        <w:t>本项目采购文件中的功能要求和质量标准</w:t>
      </w:r>
      <w:bookmarkEnd w:id="46"/>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且</w:t>
      </w:r>
      <w:r>
        <w:rPr>
          <w:rFonts w:ascii="Times New Roman" w:hAnsi="Times New Roman" w:eastAsia="宋体" w:cs="Times New Roman"/>
          <w:kern w:val="2"/>
          <w:sz w:val="21"/>
          <w:szCs w:val="21"/>
          <w:highlight w:val="none"/>
          <w:lang w:val="en-US" w:eastAsia="zh-CN" w:bidi="ar-SA"/>
        </w:rPr>
        <w:t>符合或优于国家（行业）标准。</w:t>
      </w:r>
    </w:p>
    <w:p w14:paraId="54F3997F">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如维保服务涉及</w:t>
      </w:r>
      <w:r>
        <w:rPr>
          <w:rFonts w:hint="eastAsia" w:ascii="Times New Roman" w:hAnsi="Times New Roman" w:eastAsia="宋体" w:cs="Times New Roman"/>
          <w:kern w:val="2"/>
          <w:sz w:val="21"/>
          <w:szCs w:val="21"/>
          <w:highlight w:val="none"/>
          <w:lang w:val="en-US" w:eastAsia="zh-CN" w:bidi="ar-SA"/>
        </w:rPr>
        <w:t>使用其它计</w:t>
      </w:r>
      <w:r>
        <w:rPr>
          <w:rFonts w:ascii="Times New Roman" w:hAnsi="Times New Roman" w:eastAsia="宋体" w:cs="Times New Roman"/>
          <w:kern w:val="2"/>
          <w:sz w:val="21"/>
          <w:szCs w:val="21"/>
          <w:highlight w:val="none"/>
          <w:lang w:val="en-US" w:eastAsia="zh-CN" w:bidi="ar-SA"/>
        </w:rPr>
        <w:t>算机软件产品的，乙方须承诺</w:t>
      </w:r>
      <w:r>
        <w:rPr>
          <w:rFonts w:hint="eastAsia" w:ascii="Times New Roman" w:hAnsi="Times New Roman" w:eastAsia="宋体" w:cs="Times New Roman"/>
          <w:kern w:val="2"/>
          <w:sz w:val="21"/>
          <w:szCs w:val="21"/>
          <w:highlight w:val="none"/>
          <w:lang w:val="en-US" w:eastAsia="zh-CN" w:bidi="ar-SA"/>
        </w:rPr>
        <w:t>所使用</w:t>
      </w:r>
      <w:r>
        <w:rPr>
          <w:rFonts w:ascii="Times New Roman" w:hAnsi="Times New Roman" w:eastAsia="宋体" w:cs="Times New Roman"/>
          <w:kern w:val="2"/>
          <w:sz w:val="21"/>
          <w:szCs w:val="21"/>
          <w:highlight w:val="none"/>
          <w:lang w:val="en-US" w:eastAsia="zh-CN" w:bidi="ar-SA"/>
        </w:rPr>
        <w:t>的软件已获得软件厂商的正规授权。</w:t>
      </w:r>
    </w:p>
    <w:p w14:paraId="5F1160F5">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乙方在提供维保服务的过程中，发现</w:t>
      </w:r>
      <w:r>
        <w:rPr>
          <w:rFonts w:hint="eastAsia" w:ascii="Times New Roman" w:hAnsi="Times New Roman" w:eastAsia="宋体" w:cs="Times New Roman"/>
          <w:kern w:val="2"/>
          <w:sz w:val="21"/>
          <w:szCs w:val="21"/>
          <w:highlight w:val="none"/>
          <w:lang w:val="en-US" w:eastAsia="zh-CN" w:bidi="ar-SA"/>
        </w:rPr>
        <w:t>计算机软件</w:t>
      </w:r>
      <w:r>
        <w:rPr>
          <w:rFonts w:ascii="Times New Roman" w:hAnsi="Times New Roman" w:eastAsia="宋体" w:cs="Times New Roman"/>
          <w:kern w:val="2"/>
          <w:sz w:val="21"/>
          <w:szCs w:val="21"/>
          <w:highlight w:val="none"/>
          <w:lang w:val="en-US" w:eastAsia="zh-CN" w:bidi="ar-SA"/>
        </w:rPr>
        <w:t>已经无法通过本合同第</w:t>
      </w:r>
      <w:r>
        <w:rPr>
          <w:rFonts w:hint="eastAsia" w:ascii="Times New Roman" w:hAnsi="Times New Roman" w:eastAsia="宋体" w:cs="Times New Roman"/>
          <w:kern w:val="2"/>
          <w:sz w:val="21"/>
          <w:szCs w:val="21"/>
          <w:highlight w:val="none"/>
          <w:lang w:val="en-US" w:eastAsia="zh-CN" w:bidi="ar-SA"/>
        </w:rPr>
        <w:t>四</w:t>
      </w:r>
      <w:r>
        <w:rPr>
          <w:rFonts w:ascii="Times New Roman" w:hAnsi="Times New Roman" w:eastAsia="宋体" w:cs="Times New Roman"/>
          <w:kern w:val="2"/>
          <w:sz w:val="21"/>
          <w:szCs w:val="21"/>
          <w:highlight w:val="none"/>
          <w:lang w:val="en-US" w:eastAsia="zh-CN" w:bidi="ar-SA"/>
        </w:rPr>
        <w:t>条中说明的维保服务内容达到</w:t>
      </w:r>
      <w:r>
        <w:rPr>
          <w:rFonts w:hint="eastAsia" w:ascii="Times New Roman" w:hAnsi="Times New Roman" w:eastAsia="宋体" w:cs="Times New Roman"/>
          <w:kern w:val="2"/>
          <w:sz w:val="21"/>
          <w:szCs w:val="21"/>
          <w:highlight w:val="none"/>
          <w:lang w:val="en-US" w:eastAsia="zh-CN" w:bidi="ar-SA"/>
        </w:rPr>
        <w:t>本合同约定的功能要求和质量标准</w:t>
      </w:r>
      <w:r>
        <w:rPr>
          <w:rFonts w:ascii="Times New Roman" w:hAnsi="Times New Roman" w:eastAsia="宋体" w:cs="Times New Roman"/>
          <w:kern w:val="2"/>
          <w:sz w:val="21"/>
          <w:szCs w:val="21"/>
          <w:highlight w:val="none"/>
          <w:lang w:val="en-US" w:eastAsia="zh-CN" w:bidi="ar-SA"/>
        </w:rPr>
        <w:t>的情况，乙方须以书面形式告知甲方。</w:t>
      </w:r>
    </w:p>
    <w:p w14:paraId="023926E2">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25852354">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违约责任</w:t>
      </w:r>
      <w:r>
        <w:rPr>
          <w:rFonts w:ascii="Times New Roman" w:hAnsi="Times New Roman" w:eastAsia="宋体" w:cs="Times New Roman"/>
          <w:bCs/>
          <w:i/>
          <w:iCs/>
          <w:kern w:val="2"/>
          <w:sz w:val="21"/>
          <w:szCs w:val="21"/>
          <w:highlight w:val="none"/>
          <w:lang w:val="en-US" w:eastAsia="zh-CN" w:bidi="ar-SA"/>
        </w:rPr>
        <w:t>&lt;本条款中违约金比例可根据项目实际情况确定&gt;</w:t>
      </w:r>
    </w:p>
    <w:p w14:paraId="34402792">
      <w:pPr>
        <w:widowControl w:val="0"/>
        <w:numPr>
          <w:ilvl w:val="0"/>
          <w:numId w:val="26"/>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kern w:val="2"/>
          <w:sz w:val="21"/>
          <w:szCs w:val="21"/>
          <w:highlight w:val="none"/>
          <w:lang w:val="en-US" w:eastAsia="zh-CN" w:bidi="ar-SA"/>
        </w:rPr>
        <w:t>金额的</w:t>
      </w:r>
      <w:r>
        <w:rPr>
          <w:rFonts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02C348FC">
      <w:pPr>
        <w:widowControl w:val="0"/>
        <w:numPr>
          <w:ilvl w:val="0"/>
          <w:numId w:val="26"/>
        </w:numPr>
        <w:ind w:left="480" w:hanging="48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乙方违约责任：</w:t>
      </w:r>
    </w:p>
    <w:p w14:paraId="7601CCCE">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bookmarkStart w:id="47" w:name="OLE_LINK18"/>
      <w:bookmarkStart w:id="48" w:name="OLE_LINK17"/>
      <w:r>
        <w:rPr>
          <w:rFonts w:ascii="Times New Roman" w:hAnsi="Times New Roman" w:eastAsia="宋体" w:cs="Times New Roman"/>
          <w:kern w:val="2"/>
          <w:sz w:val="21"/>
          <w:szCs w:val="21"/>
          <w:highlight w:val="none"/>
          <w:lang w:val="en-US" w:eastAsia="zh-CN" w:bidi="ar-SA"/>
        </w:rPr>
        <w:t>乙方应派遣具备相关资质的技术人员为甲方提供维保服务，维保服务过程中，乙方技术人员因操作不当、未采取必要的安全防范措施等原因导致安全责任事故的，由乙方承担由此造成的全部法律责任。</w:t>
      </w:r>
    </w:p>
    <w:p w14:paraId="437B6D16">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w:t>
      </w:r>
      <w:r>
        <w:rPr>
          <w:rFonts w:hint="eastAsia" w:ascii="Times New Roman" w:hAnsi="Times New Roman" w:eastAsia="宋体" w:cs="Times New Roman"/>
          <w:kern w:val="2"/>
          <w:sz w:val="21"/>
          <w:szCs w:val="21"/>
          <w:highlight w:val="none"/>
          <w:lang w:val="en-US" w:eastAsia="zh-CN" w:bidi="ar-SA"/>
        </w:rPr>
        <w:t>提供</w:t>
      </w:r>
      <w:r>
        <w:rPr>
          <w:rFonts w:ascii="Times New Roman" w:hAnsi="Times New Roman" w:eastAsia="宋体" w:cs="Times New Roman"/>
          <w:kern w:val="2"/>
          <w:sz w:val="21"/>
          <w:szCs w:val="21"/>
          <w:highlight w:val="none"/>
          <w:lang w:val="en-US" w:eastAsia="zh-CN" w:bidi="ar-SA"/>
        </w:rPr>
        <w:t>维保服务</w:t>
      </w:r>
      <w:r>
        <w:rPr>
          <w:rFonts w:hint="eastAsia" w:ascii="Times New Roman" w:hAnsi="Times New Roman" w:eastAsia="宋体" w:cs="Times New Roman"/>
          <w:kern w:val="2"/>
          <w:sz w:val="21"/>
          <w:szCs w:val="21"/>
          <w:highlight w:val="none"/>
          <w:lang w:val="en-US" w:eastAsia="zh-CN" w:bidi="ar-SA"/>
        </w:rPr>
        <w:t>后计算机软件</w:t>
      </w:r>
      <w:r>
        <w:rPr>
          <w:rFonts w:ascii="Times New Roman" w:hAnsi="Times New Roman" w:eastAsia="宋体" w:cs="Times New Roman"/>
          <w:kern w:val="2"/>
          <w:sz w:val="21"/>
          <w:szCs w:val="21"/>
          <w:highlight w:val="none"/>
          <w:lang w:val="en-US" w:eastAsia="zh-CN" w:bidi="ar-SA"/>
        </w:rPr>
        <w:t>在正常使用情况下出现质量原因导致甲方或第三方财产或人身损害的，由乙方承担赔偿责任。</w:t>
      </w:r>
    </w:p>
    <w:p w14:paraId="2EC09443">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在本合同的履行中，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乙方提供的服务存在设计、工艺或材料缺陷（包括潜在缺陷），乙方应当对由于上述缺陷造成的损失负责。</w:t>
      </w:r>
    </w:p>
    <w:p w14:paraId="32A307F8">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在本合同履行中，计算机软件出现故障时，如乙方在接到甲方或使用单位通知后，在本合同第三条中写明的响应时间内，没有作出响应措施，每发生一次，乙方应按</w:t>
      </w:r>
      <w:r>
        <w:rPr>
          <w:rFonts w:hint="eastAsia" w:ascii="Times New Roman" w:hAnsi="Times New Roman" w:eastAsia="宋体" w:cs="Times New Roman"/>
          <w:kern w:val="2"/>
          <w:sz w:val="21"/>
          <w:szCs w:val="21"/>
          <w:highlight w:val="non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u w:val="none"/>
          <w:lang w:val="en-US" w:eastAsia="zh-CN" w:bidi="ar-SA"/>
        </w:rPr>
        <w:t>‰</w:t>
      </w:r>
      <w:r>
        <w:rPr>
          <w:rFonts w:ascii="Times New Roman" w:hAnsi="Times New Roman" w:eastAsia="宋体" w:cs="Times New Roman"/>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55369011">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bookmarkStart w:id="49" w:name="OLE_LINK20"/>
      <w:r>
        <w:rPr>
          <w:rFonts w:hint="eastAsia" w:ascii="Times New Roman" w:hAnsi="Times New Roman" w:eastAsia="宋体" w:cs="Times New Roman"/>
          <w:kern w:val="2"/>
          <w:sz w:val="21"/>
          <w:szCs w:val="21"/>
          <w:highlight w:val="none"/>
          <w:lang w:val="en-US" w:eastAsia="zh-CN" w:bidi="ar-SA"/>
        </w:rPr>
        <w:t>提供维保服务</w:t>
      </w:r>
      <w:bookmarkEnd w:id="49"/>
      <w:r>
        <w:rPr>
          <w:rFonts w:ascii="Times New Roman" w:hAnsi="Times New Roman" w:eastAsia="宋体" w:cs="Times New Roman"/>
          <w:kern w:val="2"/>
          <w:sz w:val="21"/>
          <w:szCs w:val="21"/>
          <w:highlight w:val="none"/>
          <w:lang w:val="en-US" w:eastAsia="zh-CN" w:bidi="ar-SA"/>
        </w:rPr>
        <w:t>过程</w:t>
      </w:r>
      <w:r>
        <w:rPr>
          <w:rFonts w:hint="eastAsia" w:ascii="Times New Roman" w:hAnsi="Times New Roman" w:eastAsia="宋体" w:cs="Times New Roman"/>
          <w:kern w:val="2"/>
          <w:sz w:val="21"/>
          <w:szCs w:val="21"/>
          <w:highlight w:val="none"/>
          <w:lang w:val="en-US" w:eastAsia="zh-CN" w:bidi="ar-SA"/>
        </w:rPr>
        <w:t>中</w:t>
      </w:r>
      <w:r>
        <w:rPr>
          <w:rFonts w:ascii="Times New Roman" w:hAnsi="Times New Roman" w:eastAsia="宋体" w:cs="Times New Roman"/>
          <w:kern w:val="2"/>
          <w:sz w:val="21"/>
          <w:szCs w:val="21"/>
          <w:highlight w:val="none"/>
          <w:lang w:val="en-US" w:eastAsia="zh-CN" w:bidi="ar-SA"/>
        </w:rPr>
        <w:t>侵犯他人知识产权，甲方有权单方解除合同，并要求乙方赔偿所造成的损失，同时甲方有权要求对方按照合同总金额的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支付</w:t>
      </w:r>
      <w:r>
        <w:rPr>
          <w:rFonts w:ascii="Times New Roman" w:hAnsi="Times New Roman" w:eastAsia="宋体" w:cs="Times New Roman"/>
          <w:kern w:val="2"/>
          <w:sz w:val="21"/>
          <w:szCs w:val="21"/>
          <w:highlight w:val="none"/>
          <w:lang w:val="en-US" w:eastAsia="zh-CN" w:bidi="ar-SA"/>
        </w:rPr>
        <w:t>违约金。</w:t>
      </w:r>
    </w:p>
    <w:p w14:paraId="4187E17A">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lang w:val="en-US" w:eastAsia="zh-CN" w:bidi="ar-SA"/>
        </w:rPr>
        <w:t>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bookmarkEnd w:id="47"/>
    <w:bookmarkEnd w:id="48"/>
    <w:p w14:paraId="5B11F6AB">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4834106C">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354E501B">
      <w:pPr>
        <w:widowControl w:val="0"/>
        <w:numPr>
          <w:ilvl w:val="0"/>
          <w:numId w:val="27"/>
        </w:numPr>
        <w:snapToGrid w:val="0"/>
        <w:spacing w:after="0" w:line="240" w:lineRule="auto"/>
        <w:ind w:left="525" w:leftChars="0" w:hanging="525" w:hangingChars="250"/>
        <w:contextualSpacing/>
        <w:jc w:val="left"/>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如本</w:t>
      </w:r>
      <w:r>
        <w:rPr>
          <w:rFonts w:ascii="宋体" w:hAnsi="宋体" w:eastAsia="宋体" w:cs="微软雅黑"/>
          <w:kern w:val="2"/>
          <w:sz w:val="21"/>
          <w:szCs w:val="21"/>
          <w:highlight w:val="none"/>
          <w:lang w:val="en-US" w:eastAsia="zh-CN" w:bidi="ar-SA"/>
        </w:rPr>
        <w:t>合同</w:t>
      </w:r>
      <w:r>
        <w:rPr>
          <w:rFonts w:hint="eastAsia" w:ascii="宋体" w:hAnsi="宋体" w:eastAsia="宋体" w:cs="Times New Roman"/>
          <w:kern w:val="2"/>
          <w:sz w:val="21"/>
          <w:szCs w:val="21"/>
          <w:highlight w:val="none"/>
          <w:lang w:val="en-US" w:eastAsia="zh-CN" w:bidi="ar-SA"/>
        </w:rPr>
        <w:t>要</w:t>
      </w:r>
      <w:r>
        <w:rPr>
          <w:rFonts w:hint="eastAsia" w:ascii="Times New Roman" w:hAnsi="Times New Roman" w:eastAsia="宋体" w:cs="Times New Roman"/>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7CDD0C">
      <w:pPr>
        <w:widowControl w:val="0"/>
        <w:spacing w:after="0" w:line="240" w:lineRule="auto"/>
        <w:ind w:left="0" w:leftChars="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37F58238">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不可抗力</w:t>
      </w:r>
    </w:p>
    <w:p w14:paraId="00301F83">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65E26CB0">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合同终止及解除</w:t>
      </w:r>
    </w:p>
    <w:p w14:paraId="7BB9FB77">
      <w:pPr>
        <w:widowControl w:val="0"/>
        <w:numPr>
          <w:ilvl w:val="0"/>
          <w:numId w:val="28"/>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1BFEB7F6">
      <w:pPr>
        <w:widowControl w:val="0"/>
        <w:numPr>
          <w:ilvl w:val="0"/>
          <w:numId w:val="28"/>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在甲、乙任何一方有严重违约行为时，另一方有权单方解除合同。</w:t>
      </w:r>
    </w:p>
    <w:p w14:paraId="7A0FB191">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争议解决办法</w:t>
      </w:r>
    </w:p>
    <w:p w14:paraId="4EF6544C">
      <w:pPr>
        <w:widowControl w:val="0"/>
        <w:numPr>
          <w:ilvl w:val="0"/>
          <w:numId w:val="2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7BAA0DCD">
      <w:pPr>
        <w:widowControl w:val="0"/>
        <w:numPr>
          <w:ilvl w:val="0"/>
          <w:numId w:val="2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2CDDA446">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送达（送达地址是司法机关、执法机关和仲裁机关将法律文书送达给当事人的收件地址）</w:t>
      </w:r>
    </w:p>
    <w:p w14:paraId="37F1149A">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65E7B106">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3FB041A6">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AFD6AB9">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其他</w:t>
      </w:r>
    </w:p>
    <w:p w14:paraId="3D14F378">
      <w:pPr>
        <w:widowControl w:val="0"/>
        <w:numPr>
          <w:ilvl w:val="0"/>
          <w:numId w:val="31"/>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如有未尽事宜，由双方依法订立补充合同。补充合同及本合同附件均为本合同的组成部分，与本合同具有同等法律效力。</w:t>
      </w:r>
    </w:p>
    <w:p w14:paraId="657C0602">
      <w:pPr>
        <w:widowControl w:val="0"/>
        <w:numPr>
          <w:ilvl w:val="0"/>
          <w:numId w:val="31"/>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本合同一式四份，自双方</w:t>
      </w:r>
      <w:r>
        <w:rPr>
          <w:rFonts w:hint="eastAsia" w:ascii="Times New Roman" w:hAnsi="Times New Roman" w:eastAsia="宋体" w:cs="Times New Roman"/>
          <w:kern w:val="2"/>
          <w:sz w:val="21"/>
          <w:szCs w:val="21"/>
          <w:highlight w:val="none"/>
          <w:lang w:val="en-US" w:eastAsia="zh-CN" w:bidi="ar-SA"/>
        </w:rPr>
        <w:t>签字且盖章</w:t>
      </w:r>
      <w:r>
        <w:rPr>
          <w:rFonts w:ascii="Times New Roman" w:hAnsi="Times New Roman" w:eastAsia="宋体" w:cs="Times New Roman"/>
          <w:kern w:val="2"/>
          <w:sz w:val="21"/>
          <w:szCs w:val="21"/>
          <w:highlight w:val="none"/>
          <w:lang w:val="en-US" w:eastAsia="zh-CN" w:bidi="ar-SA"/>
        </w:rPr>
        <w:t>之日起生效。甲方三份，乙方一份。</w:t>
      </w:r>
    </w:p>
    <w:p w14:paraId="17999D12">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合同附件</w:t>
      </w:r>
    </w:p>
    <w:p w14:paraId="026A555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本合同为</w:t>
      </w:r>
      <w:r>
        <w:rPr>
          <w:rFonts w:hint="eastAsia" w:ascii="Times New Roman" w:hAnsi="Times New Roman" w:eastAsia="宋体" w:cs="Times New Roman"/>
          <w:szCs w:val="21"/>
          <w:highlight w:val="none"/>
          <w:u w:val="single"/>
        </w:rPr>
        <w:t>有</w:t>
      </w:r>
      <w:r>
        <w:rPr>
          <w:rFonts w:hint="default" w:ascii="Times New Roman" w:hAnsi="Times New Roman" w:eastAsia="宋体" w:cs="Times New Roman"/>
          <w:szCs w:val="21"/>
          <w:highlight w:val="none"/>
        </w:rPr>
        <w:t>附件合同</w:t>
      </w:r>
      <w:r>
        <w:rPr>
          <w:rFonts w:hint="eastAsia" w:ascii="Times New Roman" w:hAnsi="Times New Roman" w:eastAsia="宋体" w:cs="Times New Roman"/>
          <w:szCs w:val="21"/>
          <w:highlight w:val="none"/>
        </w:rPr>
        <w:t>，附件如下：</w:t>
      </w:r>
      <w:r>
        <w:rPr>
          <w:rFonts w:hint="default" w:ascii="Times New Roman" w:hAnsi="Times New Roman" w:eastAsia="宋体" w:cs="Times New Roman"/>
          <w:i/>
          <w:iCs/>
          <w:szCs w:val="21"/>
          <w:highlight w:val="none"/>
        </w:rPr>
        <w:t>&lt;根据项目实际情况编制&gt;</w:t>
      </w:r>
    </w:p>
    <w:p w14:paraId="113199A9">
      <w:pPr>
        <w:jc w:val="left"/>
        <w:outlineLvl w:val="9"/>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附件1《</w:t>
      </w:r>
      <w:bookmarkStart w:id="50" w:name="OLE_LINK32"/>
      <w:r>
        <w:rPr>
          <w:rFonts w:hint="eastAsia" w:ascii="Times New Roman" w:hAnsi="Times New Roman" w:eastAsia="宋体" w:cs="Times New Roman"/>
          <w:szCs w:val="21"/>
          <w:highlight w:val="none"/>
        </w:rPr>
        <w:t>结算单价清单</w:t>
      </w:r>
      <w:bookmarkEnd w:id="50"/>
      <w:r>
        <w:rPr>
          <w:rFonts w:hint="eastAsia" w:ascii="Times New Roman" w:hAnsi="Times New Roman" w:eastAsia="宋体" w:cs="Times New Roman"/>
          <w:szCs w:val="21"/>
          <w:highlight w:val="none"/>
        </w:rPr>
        <w:t>》</w:t>
      </w:r>
    </w:p>
    <w:p w14:paraId="53EA45DD">
      <w:pPr>
        <w:jc w:val="left"/>
        <w:outlineLvl w:val="9"/>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附件2《考核标准》</w:t>
      </w:r>
    </w:p>
    <w:p w14:paraId="5F7A9A3C">
      <w:pPr>
        <w:jc w:val="left"/>
        <w:outlineLvl w:val="9"/>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附件3《服务</w:t>
      </w:r>
      <w:r>
        <w:rPr>
          <w:rFonts w:hint="eastAsia" w:ascii="Times New Roman" w:hAnsi="Times New Roman" w:eastAsia="宋体" w:cs="Times New Roman"/>
          <w:szCs w:val="21"/>
          <w:highlight w:val="none"/>
        </w:rPr>
        <w:t>方案</w:t>
      </w:r>
      <w:r>
        <w:rPr>
          <w:rFonts w:hint="default" w:ascii="Times New Roman" w:hAnsi="Times New Roman" w:eastAsia="宋体" w:cs="Times New Roman"/>
          <w:szCs w:val="21"/>
          <w:highlight w:val="none"/>
        </w:rPr>
        <w:t>》</w:t>
      </w:r>
    </w:p>
    <w:p w14:paraId="28A6F4A1">
      <w:pPr>
        <w:jc w:val="left"/>
        <w:outlineLvl w:val="9"/>
        <w:rPr>
          <w:rFonts w:hint="default" w:ascii="Times New Roman" w:hAnsi="Times New Roman" w:eastAsia="宋体" w:cs="Times New Roman"/>
          <w:szCs w:val="21"/>
          <w:highlight w:val="none"/>
        </w:rPr>
      </w:pPr>
    </w:p>
    <w:p w14:paraId="0F4D6363">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r>
        <w:rPr>
          <w:rFonts w:hint="default" w:ascii="Times New Roman" w:hAnsi="Times New Roman" w:eastAsia="宋体" w:cs="Times New Roman"/>
          <w:sz w:val="18"/>
          <w:szCs w:val="18"/>
          <w:highlight w:val="none"/>
        </w:rPr>
        <w:t>以下无正文</w:t>
      </w:r>
      <w:r>
        <w:rPr>
          <w:rFonts w:hint="default" w:ascii="Times New Roman" w:hAnsi="Times New Roman" w:eastAsia="宋体" w:cs="Times New Roman"/>
          <w:szCs w:val="21"/>
          <w:highlight w:val="none"/>
        </w:rPr>
        <w:t>——</w:t>
      </w:r>
    </w:p>
    <w:tbl>
      <w:tblPr>
        <w:tblStyle w:val="14"/>
        <w:tblW w:w="5000" w:type="pct"/>
        <w:jc w:val="center"/>
        <w:tblLayout w:type="autofit"/>
        <w:tblCellMar>
          <w:top w:w="0" w:type="dxa"/>
          <w:left w:w="0" w:type="dxa"/>
          <w:bottom w:w="0" w:type="dxa"/>
          <w:right w:w="0" w:type="dxa"/>
        </w:tblCellMar>
      </w:tblPr>
      <w:tblGrid>
        <w:gridCol w:w="4688"/>
        <w:gridCol w:w="4950"/>
      </w:tblGrid>
      <w:tr w14:paraId="033C543A">
        <w:tblPrEx>
          <w:tblCellMar>
            <w:top w:w="0" w:type="dxa"/>
            <w:left w:w="0" w:type="dxa"/>
            <w:bottom w:w="0" w:type="dxa"/>
            <w:right w:w="0" w:type="dxa"/>
          </w:tblCellMar>
        </w:tblPrEx>
        <w:trPr>
          <w:trHeight w:val="519" w:hRule="atLeast"/>
          <w:jc w:val="center"/>
        </w:trPr>
        <w:tc>
          <w:tcPr>
            <w:tcW w:w="10214" w:type="dxa"/>
            <w:gridSpan w:val="2"/>
          </w:tcPr>
          <w:p w14:paraId="0540A3F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签订时间：</w:t>
            </w:r>
            <w:r>
              <w:rPr>
                <w:rFonts w:hint="default" w:ascii="Times New Roman" w:hAnsi="Times New Roman" w:eastAsia="宋体" w:cs="Times New Roman"/>
                <w:szCs w:val="20"/>
                <w:highlight w:val="none"/>
              </w:rPr>
              <w:t>202</w:t>
            </w:r>
            <w:r>
              <w:rPr>
                <w:rFonts w:hint="eastAsia" w:ascii="Times New Roman" w:hAnsi="Times New Roman" w:eastAsia="宋体" w:cs="Times New Roman"/>
                <w:szCs w:val="20"/>
                <w:highlight w:val="none"/>
              </w:rPr>
              <w:t>*</w:t>
            </w:r>
            <w:r>
              <w:rPr>
                <w:rFonts w:hint="default" w:ascii="Times New Roman" w:hAnsi="Times New Roman" w:eastAsia="宋体" w:cs="Times New Roman"/>
                <w:szCs w:val="21"/>
                <w:highlight w:val="none"/>
              </w:rPr>
              <w:t>年***月***日</w:t>
            </w:r>
          </w:p>
        </w:tc>
      </w:tr>
      <w:tr w14:paraId="40893B5C">
        <w:tblPrEx>
          <w:tblCellMar>
            <w:top w:w="0" w:type="dxa"/>
            <w:left w:w="0" w:type="dxa"/>
            <w:bottom w:w="0" w:type="dxa"/>
            <w:right w:w="0" w:type="dxa"/>
          </w:tblCellMar>
        </w:tblPrEx>
        <w:trPr>
          <w:jc w:val="center"/>
        </w:trPr>
        <w:tc>
          <w:tcPr>
            <w:tcW w:w="4967" w:type="dxa"/>
          </w:tcPr>
          <w:p w14:paraId="0A150CBF">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甲方：四川省人民医院（盖章）</w:t>
            </w:r>
          </w:p>
          <w:p w14:paraId="7A814AD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法定代表人（授权代表签字）：</w:t>
            </w:r>
          </w:p>
          <w:p w14:paraId="5BE16661">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地    址：四川省成都市一环路西二段32号</w:t>
            </w:r>
          </w:p>
          <w:p w14:paraId="056F77A5">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开户银行：建设银行成都青羊支行</w:t>
            </w:r>
          </w:p>
          <w:p w14:paraId="31983F9F">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账号：5100 1446 4360 5037 4282</w:t>
            </w:r>
          </w:p>
        </w:tc>
        <w:tc>
          <w:tcPr>
            <w:tcW w:w="5247" w:type="dxa"/>
          </w:tcPr>
          <w:p w14:paraId="72CF928B">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乙方：</w:t>
            </w:r>
            <w:permStart w:id="3" w:edGrp="everyone"/>
            <w:r>
              <w:rPr>
                <w:rFonts w:hint="default" w:ascii="Times New Roman" w:hAnsi="Times New Roman" w:eastAsia="宋体" w:cs="Times New Roman"/>
                <w:szCs w:val="21"/>
                <w:highlight w:val="none"/>
              </w:rPr>
              <w:t>***</w:t>
            </w:r>
            <w:permEnd w:id="3"/>
            <w:r>
              <w:rPr>
                <w:rFonts w:hint="default" w:ascii="Times New Roman" w:hAnsi="Times New Roman" w:eastAsia="宋体" w:cs="Times New Roman"/>
                <w:szCs w:val="21"/>
                <w:highlight w:val="none"/>
              </w:rPr>
              <w:t>（盖章）</w:t>
            </w:r>
          </w:p>
          <w:p w14:paraId="6648EAF4">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法定代表人（授权代表签字）：</w:t>
            </w:r>
          </w:p>
          <w:p w14:paraId="7FAE717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地址：</w:t>
            </w:r>
            <w:permStart w:id="4" w:edGrp="everyone"/>
            <w:r>
              <w:rPr>
                <w:rFonts w:hint="default" w:ascii="Times New Roman" w:hAnsi="Times New Roman" w:eastAsia="宋体" w:cs="Times New Roman"/>
                <w:szCs w:val="21"/>
                <w:highlight w:val="none"/>
              </w:rPr>
              <w:t>***</w:t>
            </w:r>
            <w:permEnd w:id="4"/>
          </w:p>
          <w:p w14:paraId="209C213A">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开户银行：</w:t>
            </w:r>
            <w:permStart w:id="5" w:edGrp="everyone"/>
            <w:r>
              <w:rPr>
                <w:rFonts w:hint="default" w:ascii="Times New Roman" w:hAnsi="Times New Roman" w:eastAsia="宋体" w:cs="Times New Roman"/>
                <w:szCs w:val="21"/>
                <w:highlight w:val="none"/>
              </w:rPr>
              <w:t>***</w:t>
            </w:r>
          </w:p>
          <w:permEnd w:id="5"/>
          <w:p w14:paraId="06337005">
            <w:pPr>
              <w:widowControl/>
              <w:jc w:val="left"/>
              <w:rPr>
                <w:rFonts w:hint="default" w:ascii="Times New Roman" w:hAnsi="Times New Roman" w:eastAsia="宋体" w:cs="Times New Roman"/>
                <w:szCs w:val="20"/>
                <w:highlight w:val="none"/>
              </w:rPr>
            </w:pPr>
            <w:r>
              <w:rPr>
                <w:rFonts w:hint="default" w:ascii="Times New Roman" w:hAnsi="Times New Roman" w:eastAsia="宋体" w:cs="Times New Roman"/>
                <w:szCs w:val="21"/>
                <w:highlight w:val="none"/>
              </w:rPr>
              <w:t>账号：</w:t>
            </w:r>
            <w:permStart w:id="6" w:edGrp="everyone"/>
            <w:r>
              <w:rPr>
                <w:rFonts w:hint="default" w:ascii="Times New Roman" w:hAnsi="Times New Roman" w:eastAsia="宋体" w:cs="Times New Roman"/>
                <w:szCs w:val="21"/>
                <w:highlight w:val="none"/>
              </w:rPr>
              <w:t>***</w:t>
            </w:r>
            <w:permEnd w:id="6"/>
          </w:p>
        </w:tc>
      </w:tr>
    </w:tbl>
    <w:p w14:paraId="2905CFD9">
      <w:pPr>
        <w:jc w:val="left"/>
        <w:outlineLvl w:val="0"/>
        <w:rPr>
          <w:b/>
          <w:bCs/>
          <w:szCs w:val="21"/>
          <w:highlight w:val="none"/>
        </w:rPr>
        <w:sectPr>
          <w:footerReference r:id="rId7" w:type="default"/>
          <w:pgSz w:w="11906" w:h="16838"/>
          <w:pgMar w:top="851" w:right="1134" w:bottom="851" w:left="1134" w:header="0" w:footer="567" w:gutter="0"/>
          <w:pgNumType w:fmt="decimal" w:start="1"/>
          <w:cols w:space="425" w:num="1"/>
          <w:docGrid w:linePitch="312" w:charSpace="0"/>
        </w:sectPr>
      </w:pPr>
    </w:p>
    <w:p w14:paraId="2BD33B3C">
      <w:pPr>
        <w:widowControl/>
        <w:jc w:val="left"/>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附件</w:t>
      </w:r>
      <w:r>
        <w:rPr>
          <w:rFonts w:hint="eastAsia" w:ascii="Times New Roman" w:hAnsi="Times New Roman" w:eastAsia="宋体" w:cs="Times New Roman"/>
          <w:b/>
          <w:bCs/>
          <w:szCs w:val="21"/>
          <w:highlight w:val="none"/>
        </w:rPr>
        <w:t>1</w:t>
      </w:r>
      <w:r>
        <w:rPr>
          <w:rFonts w:hint="default" w:ascii="Times New Roman" w:hAnsi="Times New Roman" w:eastAsia="宋体" w:cs="Times New Roman"/>
          <w:b/>
          <w:bCs/>
          <w:szCs w:val="21"/>
          <w:highlight w:val="none"/>
        </w:rPr>
        <w:t>：</w:t>
      </w:r>
      <w:r>
        <w:rPr>
          <w:rFonts w:hint="eastAsia" w:ascii="Times New Roman" w:hAnsi="Times New Roman" w:eastAsia="宋体" w:cs="Times New Roman"/>
          <w:b/>
          <w:bCs/>
          <w:szCs w:val="21"/>
          <w:highlight w:val="none"/>
        </w:rPr>
        <w:t>结算单价清单（人民币：元）</w:t>
      </w:r>
      <w:r>
        <w:rPr>
          <w:rFonts w:hint="eastAsia" w:ascii="Times New Roman" w:hAnsi="Times New Roman" w:eastAsia="宋体" w:cs="Times New Roman"/>
          <w:b/>
          <w:bCs/>
          <w:i/>
          <w:iCs/>
          <w:szCs w:val="21"/>
          <w:highlight w:val="none"/>
        </w:rPr>
        <w:t>&lt;根据项目实际情况编制</w:t>
      </w:r>
      <w:r>
        <w:rPr>
          <w:rFonts w:hint="default" w:ascii="Times New Roman" w:hAnsi="Times New Roman" w:eastAsia="宋体" w:cs="Times New Roman"/>
          <w:b/>
          <w:bCs/>
          <w:i/>
          <w:iCs/>
          <w:szCs w:val="21"/>
          <w:highlight w:val="none"/>
        </w:rPr>
        <w:t>&gt;</w:t>
      </w:r>
    </w:p>
    <w:p w14:paraId="204DAEA5">
      <w:pPr>
        <w:widowControl/>
        <w:jc w:val="left"/>
        <w:rPr>
          <w:rFonts w:hint="default" w:ascii="Times New Roman" w:hAnsi="Times New Roman" w:eastAsia="宋体" w:cs="Times New Roman"/>
          <w:szCs w:val="21"/>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3118"/>
        <w:gridCol w:w="2915"/>
        <w:gridCol w:w="885"/>
        <w:gridCol w:w="860"/>
      </w:tblGrid>
      <w:tr w14:paraId="0509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27519C3">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4BFADE28">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0C99FD36">
            <w:pPr>
              <w:widowControl/>
              <w:jc w:val="center"/>
              <w:rPr>
                <w:rFonts w:hint="default"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hint="default" w:ascii="Times New Roman" w:hAnsi="Times New Roman" w:eastAsia="宋体" w:cs="Times New Roman"/>
                <w:b/>
                <w:bCs/>
                <w:i/>
                <w:iCs/>
                <w:szCs w:val="21"/>
                <w:highlight w:val="none"/>
              </w:rPr>
              <w:t>&gt;</w:t>
            </w:r>
          </w:p>
        </w:tc>
        <w:tc>
          <w:tcPr>
            <w:tcW w:w="992" w:type="dxa"/>
            <w:vAlign w:val="center"/>
          </w:tcPr>
          <w:p w14:paraId="10DADC1D">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hint="default" w:ascii="Times New Roman" w:hAnsi="Times New Roman" w:eastAsia="宋体" w:cs="Times New Roman"/>
                <w:b/>
                <w:bCs/>
                <w:i/>
                <w:iCs/>
                <w:szCs w:val="21"/>
                <w:highlight w:val="none"/>
              </w:rPr>
              <w:t>&gt;</w:t>
            </w:r>
          </w:p>
        </w:tc>
        <w:tc>
          <w:tcPr>
            <w:tcW w:w="986" w:type="dxa"/>
            <w:vAlign w:val="center"/>
          </w:tcPr>
          <w:p w14:paraId="6C2ABBEA">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5A704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F821F6F">
            <w:pPr>
              <w:widowControl/>
              <w:jc w:val="center"/>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08B74405">
            <w:pPr>
              <w:widowControl/>
              <w:jc w:val="left"/>
              <w:rPr>
                <w:rFonts w:hint="default" w:ascii="Times New Roman" w:hAnsi="Times New Roman" w:eastAsia="宋体" w:cs="Times New Roman"/>
                <w:szCs w:val="21"/>
                <w:highlight w:val="none"/>
              </w:rPr>
            </w:pPr>
          </w:p>
        </w:tc>
        <w:tc>
          <w:tcPr>
            <w:tcW w:w="3402" w:type="dxa"/>
            <w:vAlign w:val="center"/>
          </w:tcPr>
          <w:p w14:paraId="4E46E5E6">
            <w:pPr>
              <w:widowControl/>
              <w:jc w:val="left"/>
              <w:rPr>
                <w:rFonts w:hint="default" w:ascii="Times New Roman" w:hAnsi="Times New Roman" w:eastAsia="宋体" w:cs="Times New Roman"/>
                <w:szCs w:val="21"/>
                <w:highlight w:val="none"/>
              </w:rPr>
            </w:pPr>
          </w:p>
        </w:tc>
        <w:tc>
          <w:tcPr>
            <w:tcW w:w="992" w:type="dxa"/>
            <w:vAlign w:val="center"/>
          </w:tcPr>
          <w:p w14:paraId="1A18901C">
            <w:pPr>
              <w:widowControl/>
              <w:jc w:val="center"/>
              <w:rPr>
                <w:rFonts w:hint="default" w:ascii="Times New Roman" w:hAnsi="Times New Roman" w:eastAsia="宋体" w:cs="Times New Roman"/>
                <w:szCs w:val="21"/>
                <w:highlight w:val="none"/>
              </w:rPr>
            </w:pPr>
          </w:p>
        </w:tc>
        <w:tc>
          <w:tcPr>
            <w:tcW w:w="986" w:type="dxa"/>
            <w:vAlign w:val="center"/>
          </w:tcPr>
          <w:p w14:paraId="6AB67561">
            <w:pPr>
              <w:widowControl/>
              <w:jc w:val="center"/>
              <w:rPr>
                <w:rFonts w:hint="default" w:ascii="Times New Roman" w:hAnsi="Times New Roman" w:eastAsia="宋体" w:cs="Times New Roman"/>
                <w:szCs w:val="21"/>
                <w:highlight w:val="none"/>
              </w:rPr>
            </w:pPr>
          </w:p>
        </w:tc>
      </w:tr>
      <w:tr w14:paraId="641C7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37154EE">
            <w:pPr>
              <w:widowControl/>
              <w:jc w:val="center"/>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0C7C0D73">
            <w:pPr>
              <w:widowControl/>
              <w:jc w:val="left"/>
              <w:rPr>
                <w:rFonts w:hint="default" w:ascii="Times New Roman" w:hAnsi="Times New Roman" w:eastAsia="宋体" w:cs="Times New Roman"/>
                <w:szCs w:val="21"/>
                <w:highlight w:val="none"/>
              </w:rPr>
            </w:pPr>
          </w:p>
        </w:tc>
        <w:tc>
          <w:tcPr>
            <w:tcW w:w="3402" w:type="dxa"/>
            <w:vAlign w:val="center"/>
          </w:tcPr>
          <w:p w14:paraId="41C9614B">
            <w:pPr>
              <w:widowControl/>
              <w:jc w:val="left"/>
              <w:rPr>
                <w:rFonts w:hint="default" w:ascii="Times New Roman" w:hAnsi="Times New Roman" w:eastAsia="宋体" w:cs="Times New Roman"/>
                <w:szCs w:val="21"/>
                <w:highlight w:val="none"/>
              </w:rPr>
            </w:pPr>
          </w:p>
        </w:tc>
        <w:tc>
          <w:tcPr>
            <w:tcW w:w="992" w:type="dxa"/>
            <w:vAlign w:val="center"/>
          </w:tcPr>
          <w:p w14:paraId="15059AE5">
            <w:pPr>
              <w:widowControl/>
              <w:jc w:val="center"/>
              <w:rPr>
                <w:rFonts w:hint="default" w:ascii="Times New Roman" w:hAnsi="Times New Roman" w:eastAsia="宋体" w:cs="Times New Roman"/>
                <w:szCs w:val="21"/>
                <w:highlight w:val="none"/>
              </w:rPr>
            </w:pPr>
          </w:p>
        </w:tc>
        <w:tc>
          <w:tcPr>
            <w:tcW w:w="986" w:type="dxa"/>
            <w:vAlign w:val="center"/>
          </w:tcPr>
          <w:p w14:paraId="5EAB53A1">
            <w:pPr>
              <w:widowControl/>
              <w:jc w:val="center"/>
              <w:rPr>
                <w:rFonts w:hint="default" w:ascii="Times New Roman" w:hAnsi="Times New Roman" w:eastAsia="宋体" w:cs="Times New Roman"/>
                <w:szCs w:val="21"/>
                <w:highlight w:val="none"/>
              </w:rPr>
            </w:pPr>
          </w:p>
        </w:tc>
      </w:tr>
      <w:tr w14:paraId="5E1C4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219DC65">
            <w:pPr>
              <w:widowControl/>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p>
        </w:tc>
        <w:tc>
          <w:tcPr>
            <w:tcW w:w="3686" w:type="dxa"/>
            <w:vAlign w:val="center"/>
          </w:tcPr>
          <w:p w14:paraId="2812A07D">
            <w:pPr>
              <w:widowControl/>
              <w:jc w:val="left"/>
              <w:rPr>
                <w:rFonts w:hint="default" w:ascii="Times New Roman" w:hAnsi="Times New Roman" w:eastAsia="宋体" w:cs="Times New Roman"/>
                <w:szCs w:val="21"/>
                <w:highlight w:val="none"/>
              </w:rPr>
            </w:pPr>
          </w:p>
        </w:tc>
        <w:tc>
          <w:tcPr>
            <w:tcW w:w="3402" w:type="dxa"/>
            <w:vAlign w:val="center"/>
          </w:tcPr>
          <w:p w14:paraId="7DDC2269">
            <w:pPr>
              <w:widowControl/>
              <w:jc w:val="left"/>
              <w:rPr>
                <w:rFonts w:hint="default" w:ascii="Times New Roman" w:hAnsi="Times New Roman" w:eastAsia="宋体" w:cs="Times New Roman"/>
                <w:szCs w:val="21"/>
                <w:highlight w:val="none"/>
              </w:rPr>
            </w:pPr>
          </w:p>
        </w:tc>
        <w:tc>
          <w:tcPr>
            <w:tcW w:w="992" w:type="dxa"/>
            <w:vAlign w:val="center"/>
          </w:tcPr>
          <w:p w14:paraId="4EB71A37">
            <w:pPr>
              <w:widowControl/>
              <w:jc w:val="center"/>
              <w:rPr>
                <w:rFonts w:hint="default" w:ascii="Times New Roman" w:hAnsi="Times New Roman" w:eastAsia="宋体" w:cs="Times New Roman"/>
                <w:szCs w:val="21"/>
                <w:highlight w:val="none"/>
              </w:rPr>
            </w:pPr>
          </w:p>
        </w:tc>
        <w:tc>
          <w:tcPr>
            <w:tcW w:w="986" w:type="dxa"/>
            <w:vAlign w:val="center"/>
          </w:tcPr>
          <w:p w14:paraId="2E50603A">
            <w:pPr>
              <w:widowControl/>
              <w:jc w:val="center"/>
              <w:rPr>
                <w:rFonts w:hint="default" w:ascii="Times New Roman" w:hAnsi="Times New Roman" w:eastAsia="宋体" w:cs="Times New Roman"/>
                <w:szCs w:val="21"/>
                <w:highlight w:val="none"/>
              </w:rPr>
            </w:pPr>
          </w:p>
        </w:tc>
      </w:tr>
    </w:tbl>
    <w:p w14:paraId="124B9B41">
      <w:pPr>
        <w:widowControl/>
        <w:jc w:val="left"/>
        <w:rPr>
          <w:rFonts w:hint="eastAsia" w:ascii="宋体" w:hAnsi="宋体" w:eastAsia="宋体" w:cs="Times New Roman"/>
          <w:b/>
          <w:bCs/>
          <w:szCs w:val="21"/>
          <w:highlight w:val="none"/>
        </w:rPr>
      </w:pPr>
      <w:r>
        <w:rPr>
          <w:rFonts w:hint="eastAsia" w:ascii="宋体" w:hAnsi="宋体" w:eastAsia="宋体" w:cs="Times New Roman"/>
          <w:b/>
          <w:bCs/>
          <w:szCs w:val="21"/>
          <w:highlight w:val="none"/>
        </w:rPr>
        <w:br w:type="page"/>
      </w:r>
    </w:p>
    <w:p w14:paraId="34B9B33B">
      <w:pPr>
        <w:widowControl/>
        <w:jc w:val="left"/>
        <w:rPr>
          <w:rFonts w:hint="default" w:ascii="宋体" w:hAnsi="宋体" w:eastAsia="宋体" w:cs="Times New Roman"/>
          <w:b/>
          <w:bCs/>
          <w:szCs w:val="21"/>
          <w:highlight w:val="none"/>
        </w:rPr>
      </w:pPr>
      <w:r>
        <w:rPr>
          <w:rFonts w:hint="eastAsia" w:ascii="宋体" w:hAnsi="宋体" w:eastAsia="宋体" w:cs="Times New Roman"/>
          <w:b/>
          <w:bCs/>
          <w:szCs w:val="21"/>
          <w:highlight w:val="none"/>
        </w:rPr>
        <w:t>附件2：考核标准</w:t>
      </w:r>
    </w:p>
    <w:p w14:paraId="5299E868">
      <w:pPr>
        <w:rPr>
          <w:rFonts w:hint="eastAsia" w:ascii="宋体" w:hAnsi="宋体" w:eastAsia="宋体" w:cs="Times New Roman"/>
          <w:b/>
          <w:bCs/>
          <w:szCs w:val="21"/>
          <w:highlight w:val="none"/>
        </w:rPr>
      </w:pPr>
      <w:r>
        <w:rPr>
          <w:rFonts w:hint="eastAsia" w:ascii="宋体" w:hAnsi="宋体" w:eastAsia="宋体" w:cs="Times New Roman"/>
          <w:b/>
          <w:bCs/>
          <w:szCs w:val="21"/>
          <w:highlight w:val="none"/>
        </w:rPr>
        <w:br w:type="page"/>
      </w:r>
    </w:p>
    <w:p w14:paraId="3358B618">
      <w:pPr>
        <w:widowControl/>
        <w:jc w:val="left"/>
        <w:rPr>
          <w:rFonts w:hint="default" w:ascii="宋体" w:hAnsi="宋体" w:eastAsia="宋体" w:cs="Times New Roman"/>
          <w:b/>
          <w:bCs/>
          <w:szCs w:val="21"/>
        </w:rPr>
      </w:pPr>
      <w:r>
        <w:rPr>
          <w:rFonts w:hint="eastAsia" w:ascii="宋体" w:hAnsi="宋体" w:eastAsia="宋体" w:cs="Times New Roman"/>
          <w:b/>
          <w:bCs/>
          <w:szCs w:val="21"/>
        </w:rPr>
        <w:t>附件</w:t>
      </w:r>
      <w:r>
        <w:rPr>
          <w:rFonts w:hint="default" w:ascii="宋体" w:hAnsi="宋体" w:eastAsia="宋体" w:cs="Times New Roman"/>
          <w:b/>
          <w:bCs/>
          <w:szCs w:val="21"/>
        </w:rPr>
        <w:t>3</w:t>
      </w:r>
      <w:r>
        <w:rPr>
          <w:rFonts w:hint="eastAsia" w:ascii="宋体" w:hAnsi="宋体" w:eastAsia="宋体" w:cs="Times New Roman"/>
          <w:b/>
          <w:bCs/>
          <w:szCs w:val="21"/>
        </w:rPr>
        <w:t>：</w:t>
      </w:r>
      <w:r>
        <w:rPr>
          <w:rFonts w:hint="default" w:ascii="宋体" w:hAnsi="宋体" w:eastAsia="宋体" w:cs="Times New Roman"/>
          <w:b/>
          <w:bCs/>
          <w:szCs w:val="21"/>
        </w:rPr>
        <w:t>服务</w:t>
      </w:r>
      <w:r>
        <w:rPr>
          <w:rFonts w:hint="eastAsia" w:ascii="宋体" w:hAnsi="宋体" w:eastAsia="宋体" w:cs="Times New Roman"/>
          <w:b/>
          <w:bCs/>
          <w:szCs w:val="21"/>
        </w:rPr>
        <w:t>方案</w:t>
      </w:r>
    </w:p>
    <w:p w14:paraId="64874DCD">
      <w:pPr>
        <w:rPr>
          <w:rFonts w:hint="default" w:ascii="Times New Roman" w:hAnsi="Times New Roman" w:eastAsia="宋体" w:cs="Times New Roman"/>
          <w:szCs w:val="20"/>
        </w:rPr>
      </w:pPr>
    </w:p>
    <w:p w14:paraId="359582EB">
      <w:pPr>
        <w:rPr>
          <w:rFonts w:hint="default" w:ascii="Times New Roman" w:hAnsi="Times New Roman" w:eastAsia="宋体" w:cs="Times New Roman"/>
          <w:szCs w:val="20"/>
        </w:rPr>
      </w:pPr>
      <w:r>
        <w:rPr>
          <w:rFonts w:hint="eastAsia" w:ascii="Times New Roman" w:hAnsi="Times New Roman" w:eastAsia="宋体" w:cs="Times New Roman"/>
          <w:szCs w:val="20"/>
        </w:rPr>
        <w:t>*</w:t>
      </w:r>
      <w:r>
        <w:rPr>
          <w:rFonts w:hint="default" w:ascii="Times New Roman" w:hAnsi="Times New Roman" w:eastAsia="宋体" w:cs="Times New Roman"/>
          <w:szCs w:val="20"/>
        </w:rPr>
        <w:t>**</w:t>
      </w:r>
    </w:p>
    <w:p w14:paraId="2F8F31A7">
      <w:pPr>
        <w:widowControl/>
        <w:jc w:val="left"/>
        <w:rPr>
          <w:rFonts w:hint="default" w:ascii="Times New Roman" w:hAnsi="Times New Roman" w:eastAsia="宋体" w:cs="Times New Roman"/>
          <w:szCs w:val="21"/>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ascii="Times New Roman" w:hAnsi="Times New Roman" w:cs="Times New Roman"/>
        </w:rPr>
        <w:t>年   月   日</w:t>
      </w:r>
    </w:p>
    <w:p w14:paraId="2D90B69D">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8" w:type="firs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等线">
    <w:panose1 w:val="02010600030101010101"/>
    <w:charset w:val="86"/>
    <w:family w:val="auto"/>
    <w:pitch w:val="default"/>
    <w:sig w:usb0="A00002BF" w:usb1="38CF7CFA" w:usb2="00000016" w:usb3="00000000" w:csb0="0004000F" w:csb1="00000000"/>
  </w:font>
  <w:font w:name="KSOF6398537F">
    <w:panose1 w:val="020B0604020202020204"/>
    <w:charset w:val="86"/>
    <w:family w:val="auto"/>
    <w:pitch w:val="default"/>
    <w:sig w:usb0="00000001" w:usb1="00000000" w:usb2="00000000" w:usb3="00000000" w:csb0="003E0001" w:csb1="00000000"/>
  </w:font>
  <w:font w:name="KSOF987E8EC0">
    <w:panose1 w:val="020B07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EAF96">
    <w:pPr>
      <w:pStyle w:val="8"/>
      <w:rPr>
        <w:rFonts w:hint="default"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527B18ED">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28</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27B18ED">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AA6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AD7350D">
                          <w:pPr>
                            <w:pStyle w:val="8"/>
                          </w:pPr>
                          <w:r>
                            <w:t xml:space="preserve">第 </w:t>
                          </w:r>
                          <w:r>
                            <w:fldChar w:fldCharType="begin"/>
                          </w:r>
                          <w:r>
                            <w:instrText xml:space="preserve"> PAGE  \* MERGEFORMAT </w:instrText>
                          </w:r>
                          <w:r>
                            <w:fldChar w:fldCharType="separate"/>
                          </w:r>
                          <w:r>
                            <w:t>23</w:t>
                          </w:r>
                          <w:r>
                            <w:fldChar w:fldCharType="end"/>
                          </w:r>
                          <w:r>
                            <w:t xml:space="preserve"> 页 共 </w:t>
                          </w:r>
                          <w:r>
                            <w:rPr>
                              <w:rFonts w:hint="eastAsia" w:eastAsia="宋体"/>
                              <w:lang w:val="en-US" w:eastAsia="zh-CN"/>
                            </w:rPr>
                            <w:t>28</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0AD7350D">
                    <w:pPr>
                      <w:pStyle w:val="8"/>
                    </w:pPr>
                    <w:r>
                      <w:t xml:space="preserve">第 </w:t>
                    </w:r>
                    <w:r>
                      <w:fldChar w:fldCharType="begin"/>
                    </w:r>
                    <w:r>
                      <w:instrText xml:space="preserve"> PAGE  \* MERGEFORMAT </w:instrText>
                    </w:r>
                    <w:r>
                      <w:fldChar w:fldCharType="separate"/>
                    </w:r>
                    <w:r>
                      <w:t>23</w:t>
                    </w:r>
                    <w:r>
                      <w:fldChar w:fldCharType="end"/>
                    </w:r>
                    <w:r>
                      <w:t xml:space="preserve"> 页 共 </w:t>
                    </w:r>
                    <w:r>
                      <w:rPr>
                        <w:rFonts w:hint="eastAsia" w:eastAsia="宋体"/>
                        <w:lang w:val="en-US" w:eastAsia="zh-CN"/>
                      </w:rPr>
                      <w:t>28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7">
    <w:nsid w:val="298B6D1C"/>
    <w:multiLevelType w:val="multilevel"/>
    <w:tmpl w:val="298B6D1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6"/>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1B68"/>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71BDD"/>
    <w:rsid w:val="018F49C9"/>
    <w:rsid w:val="018F4C90"/>
    <w:rsid w:val="020C008E"/>
    <w:rsid w:val="025C1016"/>
    <w:rsid w:val="029A38EC"/>
    <w:rsid w:val="02C848FD"/>
    <w:rsid w:val="02CD3CC1"/>
    <w:rsid w:val="032842F9"/>
    <w:rsid w:val="032C4E8C"/>
    <w:rsid w:val="03763AA5"/>
    <w:rsid w:val="0379285B"/>
    <w:rsid w:val="03CA1FAF"/>
    <w:rsid w:val="03F90AE6"/>
    <w:rsid w:val="04E1148C"/>
    <w:rsid w:val="051931EE"/>
    <w:rsid w:val="051E25B2"/>
    <w:rsid w:val="053578FC"/>
    <w:rsid w:val="05AB5E10"/>
    <w:rsid w:val="05C23886"/>
    <w:rsid w:val="065169B7"/>
    <w:rsid w:val="065663FB"/>
    <w:rsid w:val="065F7326"/>
    <w:rsid w:val="067508F8"/>
    <w:rsid w:val="06826B71"/>
    <w:rsid w:val="06DE46EF"/>
    <w:rsid w:val="074D53D1"/>
    <w:rsid w:val="07CD206E"/>
    <w:rsid w:val="083C39D9"/>
    <w:rsid w:val="0859040F"/>
    <w:rsid w:val="08CB3FC4"/>
    <w:rsid w:val="0916340D"/>
    <w:rsid w:val="092150D0"/>
    <w:rsid w:val="094620D8"/>
    <w:rsid w:val="09554A11"/>
    <w:rsid w:val="0A486323"/>
    <w:rsid w:val="0A6F565E"/>
    <w:rsid w:val="0AD656DD"/>
    <w:rsid w:val="0AF90E34"/>
    <w:rsid w:val="0B204BAA"/>
    <w:rsid w:val="0B4A02F0"/>
    <w:rsid w:val="0B4E34C6"/>
    <w:rsid w:val="0B552AA6"/>
    <w:rsid w:val="0B9C39D7"/>
    <w:rsid w:val="0B9F6417"/>
    <w:rsid w:val="0BC1013B"/>
    <w:rsid w:val="0BD25EA5"/>
    <w:rsid w:val="0BED0D1B"/>
    <w:rsid w:val="0C2D757F"/>
    <w:rsid w:val="0C3E763F"/>
    <w:rsid w:val="0C4C20FB"/>
    <w:rsid w:val="0C62191E"/>
    <w:rsid w:val="0C915D60"/>
    <w:rsid w:val="0CC7352F"/>
    <w:rsid w:val="0D3D7C96"/>
    <w:rsid w:val="0D5F7C0C"/>
    <w:rsid w:val="0D833B11"/>
    <w:rsid w:val="0DD622EF"/>
    <w:rsid w:val="0DF90060"/>
    <w:rsid w:val="0DFF5E39"/>
    <w:rsid w:val="0E1C3D4F"/>
    <w:rsid w:val="0E341099"/>
    <w:rsid w:val="0E5434E9"/>
    <w:rsid w:val="0E7019A5"/>
    <w:rsid w:val="0E745939"/>
    <w:rsid w:val="0EC87A33"/>
    <w:rsid w:val="0F046CBD"/>
    <w:rsid w:val="0F525F00"/>
    <w:rsid w:val="0F694D72"/>
    <w:rsid w:val="0F697FB8"/>
    <w:rsid w:val="0F781459"/>
    <w:rsid w:val="0F9D0940"/>
    <w:rsid w:val="0FB75ADD"/>
    <w:rsid w:val="10376C1E"/>
    <w:rsid w:val="10563548"/>
    <w:rsid w:val="105F7F23"/>
    <w:rsid w:val="108F6A5A"/>
    <w:rsid w:val="10AD5132"/>
    <w:rsid w:val="113A274F"/>
    <w:rsid w:val="11494E5B"/>
    <w:rsid w:val="11851C0B"/>
    <w:rsid w:val="11A1591C"/>
    <w:rsid w:val="120F276F"/>
    <w:rsid w:val="124C7D2B"/>
    <w:rsid w:val="126D4B79"/>
    <w:rsid w:val="12C1461A"/>
    <w:rsid w:val="12F416FF"/>
    <w:rsid w:val="13081A3E"/>
    <w:rsid w:val="1316542C"/>
    <w:rsid w:val="1340403C"/>
    <w:rsid w:val="136E5EEF"/>
    <w:rsid w:val="1396715A"/>
    <w:rsid w:val="14045069"/>
    <w:rsid w:val="1457788F"/>
    <w:rsid w:val="14787805"/>
    <w:rsid w:val="147C72F5"/>
    <w:rsid w:val="148B12E6"/>
    <w:rsid w:val="14972381"/>
    <w:rsid w:val="15957368"/>
    <w:rsid w:val="15B42ABF"/>
    <w:rsid w:val="15B60FD5"/>
    <w:rsid w:val="162C0264"/>
    <w:rsid w:val="167A7865"/>
    <w:rsid w:val="175005C5"/>
    <w:rsid w:val="17620A24"/>
    <w:rsid w:val="17A0154D"/>
    <w:rsid w:val="18075128"/>
    <w:rsid w:val="180B10BC"/>
    <w:rsid w:val="184A473E"/>
    <w:rsid w:val="188350F6"/>
    <w:rsid w:val="189F1804"/>
    <w:rsid w:val="18BB296F"/>
    <w:rsid w:val="18D05E62"/>
    <w:rsid w:val="18D771F0"/>
    <w:rsid w:val="18F338FE"/>
    <w:rsid w:val="19397563"/>
    <w:rsid w:val="193E101D"/>
    <w:rsid w:val="19440885"/>
    <w:rsid w:val="19B25567"/>
    <w:rsid w:val="19DD2D01"/>
    <w:rsid w:val="1A3650F2"/>
    <w:rsid w:val="1A9A2283"/>
    <w:rsid w:val="1B261D69"/>
    <w:rsid w:val="1B5763C6"/>
    <w:rsid w:val="1B925650"/>
    <w:rsid w:val="1BDE10A2"/>
    <w:rsid w:val="1BF14125"/>
    <w:rsid w:val="1C136791"/>
    <w:rsid w:val="1C275D99"/>
    <w:rsid w:val="1C4F709D"/>
    <w:rsid w:val="1C676ADD"/>
    <w:rsid w:val="1C790AFD"/>
    <w:rsid w:val="1C9F6277"/>
    <w:rsid w:val="1D145501"/>
    <w:rsid w:val="1D322C47"/>
    <w:rsid w:val="1D4E37F9"/>
    <w:rsid w:val="1D8A4831"/>
    <w:rsid w:val="1D9B2F98"/>
    <w:rsid w:val="1DA84CB7"/>
    <w:rsid w:val="1DBA49EB"/>
    <w:rsid w:val="1DEF28E6"/>
    <w:rsid w:val="1E0068A1"/>
    <w:rsid w:val="1E024BEA"/>
    <w:rsid w:val="1E2A7DC2"/>
    <w:rsid w:val="1E6004DA"/>
    <w:rsid w:val="1E840723"/>
    <w:rsid w:val="1E894AE9"/>
    <w:rsid w:val="1F884DA0"/>
    <w:rsid w:val="1FF73CD4"/>
    <w:rsid w:val="20087C8F"/>
    <w:rsid w:val="200C3C23"/>
    <w:rsid w:val="201C373B"/>
    <w:rsid w:val="20607ACB"/>
    <w:rsid w:val="20992FDD"/>
    <w:rsid w:val="2100305C"/>
    <w:rsid w:val="210C1A01"/>
    <w:rsid w:val="2116462E"/>
    <w:rsid w:val="2130749E"/>
    <w:rsid w:val="214D44F3"/>
    <w:rsid w:val="22042CE5"/>
    <w:rsid w:val="223802FF"/>
    <w:rsid w:val="223B434C"/>
    <w:rsid w:val="228850B7"/>
    <w:rsid w:val="229D5007"/>
    <w:rsid w:val="23533917"/>
    <w:rsid w:val="235A6A54"/>
    <w:rsid w:val="2389558B"/>
    <w:rsid w:val="23B51EDC"/>
    <w:rsid w:val="23C30A9D"/>
    <w:rsid w:val="23FE1AD5"/>
    <w:rsid w:val="24156E1F"/>
    <w:rsid w:val="24CE2760"/>
    <w:rsid w:val="2503311B"/>
    <w:rsid w:val="2536704D"/>
    <w:rsid w:val="256911D0"/>
    <w:rsid w:val="25836334"/>
    <w:rsid w:val="260A783C"/>
    <w:rsid w:val="26492DAF"/>
    <w:rsid w:val="266D6A9E"/>
    <w:rsid w:val="2677791D"/>
    <w:rsid w:val="268D7140"/>
    <w:rsid w:val="26CD33AF"/>
    <w:rsid w:val="26D44D6F"/>
    <w:rsid w:val="26F40F6D"/>
    <w:rsid w:val="27D03788"/>
    <w:rsid w:val="27DC45E4"/>
    <w:rsid w:val="27ED433A"/>
    <w:rsid w:val="27F37477"/>
    <w:rsid w:val="27F46F98"/>
    <w:rsid w:val="280B656E"/>
    <w:rsid w:val="281D62A2"/>
    <w:rsid w:val="28DB23E5"/>
    <w:rsid w:val="29537E8E"/>
    <w:rsid w:val="297B3BC8"/>
    <w:rsid w:val="297C274F"/>
    <w:rsid w:val="297D5393"/>
    <w:rsid w:val="297E0FC2"/>
    <w:rsid w:val="298C3AA9"/>
    <w:rsid w:val="29A7676B"/>
    <w:rsid w:val="2A1F4553"/>
    <w:rsid w:val="2AA35AB0"/>
    <w:rsid w:val="2B0F45C8"/>
    <w:rsid w:val="2B45448D"/>
    <w:rsid w:val="2B5B15BB"/>
    <w:rsid w:val="2B830B12"/>
    <w:rsid w:val="2B97457A"/>
    <w:rsid w:val="2C4E127A"/>
    <w:rsid w:val="2C680433"/>
    <w:rsid w:val="2C994A91"/>
    <w:rsid w:val="2CA945A8"/>
    <w:rsid w:val="2CED0939"/>
    <w:rsid w:val="2CFE2B46"/>
    <w:rsid w:val="2D0D2D89"/>
    <w:rsid w:val="2D1C7470"/>
    <w:rsid w:val="2D744A31"/>
    <w:rsid w:val="2D7B7CF2"/>
    <w:rsid w:val="2DBF0527"/>
    <w:rsid w:val="2DC4138A"/>
    <w:rsid w:val="2DCC49F2"/>
    <w:rsid w:val="2DF33D2D"/>
    <w:rsid w:val="2E19750B"/>
    <w:rsid w:val="2E2E1209"/>
    <w:rsid w:val="2E513149"/>
    <w:rsid w:val="2E5C5D76"/>
    <w:rsid w:val="2E67296D"/>
    <w:rsid w:val="2E7806D6"/>
    <w:rsid w:val="2E862DF3"/>
    <w:rsid w:val="2E953036"/>
    <w:rsid w:val="2F1C5505"/>
    <w:rsid w:val="2F1F1070"/>
    <w:rsid w:val="2F335C20"/>
    <w:rsid w:val="2F3A3BDD"/>
    <w:rsid w:val="2F3E6F9F"/>
    <w:rsid w:val="2F762E67"/>
    <w:rsid w:val="2F974B8C"/>
    <w:rsid w:val="2FC736C3"/>
    <w:rsid w:val="2FE204FD"/>
    <w:rsid w:val="30CB71E3"/>
    <w:rsid w:val="310F3573"/>
    <w:rsid w:val="314B0324"/>
    <w:rsid w:val="3192385D"/>
    <w:rsid w:val="31A31F0E"/>
    <w:rsid w:val="31B5579D"/>
    <w:rsid w:val="31DE6AA2"/>
    <w:rsid w:val="32000BDF"/>
    <w:rsid w:val="327411B4"/>
    <w:rsid w:val="3287538B"/>
    <w:rsid w:val="32981347"/>
    <w:rsid w:val="32CB34CA"/>
    <w:rsid w:val="33030EB6"/>
    <w:rsid w:val="33497B0A"/>
    <w:rsid w:val="33A87367"/>
    <w:rsid w:val="33B57CD6"/>
    <w:rsid w:val="34180991"/>
    <w:rsid w:val="34190265"/>
    <w:rsid w:val="345179FF"/>
    <w:rsid w:val="346040E6"/>
    <w:rsid w:val="34902286"/>
    <w:rsid w:val="34F07218"/>
    <w:rsid w:val="35264A4C"/>
    <w:rsid w:val="3532368F"/>
    <w:rsid w:val="353F2D47"/>
    <w:rsid w:val="3579545F"/>
    <w:rsid w:val="358809F0"/>
    <w:rsid w:val="35F20D1A"/>
    <w:rsid w:val="36343134"/>
    <w:rsid w:val="363B44C3"/>
    <w:rsid w:val="36545584"/>
    <w:rsid w:val="36BE6EA2"/>
    <w:rsid w:val="36CA5847"/>
    <w:rsid w:val="36D93CDC"/>
    <w:rsid w:val="371B42F4"/>
    <w:rsid w:val="3763616F"/>
    <w:rsid w:val="37B207B5"/>
    <w:rsid w:val="37B95FE7"/>
    <w:rsid w:val="37C96C92"/>
    <w:rsid w:val="37E40B8A"/>
    <w:rsid w:val="38514471"/>
    <w:rsid w:val="385775AE"/>
    <w:rsid w:val="386C12AB"/>
    <w:rsid w:val="38A1734A"/>
    <w:rsid w:val="38A81C3F"/>
    <w:rsid w:val="38F81DDC"/>
    <w:rsid w:val="393D0552"/>
    <w:rsid w:val="393E7004"/>
    <w:rsid w:val="394A2C6F"/>
    <w:rsid w:val="39627FB8"/>
    <w:rsid w:val="397A0ADB"/>
    <w:rsid w:val="399565E0"/>
    <w:rsid w:val="39BC591B"/>
    <w:rsid w:val="39D07618"/>
    <w:rsid w:val="39FC21BB"/>
    <w:rsid w:val="3A1C285D"/>
    <w:rsid w:val="3A1F234D"/>
    <w:rsid w:val="3A2801BE"/>
    <w:rsid w:val="3A582E98"/>
    <w:rsid w:val="3A6D3892"/>
    <w:rsid w:val="3A7E7074"/>
    <w:rsid w:val="3B190B4B"/>
    <w:rsid w:val="3B311935"/>
    <w:rsid w:val="3B4C7172"/>
    <w:rsid w:val="3B714E2B"/>
    <w:rsid w:val="3B7B35B3"/>
    <w:rsid w:val="3B822B94"/>
    <w:rsid w:val="3B9C1EA7"/>
    <w:rsid w:val="3BBF5B96"/>
    <w:rsid w:val="3C0D6901"/>
    <w:rsid w:val="3C236125"/>
    <w:rsid w:val="3C3A63A3"/>
    <w:rsid w:val="3CD04124"/>
    <w:rsid w:val="3D1837B0"/>
    <w:rsid w:val="3D1E68EC"/>
    <w:rsid w:val="3D5B18EE"/>
    <w:rsid w:val="3DC56D68"/>
    <w:rsid w:val="3DFF0247"/>
    <w:rsid w:val="3E1F1FE5"/>
    <w:rsid w:val="3EA352FB"/>
    <w:rsid w:val="3EB94B1E"/>
    <w:rsid w:val="3EDE6333"/>
    <w:rsid w:val="3F185CE9"/>
    <w:rsid w:val="3F220916"/>
    <w:rsid w:val="3F884943"/>
    <w:rsid w:val="3FBD0E9A"/>
    <w:rsid w:val="3FC512A1"/>
    <w:rsid w:val="3FCC262F"/>
    <w:rsid w:val="3FF51498"/>
    <w:rsid w:val="402266F3"/>
    <w:rsid w:val="40662A84"/>
    <w:rsid w:val="40B51316"/>
    <w:rsid w:val="41390199"/>
    <w:rsid w:val="41434B73"/>
    <w:rsid w:val="41474664"/>
    <w:rsid w:val="418238EE"/>
    <w:rsid w:val="41D57EC1"/>
    <w:rsid w:val="42073DF3"/>
    <w:rsid w:val="42D02437"/>
    <w:rsid w:val="430640AA"/>
    <w:rsid w:val="437B05F4"/>
    <w:rsid w:val="438374A9"/>
    <w:rsid w:val="43BB6C43"/>
    <w:rsid w:val="43C04259"/>
    <w:rsid w:val="43C05B54"/>
    <w:rsid w:val="43D146B8"/>
    <w:rsid w:val="43DD4E0B"/>
    <w:rsid w:val="43E837B0"/>
    <w:rsid w:val="43FE4D82"/>
    <w:rsid w:val="441177D6"/>
    <w:rsid w:val="441A7E0D"/>
    <w:rsid w:val="44C85ABB"/>
    <w:rsid w:val="44FF311D"/>
    <w:rsid w:val="45592BB7"/>
    <w:rsid w:val="46054AED"/>
    <w:rsid w:val="46146ADE"/>
    <w:rsid w:val="461D5993"/>
    <w:rsid w:val="46377A12"/>
    <w:rsid w:val="46677DCD"/>
    <w:rsid w:val="468C6D22"/>
    <w:rsid w:val="46B362F7"/>
    <w:rsid w:val="474156B1"/>
    <w:rsid w:val="47491CA4"/>
    <w:rsid w:val="474B4782"/>
    <w:rsid w:val="476D64A6"/>
    <w:rsid w:val="47A0687C"/>
    <w:rsid w:val="47C00CCC"/>
    <w:rsid w:val="48376AB4"/>
    <w:rsid w:val="488F069E"/>
    <w:rsid w:val="48AA54D8"/>
    <w:rsid w:val="48D80297"/>
    <w:rsid w:val="494D47E1"/>
    <w:rsid w:val="498E0956"/>
    <w:rsid w:val="49A90C47"/>
    <w:rsid w:val="49B70D1D"/>
    <w:rsid w:val="49E35145"/>
    <w:rsid w:val="49EB7B56"/>
    <w:rsid w:val="4A003601"/>
    <w:rsid w:val="4A1E7BAE"/>
    <w:rsid w:val="4A34774F"/>
    <w:rsid w:val="4A800BE6"/>
    <w:rsid w:val="4A987CDE"/>
    <w:rsid w:val="4AC76815"/>
    <w:rsid w:val="4ADC2F2A"/>
    <w:rsid w:val="4B095FC3"/>
    <w:rsid w:val="4B0C247A"/>
    <w:rsid w:val="4B1C090F"/>
    <w:rsid w:val="4B517E8D"/>
    <w:rsid w:val="4B663938"/>
    <w:rsid w:val="4C215AB1"/>
    <w:rsid w:val="4C431ECB"/>
    <w:rsid w:val="4C51283A"/>
    <w:rsid w:val="4C756154"/>
    <w:rsid w:val="4CA0731E"/>
    <w:rsid w:val="4CD00B02"/>
    <w:rsid w:val="4CEC2563"/>
    <w:rsid w:val="4CF51D9E"/>
    <w:rsid w:val="4CF82CB6"/>
    <w:rsid w:val="4D0E072B"/>
    <w:rsid w:val="4D1D44CA"/>
    <w:rsid w:val="4D4F4C44"/>
    <w:rsid w:val="4DA16EA9"/>
    <w:rsid w:val="4DBC7557"/>
    <w:rsid w:val="4DEC79E7"/>
    <w:rsid w:val="4E473EF5"/>
    <w:rsid w:val="4E870795"/>
    <w:rsid w:val="4EC2357B"/>
    <w:rsid w:val="4EC73630"/>
    <w:rsid w:val="4EE03A01"/>
    <w:rsid w:val="4F091DE1"/>
    <w:rsid w:val="4F132029"/>
    <w:rsid w:val="4F29184C"/>
    <w:rsid w:val="4F2A1121"/>
    <w:rsid w:val="4F391364"/>
    <w:rsid w:val="4F443F90"/>
    <w:rsid w:val="4F5F701C"/>
    <w:rsid w:val="4F622668"/>
    <w:rsid w:val="4F6B58A1"/>
    <w:rsid w:val="4F824AB9"/>
    <w:rsid w:val="4FB71409"/>
    <w:rsid w:val="4FCE7CFE"/>
    <w:rsid w:val="4FD36D7D"/>
    <w:rsid w:val="4FDC68BF"/>
    <w:rsid w:val="4FE439C5"/>
    <w:rsid w:val="50011267"/>
    <w:rsid w:val="500E7836"/>
    <w:rsid w:val="503404A9"/>
    <w:rsid w:val="506A211C"/>
    <w:rsid w:val="507B60D8"/>
    <w:rsid w:val="50A8054F"/>
    <w:rsid w:val="50CE26AB"/>
    <w:rsid w:val="50D92DFE"/>
    <w:rsid w:val="5100482F"/>
    <w:rsid w:val="5116195C"/>
    <w:rsid w:val="5144296E"/>
    <w:rsid w:val="51A52CE0"/>
    <w:rsid w:val="51EE28D9"/>
    <w:rsid w:val="51FE0D6E"/>
    <w:rsid w:val="52391DA6"/>
    <w:rsid w:val="528D20F2"/>
    <w:rsid w:val="52972F71"/>
    <w:rsid w:val="529E1C09"/>
    <w:rsid w:val="52D7511B"/>
    <w:rsid w:val="5314011E"/>
    <w:rsid w:val="534E1882"/>
    <w:rsid w:val="53520B81"/>
    <w:rsid w:val="53A019B1"/>
    <w:rsid w:val="541D14D7"/>
    <w:rsid w:val="545A4256"/>
    <w:rsid w:val="54817A35"/>
    <w:rsid w:val="54B020C8"/>
    <w:rsid w:val="54D20290"/>
    <w:rsid w:val="54F65018"/>
    <w:rsid w:val="55006BAB"/>
    <w:rsid w:val="556C5FEF"/>
    <w:rsid w:val="559374CC"/>
    <w:rsid w:val="56066443"/>
    <w:rsid w:val="56666EE2"/>
    <w:rsid w:val="56682C5A"/>
    <w:rsid w:val="568A2F61"/>
    <w:rsid w:val="56D71B8E"/>
    <w:rsid w:val="56E61DD1"/>
    <w:rsid w:val="57624FD6"/>
    <w:rsid w:val="58164938"/>
    <w:rsid w:val="58DC7930"/>
    <w:rsid w:val="59103135"/>
    <w:rsid w:val="591075D9"/>
    <w:rsid w:val="59684D1F"/>
    <w:rsid w:val="59BD4057"/>
    <w:rsid w:val="59C75EEA"/>
    <w:rsid w:val="5A007FC9"/>
    <w:rsid w:val="5A0E6D1C"/>
    <w:rsid w:val="5A1B2D58"/>
    <w:rsid w:val="5A494B51"/>
    <w:rsid w:val="5A9D4E9D"/>
    <w:rsid w:val="5ABA77FD"/>
    <w:rsid w:val="5AC32B55"/>
    <w:rsid w:val="5ACE5056"/>
    <w:rsid w:val="5AF34ABD"/>
    <w:rsid w:val="5B5E63DA"/>
    <w:rsid w:val="5B780C22"/>
    <w:rsid w:val="5B7B3430"/>
    <w:rsid w:val="5B7F45A2"/>
    <w:rsid w:val="5BAA161F"/>
    <w:rsid w:val="5BFD3497"/>
    <w:rsid w:val="5C003935"/>
    <w:rsid w:val="5C043425"/>
    <w:rsid w:val="5C553C81"/>
    <w:rsid w:val="5C89392A"/>
    <w:rsid w:val="5CE31F05"/>
    <w:rsid w:val="5CFA0384"/>
    <w:rsid w:val="5CFB5EAA"/>
    <w:rsid w:val="5CFD7E74"/>
    <w:rsid w:val="5D5F6439"/>
    <w:rsid w:val="5DA12EF6"/>
    <w:rsid w:val="5DB6074F"/>
    <w:rsid w:val="5E023E11"/>
    <w:rsid w:val="5E1216FE"/>
    <w:rsid w:val="5E4E4E2C"/>
    <w:rsid w:val="5E8F0FA0"/>
    <w:rsid w:val="5ED41285"/>
    <w:rsid w:val="5F0947DD"/>
    <w:rsid w:val="5F1F2324"/>
    <w:rsid w:val="5F5D4BFA"/>
    <w:rsid w:val="5FAB005C"/>
    <w:rsid w:val="5FAB3BB8"/>
    <w:rsid w:val="60822D96"/>
    <w:rsid w:val="60882223"/>
    <w:rsid w:val="60BE084B"/>
    <w:rsid w:val="60F11A9E"/>
    <w:rsid w:val="61131A15"/>
    <w:rsid w:val="61E11B13"/>
    <w:rsid w:val="61FF01EB"/>
    <w:rsid w:val="620829BD"/>
    <w:rsid w:val="625B3673"/>
    <w:rsid w:val="6283706E"/>
    <w:rsid w:val="62976675"/>
    <w:rsid w:val="6299419B"/>
    <w:rsid w:val="62A63B7B"/>
    <w:rsid w:val="62D16373"/>
    <w:rsid w:val="62D82F16"/>
    <w:rsid w:val="62F42106"/>
    <w:rsid w:val="635B58F5"/>
    <w:rsid w:val="63DD3E3D"/>
    <w:rsid w:val="63DE27AE"/>
    <w:rsid w:val="63ED1601"/>
    <w:rsid w:val="640B10C9"/>
    <w:rsid w:val="64336036"/>
    <w:rsid w:val="64346872"/>
    <w:rsid w:val="64AA6B34"/>
    <w:rsid w:val="65211E78"/>
    <w:rsid w:val="65424FBE"/>
    <w:rsid w:val="65E258D7"/>
    <w:rsid w:val="66334C73"/>
    <w:rsid w:val="667016B7"/>
    <w:rsid w:val="667C005C"/>
    <w:rsid w:val="66970432"/>
    <w:rsid w:val="66C20165"/>
    <w:rsid w:val="66E16B34"/>
    <w:rsid w:val="66E53E53"/>
    <w:rsid w:val="6727621A"/>
    <w:rsid w:val="67892A30"/>
    <w:rsid w:val="67902011"/>
    <w:rsid w:val="67C1666E"/>
    <w:rsid w:val="67E73BFB"/>
    <w:rsid w:val="683C5CF5"/>
    <w:rsid w:val="68462BCD"/>
    <w:rsid w:val="684844AC"/>
    <w:rsid w:val="684921C0"/>
    <w:rsid w:val="68550B65"/>
    <w:rsid w:val="68701E42"/>
    <w:rsid w:val="688768E9"/>
    <w:rsid w:val="68C47A98"/>
    <w:rsid w:val="692264C9"/>
    <w:rsid w:val="69416EAD"/>
    <w:rsid w:val="694F7E51"/>
    <w:rsid w:val="698010DB"/>
    <w:rsid w:val="6A104C8E"/>
    <w:rsid w:val="6A225B71"/>
    <w:rsid w:val="6A617C95"/>
    <w:rsid w:val="6A890F99"/>
    <w:rsid w:val="6AA81420"/>
    <w:rsid w:val="6AC63F9C"/>
    <w:rsid w:val="6B00125C"/>
    <w:rsid w:val="6B4A697B"/>
    <w:rsid w:val="6B63497D"/>
    <w:rsid w:val="6B7C465A"/>
    <w:rsid w:val="6B993E13"/>
    <w:rsid w:val="6C040682"/>
    <w:rsid w:val="6C1825D5"/>
    <w:rsid w:val="6CF070AE"/>
    <w:rsid w:val="6D3451EC"/>
    <w:rsid w:val="6D564496"/>
    <w:rsid w:val="6DC36570"/>
    <w:rsid w:val="6E470F4F"/>
    <w:rsid w:val="6E7A1325"/>
    <w:rsid w:val="6EC425A0"/>
    <w:rsid w:val="6ECB7DD2"/>
    <w:rsid w:val="6ED0363B"/>
    <w:rsid w:val="6EDC3D8E"/>
    <w:rsid w:val="6EF32E85"/>
    <w:rsid w:val="6F4F4560"/>
    <w:rsid w:val="702B1DB3"/>
    <w:rsid w:val="70311EB7"/>
    <w:rsid w:val="70C20D61"/>
    <w:rsid w:val="70DE203F"/>
    <w:rsid w:val="70F57389"/>
    <w:rsid w:val="711315BD"/>
    <w:rsid w:val="714238D8"/>
    <w:rsid w:val="71573B9F"/>
    <w:rsid w:val="71940C37"/>
    <w:rsid w:val="719721EE"/>
    <w:rsid w:val="72227D09"/>
    <w:rsid w:val="722A3062"/>
    <w:rsid w:val="72572EB0"/>
    <w:rsid w:val="7260609B"/>
    <w:rsid w:val="72C55A38"/>
    <w:rsid w:val="7327134F"/>
    <w:rsid w:val="732A5565"/>
    <w:rsid w:val="73301B5E"/>
    <w:rsid w:val="735008A6"/>
    <w:rsid w:val="736C7698"/>
    <w:rsid w:val="737E1108"/>
    <w:rsid w:val="73A3131E"/>
    <w:rsid w:val="73BA4A84"/>
    <w:rsid w:val="73CD0149"/>
    <w:rsid w:val="73E739C6"/>
    <w:rsid w:val="747477EB"/>
    <w:rsid w:val="74820F33"/>
    <w:rsid w:val="74BF5CE3"/>
    <w:rsid w:val="74CA3328"/>
    <w:rsid w:val="74D3178F"/>
    <w:rsid w:val="75501031"/>
    <w:rsid w:val="755E374E"/>
    <w:rsid w:val="759B487F"/>
    <w:rsid w:val="75A506B2"/>
    <w:rsid w:val="75BA6BBF"/>
    <w:rsid w:val="75C31803"/>
    <w:rsid w:val="75DA1174"/>
    <w:rsid w:val="75E907CC"/>
    <w:rsid w:val="75F25C45"/>
    <w:rsid w:val="76085468"/>
    <w:rsid w:val="762A7AD4"/>
    <w:rsid w:val="76761669"/>
    <w:rsid w:val="768C7E47"/>
    <w:rsid w:val="768F26FA"/>
    <w:rsid w:val="769D1B10"/>
    <w:rsid w:val="76CA6BC2"/>
    <w:rsid w:val="774C5829"/>
    <w:rsid w:val="777032C5"/>
    <w:rsid w:val="77BC29AE"/>
    <w:rsid w:val="77F008AA"/>
    <w:rsid w:val="78281DF2"/>
    <w:rsid w:val="78362761"/>
    <w:rsid w:val="783764D9"/>
    <w:rsid w:val="783C589D"/>
    <w:rsid w:val="78931961"/>
    <w:rsid w:val="79181E66"/>
    <w:rsid w:val="79764A39"/>
    <w:rsid w:val="7A0348C4"/>
    <w:rsid w:val="7A2D7B93"/>
    <w:rsid w:val="7A4E3666"/>
    <w:rsid w:val="7AB43E11"/>
    <w:rsid w:val="7AB83901"/>
    <w:rsid w:val="7BB87930"/>
    <w:rsid w:val="7BF96512"/>
    <w:rsid w:val="7C792C1C"/>
    <w:rsid w:val="7CE65DD7"/>
    <w:rsid w:val="7D2A03BA"/>
    <w:rsid w:val="7D6C09D3"/>
    <w:rsid w:val="7DB163E5"/>
    <w:rsid w:val="7DC425BD"/>
    <w:rsid w:val="7E8359F7"/>
    <w:rsid w:val="7E88183C"/>
    <w:rsid w:val="7EBE7C21"/>
    <w:rsid w:val="7EDA4DF2"/>
    <w:rsid w:val="7EDC1B88"/>
    <w:rsid w:val="7F005876"/>
    <w:rsid w:val="7F0A04A3"/>
    <w:rsid w:val="7F144E7E"/>
    <w:rsid w:val="7F1906E6"/>
    <w:rsid w:val="7F517E80"/>
    <w:rsid w:val="7F623E3B"/>
    <w:rsid w:val="7F724BB2"/>
    <w:rsid w:val="7F7B4EFD"/>
    <w:rsid w:val="7FB85E17"/>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50"/>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13"/>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1058</Words>
  <Characters>1143</Characters>
  <Lines>59</Lines>
  <Paragraphs>16</Paragraphs>
  <TotalTime>17</TotalTime>
  <ScaleCrop>false</ScaleCrop>
  <LinksUpToDate>false</LinksUpToDate>
  <CharactersWithSpaces>1232</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CAI</cp:lastModifiedBy>
  <dcterms:modified xsi:type="dcterms:W3CDTF">2026-11-02T07:30:41Z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