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四川省人民医院出生缺陷多病种单基因遗传病筛查试剂盒采购项目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bookmarkStart w:id="94" w:name="_GoBack"/>
      <w:bookmarkEnd w:id="94"/>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0358"/>
      <w:bookmarkStart w:id="2" w:name="_Toc1907"/>
      <w:bookmarkStart w:id="3" w:name="_Toc471310326"/>
      <w:bookmarkStart w:id="4" w:name="_Toc21919"/>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四川省人民医院出生缺陷多病种单基因遗传病筛查试剂盒采购项目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4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1412"/>
        <w:gridCol w:w="1191"/>
        <w:gridCol w:w="694"/>
        <w:gridCol w:w="1334"/>
        <w:gridCol w:w="711"/>
        <w:gridCol w:w="1123"/>
        <w:gridCol w:w="3216"/>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lang w:val="en-US" w:eastAsia="zh-CN"/>
              </w:rPr>
            </w:pPr>
            <w:r>
              <w:rPr>
                <w:rFonts w:hint="eastAsia" w:ascii="宋体" w:eastAsia="宋体" w:hAnsiTheme="minorEastAsia" w:cstheme="minorEastAsia"/>
                <w:i w:val="0"/>
                <w:iCs w:val="0"/>
                <w:color w:val="000000"/>
                <w:sz w:val="21"/>
                <w:szCs w:val="21"/>
                <w:u w:val="none"/>
                <w:lang w:val="en-US" w:eastAsia="zh-CN"/>
              </w:rPr>
              <w:t>1</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rPr>
            </w:pPr>
            <w:r>
              <w:rPr>
                <w:rFonts w:hint="eastAsia" w:ascii="宋体" w:eastAsia="宋体" w:hAnsiTheme="minorEastAsia" w:cstheme="minorEastAsia"/>
                <w:bCs/>
                <w:sz w:val="21"/>
                <w:szCs w:val="21"/>
                <w:lang w:val="en-US" w:eastAsia="zh-CN"/>
              </w:rPr>
              <w:t>测序反应通用试剂盒</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b/>
                <w:bCs/>
                <w:i w:val="0"/>
                <w:iCs w:val="0"/>
                <w:color w:val="000000"/>
                <w:sz w:val="21"/>
                <w:szCs w:val="21"/>
                <w:u w:val="none"/>
              </w:rPr>
            </w:pPr>
            <w:r>
              <w:rPr>
                <w:rFonts w:hint="eastAsia" w:ascii="宋体" w:eastAsia="宋体" w:hAnsiTheme="minorEastAsia" w:cstheme="minorEastAsia"/>
                <w:color w:val="auto"/>
                <w:sz w:val="21"/>
                <w:szCs w:val="21"/>
                <w:lang w:val="en-US" w:eastAsia="zh-CN"/>
              </w:rPr>
              <w:t>高通量300循环/套</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rPr>
            </w:pPr>
            <w:r>
              <w:rPr>
                <w:rFonts w:hint="eastAsia" w:ascii="宋体" w:eastAsia="宋体" w:hAnsiTheme="minorEastAsia" w:cstheme="minorEastAsia"/>
                <w:color w:val="auto"/>
                <w:sz w:val="21"/>
                <w:szCs w:val="21"/>
                <w:lang w:eastAsia="zh-CN"/>
              </w:rPr>
              <w:t>套</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rPr>
            </w:pPr>
            <w:r>
              <w:rPr>
                <w:rFonts w:hint="eastAsia" w:ascii="宋体" w:eastAsia="宋体" w:hAnsiTheme="minorEastAsia" w:cstheme="minorEastAsia"/>
                <w:color w:val="auto"/>
                <w:sz w:val="21"/>
                <w:szCs w:val="21"/>
                <w:lang w:eastAsia="zh-CN"/>
              </w:rPr>
              <w:t>北京福君基因生物科技有限公司</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rPr>
            </w:pPr>
            <w:r>
              <w:rPr>
                <w:rFonts w:hint="eastAsia" w:ascii="宋体" w:eastAsia="宋体" w:hAnsiTheme="minorEastAsia" w:cstheme="minorEastAsia"/>
                <w:color w:val="auto"/>
                <w:sz w:val="21"/>
                <w:szCs w:val="21"/>
                <w:lang w:val="en-US" w:eastAsia="zh-CN"/>
              </w:rPr>
              <w:t>无</w:t>
            </w:r>
          </w:p>
        </w:tc>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rPr>
            </w:pPr>
            <w:r>
              <w:rPr>
                <w:rFonts w:hint="eastAsia" w:ascii="宋体" w:eastAsia="宋体" w:hAnsiTheme="minorEastAsia" w:cstheme="minorEastAsia"/>
                <w:bCs/>
                <w:sz w:val="21"/>
                <w:szCs w:val="21"/>
                <w:lang w:val="en-US" w:eastAsia="zh-CN"/>
              </w:rPr>
              <w:t>400人份</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000000"/>
                <w:sz w:val="21"/>
                <w:szCs w:val="21"/>
                <w:u w:val="none"/>
                <w:lang w:val="en-US" w:eastAsia="zh-CN"/>
              </w:rPr>
            </w:pPr>
            <w:r>
              <w:rPr>
                <w:rFonts w:hint="eastAsia" w:ascii="宋体" w:eastAsia="宋体" w:hAnsiTheme="minorEastAsia"/>
                <w:color w:val="auto"/>
                <w:sz w:val="21"/>
                <w:szCs w:val="24"/>
                <w:lang w:eastAsia="zh-CN"/>
              </w:rPr>
              <w:t>产品报价需包含检测所需的：“</w:t>
            </w:r>
            <w:r>
              <w:rPr>
                <w:rFonts w:hint="eastAsia" w:ascii="宋体" w:eastAsia="宋体" w:hAnsiTheme="minorEastAsia"/>
                <w:color w:val="auto"/>
                <w:sz w:val="21"/>
                <w:szCs w:val="24"/>
                <w:lang w:val="en-US" w:eastAsia="zh-CN"/>
              </w:rPr>
              <w:t>核酸提取或纯化试剂</w:t>
            </w:r>
            <w:r>
              <w:rPr>
                <w:rFonts w:hint="eastAsia" w:ascii="宋体" w:eastAsia="宋体" w:hAnsiTheme="minorEastAsia"/>
                <w:color w:val="auto"/>
                <w:sz w:val="21"/>
                <w:szCs w:val="24"/>
                <w:lang w:eastAsia="zh-CN"/>
              </w:rPr>
              <w:t>”及相关耗材</w:t>
            </w:r>
          </w:p>
        </w:tc>
      </w:tr>
    </w:tbl>
    <w:p w14:paraId="67A7555B">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3558"/>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3023"/>
      <w:bookmarkStart w:id="50" w:name="_Toc14829"/>
      <w:bookmarkStart w:id="51" w:name="_Toc21519"/>
      <w:bookmarkStart w:id="52" w:name="_Toc6482"/>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4305"/>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7661"/>
      <w:bookmarkStart w:id="69" w:name="_Toc25638"/>
      <w:bookmarkStart w:id="70" w:name="_Toc15526"/>
      <w:bookmarkStart w:id="71" w:name="_Toc12015"/>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3967"/>
      <w:bookmarkStart w:id="75" w:name="_Toc2041"/>
      <w:bookmarkStart w:id="76" w:name="_Toc1074"/>
      <w:bookmarkStart w:id="77" w:name="_Toc16435"/>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26839"/>
      <w:bookmarkStart w:id="81" w:name="_Toc31686"/>
      <w:bookmarkStart w:id="82" w:name="_Toc28634"/>
      <w:bookmarkStart w:id="83" w:name="_Toc24806"/>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D5B897B-2800-48E6-AEB1-ADF5BE77309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6DD2E84-97A0-48EC-A98E-9038C20168B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7C400BF-857E-4249-9078-9D3AB2BCEDC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8552BE3-9E83-4BE0-B8BE-A5FC653E1D60}"/>
  </w:font>
  <w:font w:name="方正小标宋_GBK">
    <w:panose1 w:val="02000000000000000000"/>
    <w:charset w:val="86"/>
    <w:family w:val="script"/>
    <w:pitch w:val="default"/>
    <w:sig w:usb0="A00002BF" w:usb1="38CF7CFA" w:usb2="00082016" w:usb3="00000000" w:csb0="00040001" w:csb1="00000000"/>
    <w:embedRegular r:id="rId5" w:fontKey="{75DAAEEC-09A3-4CA7-8916-61117C4F549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2B57E5"/>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014967"/>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E97A83"/>
    <w:rsid w:val="42075FF8"/>
    <w:rsid w:val="42842020"/>
    <w:rsid w:val="42B707FA"/>
    <w:rsid w:val="43DA3792"/>
    <w:rsid w:val="43FD36FF"/>
    <w:rsid w:val="446C43E1"/>
    <w:rsid w:val="44A24CF9"/>
    <w:rsid w:val="44D938F8"/>
    <w:rsid w:val="44EC1992"/>
    <w:rsid w:val="467A67B9"/>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A445BA7"/>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1207</Words>
  <Characters>1294</Characters>
  <Lines>64</Lines>
  <Paragraphs>18</Paragraphs>
  <TotalTime>1</TotalTime>
  <ScaleCrop>false</ScaleCrop>
  <LinksUpToDate>false</LinksUpToDate>
  <CharactersWithSpaces>1378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2026-05-21T01:18:03Z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