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四川省人民医院神经系统高致残疾病与功能康复高质量数据集建设系统平台建设交换机采购项目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471310326"/>
      <w:bookmarkStart w:id="1" w:name="_Toc3240"/>
      <w:bookmarkStart w:id="2" w:name="_Toc62832406"/>
      <w:bookmarkStart w:id="3" w:name="_Toc1907"/>
      <w:bookmarkStart w:id="4" w:name="_Toc21919"/>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四川省人民医院神经系统高致残疾病与功能康复高质量数据集建设系统平台建设交换机采购项目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CGZX-YXX20261511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27.8万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w:t>
            </w:r>
            <w:r>
              <w:rPr>
                <w:rFonts w:hint="eastAsia" w:ascii="仿宋" w:hAnsi="仿宋" w:eastAsia="仿宋" w:cs="仿宋"/>
                <w:sz w:val="22"/>
                <w:u w:val="none"/>
                <w:lang w:eastAsia="zh-CN"/>
              </w:rPr>
              <w:t>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w:t>
            </w:r>
            <w:r>
              <w:rPr>
                <w:rFonts w:ascii="Times New Roman" w:hAnsi="Times New Roman" w:eastAsia="仿宋" w:cs="Times New Roman"/>
                <w:sz w:val="24"/>
                <w:szCs w:val="24"/>
                <w:highlight w:val="none"/>
              </w:rPr>
              <w:t>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若得分相同则报价最低的为成交供应商。若得分相同且报价亦相同，则采取随机抽取的方式确定成交供应</w:t>
            </w:r>
            <w:r>
              <w:rPr>
                <w:rFonts w:hint="eastAsia" w:ascii="Times New Roman" w:hAnsi="Times New Roman" w:eastAsia="仿宋" w:cs="Times New Roman"/>
                <w:sz w:val="24"/>
                <w:szCs w:val="24"/>
              </w:rPr>
              <w:t>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default" w:ascii="仿宋" w:hAnsi="仿宋" w:eastAsia="仿宋" w:cs="仿宋"/>
                <w:sz w:val="22"/>
                <w:szCs w:val="22"/>
                <w:highlight w:val="none"/>
                <w:u w:val="none"/>
                <w:lang w:val="en-US" w:eastAsia="zh-CN"/>
              </w:rPr>
            </w:pPr>
            <w:r>
              <w:rPr>
                <w:rFonts w:hint="eastAsia" w:ascii="仿宋" w:hAnsi="仿宋" w:eastAsia="仿宋" w:cs="仿宋"/>
                <w:sz w:val="22"/>
                <w:szCs w:val="22"/>
                <w:u w:val="none"/>
              </w:rPr>
              <w:t>联</w:t>
            </w:r>
            <w:r>
              <w:rPr>
                <w:rFonts w:hint="eastAsia" w:ascii="仿宋" w:hAnsi="仿宋" w:eastAsia="仿宋" w:cs="仿宋"/>
                <w:sz w:val="22"/>
                <w:szCs w:val="22"/>
                <w:highlight w:val="none"/>
                <w:u w:val="none"/>
              </w:rPr>
              <w:t>系方式：</w:t>
            </w:r>
            <w:r>
              <w:rPr>
                <w:rFonts w:hint="eastAsia" w:ascii="仿宋" w:hAnsi="仿宋" w:eastAsia="仿宋" w:cs="仿宋"/>
                <w:sz w:val="22"/>
                <w:szCs w:val="22"/>
                <w:highlight w:val="none"/>
                <w:u w:val="none"/>
                <w:lang w:val="en-US" w:eastAsia="zh-CN"/>
              </w:rPr>
              <w:t>王</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87393060</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林</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en-US" w:eastAsia="zh-CN"/>
              </w:rPr>
              <w:t>060</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266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本项目拟确定一名供应商提供交换机。</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kern w:val="2"/>
          <w:sz w:val="24"/>
          <w:szCs w:val="24"/>
        </w:rPr>
        <w:t>采购清单</w:t>
      </w:r>
    </w:p>
    <w:tbl>
      <w:tblPr>
        <w:tblStyle w:val="18"/>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1"/>
        <w:gridCol w:w="2281"/>
        <w:gridCol w:w="1365"/>
        <w:gridCol w:w="1233"/>
        <w:gridCol w:w="1429"/>
        <w:gridCol w:w="1467"/>
        <w:gridCol w:w="1345"/>
      </w:tblGrid>
      <w:tr w14:paraId="412EB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357"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B3300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160"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91C77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名称</w:t>
            </w:r>
          </w:p>
        </w:tc>
        <w:tc>
          <w:tcPr>
            <w:tcW w:w="694"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169BC34">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类型</w:t>
            </w:r>
          </w:p>
        </w:tc>
        <w:tc>
          <w:tcPr>
            <w:tcW w:w="627"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89E30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727"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0C73AC">
            <w:pPr>
              <w:keepNext w:val="0"/>
              <w:keepLines w:val="0"/>
              <w:widowControl/>
              <w:suppressLineNumbers w:val="0"/>
              <w:spacing w:before="0" w:beforeAutospacing="1" w:after="0" w:afterAutospacing="1"/>
              <w:ind w:left="0" w:right="0"/>
              <w:jc w:val="center"/>
              <w:textAlignment w:val="center"/>
              <w:rPr>
                <w:rStyle w:val="21"/>
                <w:rFonts w:hint="default"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746"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5FF6FAE">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限高单价（万元）</w:t>
            </w:r>
          </w:p>
        </w:tc>
        <w:tc>
          <w:tcPr>
            <w:tcW w:w="684"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36F5D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限高总价（万元）</w:t>
            </w:r>
          </w:p>
        </w:tc>
      </w:tr>
      <w:tr w14:paraId="5752D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35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CACC5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160"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C239B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48口25G交换机</w:t>
            </w:r>
          </w:p>
        </w:tc>
        <w:tc>
          <w:tcPr>
            <w:tcW w:w="694"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349BE7">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交换机</w:t>
            </w:r>
          </w:p>
        </w:tc>
        <w:tc>
          <w:tcPr>
            <w:tcW w:w="62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22A6E11">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72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24BAEC">
            <w:pPr>
              <w:keepNext w:val="0"/>
              <w:keepLines w:val="0"/>
              <w:widowControl/>
              <w:suppressLineNumbers w:val="0"/>
              <w:spacing w:before="0" w:beforeAutospacing="1" w:after="0" w:afterAutospacing="1"/>
              <w:ind w:left="0" w:right="0"/>
              <w:jc w:val="center"/>
              <w:textAlignment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台</w:t>
            </w:r>
          </w:p>
        </w:tc>
        <w:tc>
          <w:tcPr>
            <w:tcW w:w="74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013833">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6.8</w:t>
            </w:r>
          </w:p>
        </w:tc>
        <w:tc>
          <w:tcPr>
            <w:tcW w:w="684"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5B237E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27.2</w:t>
            </w:r>
          </w:p>
        </w:tc>
      </w:tr>
      <w:tr w14:paraId="6E832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35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A7BCF12">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160"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63BBE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48口千兆交换机</w:t>
            </w:r>
          </w:p>
        </w:tc>
        <w:tc>
          <w:tcPr>
            <w:tcW w:w="694"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C62FC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交换机</w:t>
            </w:r>
          </w:p>
        </w:tc>
        <w:tc>
          <w:tcPr>
            <w:tcW w:w="62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B4A2BE">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727"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661173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台</w:t>
            </w:r>
          </w:p>
        </w:tc>
        <w:tc>
          <w:tcPr>
            <w:tcW w:w="74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03A98B">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0.6</w:t>
            </w:r>
          </w:p>
        </w:tc>
        <w:tc>
          <w:tcPr>
            <w:tcW w:w="684"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071496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0.6</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38"/>
        <w:gridCol w:w="987"/>
        <w:gridCol w:w="6886"/>
        <w:gridCol w:w="1136"/>
      </w:tblGrid>
      <w:tr w14:paraId="31132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83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ECE73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序号</w:t>
            </w:r>
          </w:p>
        </w:tc>
        <w:tc>
          <w:tcPr>
            <w:tcW w:w="98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83F2B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名称</w:t>
            </w:r>
          </w:p>
        </w:tc>
        <w:tc>
          <w:tcPr>
            <w:tcW w:w="685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54E217">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技术参数</w:t>
            </w:r>
          </w:p>
        </w:tc>
        <w:tc>
          <w:tcPr>
            <w:tcW w:w="1131"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8CB0B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备注</w:t>
            </w:r>
          </w:p>
        </w:tc>
      </w:tr>
      <w:tr w14:paraId="035B4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83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BC3244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98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8F2BC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48口25G交换机</w:t>
            </w:r>
          </w:p>
        </w:tc>
        <w:tc>
          <w:tcPr>
            <w:tcW w:w="68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E1242E">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1.性能：交换容量≥8Tbps，包转发率≥3000Mpps；</w:t>
            </w:r>
          </w:p>
          <w:p w14:paraId="5BC3B741">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2.端口：接口≥48个25GE SFP28端口，≥4个100GE QSFP28端口;配置25G SFP28多模光模块≥24个，40G QSFP+单模光模块≥2个，40G QSFP+多模光模块≥2个，堆叠线缆≥1根；</w:t>
            </w:r>
          </w:p>
          <w:p w14:paraId="0CC882D5">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3.管理：管理方式至少支持CLI、CONSOLE、WEB，配置≥2个2.5G SFP管理端口，≥1个RJ45 CONSOLE口,≥1个Type-C CONSOLE口，≥1个USB接口；(提供产品彩页或技术白皮书作为证明材料，并加盖供应商公章)</w:t>
            </w:r>
          </w:p>
          <w:p w14:paraId="6D8C3B2A">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4.路由：支持静态路由协议，支持RIP、OSPF动态路由协议；</w:t>
            </w:r>
          </w:p>
          <w:p w14:paraId="0516FFEB">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5.功能：支持LACP（IEEE802.3ad）、MSTP（IEEE802.1s）、端口安全、模块化QOS功能，支持控制平面多虚一的技术；</w:t>
            </w:r>
          </w:p>
          <w:p w14:paraId="12F0DFEB">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6.扩展：业务扩展插槽≥2个，支持1/2.5/5/10G多速率电接口、10/25G/40G/100G端口扩展；(提供产品彩页或技术白皮书作为证明材料，并加盖供应商公章) </w:t>
            </w:r>
          </w:p>
          <w:p w14:paraId="216F0D42">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7.风扇电源：模块化电源≥2个，模块化风扇≥2个，支持前后风道；</w:t>
            </w:r>
          </w:p>
          <w:p w14:paraId="01C49674">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8.CPU芯片为国产化，不接受进口产品；</w:t>
            </w:r>
          </w:p>
        </w:tc>
        <w:tc>
          <w:tcPr>
            <w:tcW w:w="1131"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8B616C">
            <w:pPr>
              <w:keepNext w:val="0"/>
              <w:keepLines w:val="0"/>
              <w:widowControl/>
              <w:suppressLineNumbers w:val="0"/>
              <w:adjustRightInd w:val="0"/>
              <w:snapToGrid w:val="0"/>
              <w:jc w:val="left"/>
              <w:rPr>
                <w:rFonts w:hint="eastAsia" w:ascii="仿宋" w:hAnsi="仿宋" w:eastAsia="仿宋" w:cs="仿宋"/>
                <w:kern w:val="0"/>
                <w:sz w:val="24"/>
                <w:szCs w:val="24"/>
                <w:lang w:bidi="ar"/>
              </w:rPr>
            </w:pPr>
          </w:p>
        </w:tc>
      </w:tr>
      <w:tr w14:paraId="01423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83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4BAFF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98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37B9F8">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48口千兆交换机</w:t>
            </w:r>
          </w:p>
        </w:tc>
        <w:tc>
          <w:tcPr>
            <w:tcW w:w="68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25FF9F">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1.性能：交换机容量≥600Gbps，包转发速率≥170Mpps；</w:t>
            </w:r>
          </w:p>
          <w:p w14:paraId="724D944D">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2.端口：10/100/1000M自适应RJ45电口≥48个、10G SFP+光口≥6个（配置≥2个万兆光模块）；</w:t>
            </w:r>
          </w:p>
          <w:p w14:paraId="38241A13">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3.管理：可网管交换机，管理方式至少支持CLI、CONSOLE、WEB；</w:t>
            </w:r>
          </w:p>
          <w:p w14:paraId="353A182E">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4.路由：支持静态路由协议，支持RIP、OSPF路由协议；</w:t>
            </w:r>
          </w:p>
          <w:p w14:paraId="6206B75D">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5.功能：支持LACP（IEEE802.3ad）、MSTP（IEEE802.1s）、端口安全、模块化QOS功能；</w:t>
            </w:r>
          </w:p>
          <w:p w14:paraId="381FC306">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6.内置双风扇冗余、内置双电源冗余; (提供产品彩页或技术白皮书作为证明材料，并加盖供应商公章)</w:t>
            </w:r>
          </w:p>
          <w:p w14:paraId="3301954C">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 CPU芯片为国产化，不接受进口产品；</w:t>
            </w:r>
          </w:p>
          <w:p w14:paraId="7C221DB2">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 支持纳入采购人现有智能 SDN 管理系统（H3C ADCampus）平台进行管理，实现统一管理，配置下发。（提供兼容承诺函并加盖供应商单位公章）</w:t>
            </w:r>
          </w:p>
        </w:tc>
        <w:tc>
          <w:tcPr>
            <w:tcW w:w="1131"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3ED817">
            <w:pPr>
              <w:keepNext w:val="0"/>
              <w:keepLines w:val="0"/>
              <w:widowControl/>
              <w:suppressLineNumbers w:val="0"/>
              <w:adjustRightInd w:val="0"/>
              <w:snapToGrid w:val="0"/>
              <w:jc w:val="left"/>
              <w:rPr>
                <w:rFonts w:hint="eastAsia" w:ascii="仿宋" w:hAnsi="仿宋" w:eastAsia="仿宋" w:cs="仿宋"/>
                <w:kern w:val="0"/>
                <w:sz w:val="24"/>
                <w:szCs w:val="24"/>
                <w:lang w:bidi="ar"/>
              </w:rPr>
            </w:pP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07"/>
        <w:gridCol w:w="1495"/>
        <w:gridCol w:w="6109"/>
        <w:gridCol w:w="1436"/>
      </w:tblGrid>
      <w:tr w14:paraId="49534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14B3E8F">
            <w:pPr>
              <w:keepNext w:val="0"/>
              <w:keepLines w:val="0"/>
              <w:widowControl/>
              <w:suppressLineNumbers w:val="0"/>
              <w:adjustRightInd w:val="0"/>
              <w:snapToGrid w:val="0"/>
              <w:jc w:val="left"/>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4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A3C1D9">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10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4BB70B1">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A8629AB">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1B90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882088">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4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8F73A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B5E1B99">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204C1516">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1D3F15C2">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0DD6C86F">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1841C962">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4、定期巡检：</w:t>
            </w:r>
            <w:r>
              <w:rPr>
                <w:rFonts w:hint="eastAsia" w:ascii="仿宋" w:hAnsi="仿宋" w:eastAsia="仿宋" w:cs="仿宋"/>
                <w:kern w:val="0"/>
                <w:sz w:val="24"/>
                <w:szCs w:val="24"/>
                <w:lang w:val="en-US" w:eastAsia="zh-CN" w:bidi="ar"/>
              </w:rPr>
              <w:t>服务期内每季度提供至少1次产品生产企业硬件服务巡检报告；</w:t>
            </w:r>
            <w:bookmarkStart w:id="100" w:name="_GoBack"/>
            <w:bookmarkEnd w:id="100"/>
          </w:p>
          <w:p w14:paraId="39491588">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5、培训服务：</w:t>
            </w:r>
            <w:r>
              <w:rPr>
                <w:rStyle w:val="21"/>
                <w:rFonts w:hint="eastAsia" w:ascii="仿宋" w:hAnsi="仿宋" w:eastAsia="仿宋" w:cs="仿宋"/>
                <w:b w:val="0"/>
                <w:bCs/>
                <w:kern w:val="0"/>
                <w:sz w:val="24"/>
                <w:szCs w:val="24"/>
                <w:lang w:val="en-US" w:eastAsia="zh-CN" w:bidi="ar"/>
              </w:rPr>
              <w:t>服务期内</w:t>
            </w:r>
            <w:r>
              <w:rPr>
                <w:rFonts w:hint="eastAsia" w:ascii="仿宋" w:hAnsi="仿宋" w:eastAsia="仿宋" w:cs="仿宋"/>
                <w:b w:val="0"/>
                <w:bCs/>
                <w:kern w:val="0"/>
                <w:sz w:val="24"/>
                <w:szCs w:val="24"/>
                <w:lang w:val="en-US" w:eastAsia="zh-CN" w:bidi="ar"/>
              </w:rPr>
              <w:t>提</w:t>
            </w:r>
            <w:r>
              <w:rPr>
                <w:rFonts w:hint="eastAsia" w:ascii="仿宋" w:hAnsi="仿宋" w:eastAsia="仿宋" w:cs="仿宋"/>
                <w:kern w:val="0"/>
                <w:sz w:val="24"/>
                <w:szCs w:val="24"/>
                <w:lang w:val="en-US" w:eastAsia="zh-CN" w:bidi="ar"/>
              </w:rPr>
              <w:t>供≥2次培训服务，并提交培训方案和签到表；</w:t>
            </w:r>
          </w:p>
          <w:p w14:paraId="19878978">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6、文档服务：</w:t>
            </w:r>
            <w:r>
              <w:rPr>
                <w:rFonts w:hint="eastAsia" w:ascii="仿宋" w:hAnsi="仿宋" w:eastAsia="仿宋" w:cs="仿宋"/>
                <w:kern w:val="0"/>
                <w:sz w:val="24"/>
                <w:szCs w:val="24"/>
                <w:lang w:val="en-US" w:eastAsia="zh-CN" w:bidi="ar"/>
              </w:rPr>
              <w:t>无。</w:t>
            </w:r>
          </w:p>
          <w:p w14:paraId="514AFCE3">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7、</w:t>
            </w:r>
            <w:r>
              <w:rPr>
                <w:rStyle w:val="21"/>
                <w:rFonts w:hint="eastAsia" w:ascii="仿宋" w:hAnsi="仿宋" w:eastAsia="仿宋" w:cs="仿宋"/>
                <w:kern w:val="0"/>
                <w:sz w:val="24"/>
                <w:szCs w:val="24"/>
                <w:lang w:val="en-US" w:eastAsia="zh-CN" w:bidi="ar"/>
              </w:rPr>
              <w:t>人员服务：</w:t>
            </w:r>
            <w:r>
              <w:rPr>
                <w:rFonts w:hint="eastAsia" w:ascii="仿宋" w:hAnsi="仿宋" w:eastAsia="仿宋" w:cs="仿宋"/>
                <w:kern w:val="0"/>
                <w:sz w:val="24"/>
                <w:szCs w:val="24"/>
                <w:lang w:val="en-US" w:eastAsia="zh-CN" w:bidi="ar"/>
              </w:rPr>
              <w:t>无。</w:t>
            </w:r>
          </w:p>
          <w:p w14:paraId="0BC9C504">
            <w:pPr>
              <w:keepNext w:val="0"/>
              <w:keepLines w:val="0"/>
              <w:widowControl/>
              <w:suppressLineNumbers w:val="0"/>
              <w:adjustRightInd w:val="0"/>
              <w:snapToGrid w:val="0"/>
              <w:spacing w:before="0" w:beforeAutospacing="0" w:after="0" w:afterAutospacing="0"/>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8、</w:t>
            </w:r>
            <w:r>
              <w:rPr>
                <w:rStyle w:val="21"/>
                <w:rFonts w:hint="eastAsia" w:ascii="仿宋" w:hAnsi="仿宋" w:eastAsia="仿宋" w:cs="仿宋"/>
                <w:kern w:val="0"/>
                <w:sz w:val="24"/>
                <w:szCs w:val="24"/>
                <w:lang w:val="en-US" w:eastAsia="zh-CN" w:bidi="ar"/>
              </w:rPr>
              <w:t>其他：</w:t>
            </w:r>
          </w:p>
          <w:p w14:paraId="7308FA2E">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r>
              <w:rPr>
                <w:rFonts w:hint="eastAsia" w:ascii="仿宋" w:hAnsi="仿宋" w:eastAsia="仿宋" w:cs="仿宋"/>
                <w:kern w:val="0"/>
                <w:sz w:val="24"/>
                <w:szCs w:val="24"/>
                <w:u w:val="none"/>
                <w:lang w:val="en-US" w:eastAsia="zh-CN" w:bidi="ar"/>
              </w:rPr>
              <w:t>服务期内，采购人</w:t>
            </w:r>
            <w:r>
              <w:rPr>
                <w:rStyle w:val="21"/>
                <w:rFonts w:hint="eastAsia" w:ascii="仿宋" w:hAnsi="仿宋" w:eastAsia="仿宋" w:cs="仿宋"/>
                <w:kern w:val="0"/>
                <w:sz w:val="24"/>
                <w:szCs w:val="24"/>
                <w:u w:val="none"/>
                <w:lang w:val="en-US" w:eastAsia="zh-CN" w:bidi="ar"/>
              </w:rPr>
              <w:t>每月</w:t>
            </w:r>
            <w:r>
              <w:rPr>
                <w:rFonts w:hint="eastAsia" w:ascii="仿宋" w:hAnsi="仿宋" w:eastAsia="仿宋" w:cs="仿宋"/>
                <w:kern w:val="0"/>
                <w:sz w:val="24"/>
                <w:szCs w:val="24"/>
                <w:u w:val="none"/>
                <w:lang w:val="en-US" w:eastAsia="zh-CN" w:bidi="ar"/>
              </w:rPr>
              <w:t>按照</w:t>
            </w:r>
            <w:r>
              <w:rPr>
                <w:rStyle w:val="21"/>
                <w:rFonts w:hint="eastAsia" w:ascii="仿宋" w:hAnsi="仿宋" w:eastAsia="仿宋" w:cs="仿宋"/>
                <w:kern w:val="0"/>
                <w:sz w:val="24"/>
                <w:szCs w:val="24"/>
                <w:u w:val="none"/>
                <w:lang w:val="en-US" w:eastAsia="zh-CN" w:bidi="ar"/>
              </w:rPr>
              <w:t>四川省人民医院供应商考核</w:t>
            </w:r>
            <w:r>
              <w:rPr>
                <w:rFonts w:hint="eastAsia" w:ascii="仿宋" w:hAnsi="仿宋" w:eastAsia="仿宋" w:cs="仿宋"/>
                <w:kern w:val="0"/>
                <w:sz w:val="24"/>
                <w:szCs w:val="24"/>
                <w:u w:val="none"/>
                <w:lang w:val="en-US" w:eastAsia="zh-CN" w:bidi="ar"/>
              </w:rPr>
              <w:t>指标对供应商行为进行评价考核，考核结果关联最终付款金额和履约保证金。</w:t>
            </w:r>
          </w:p>
          <w:p w14:paraId="682EA30F">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2）成交供应商应当与本项目相关的第三方保持有痕的沟通，明确项目的具体要求和功能等方面的细节。采购人负责组织、监督和验收，以确保项目的顺利完成。</w:t>
            </w:r>
          </w:p>
          <w:p w14:paraId="21F0BA4D">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3）如涉及因本项目交付的产品造成采购人的经济损失，由成交供应商负责向采购人进行赔偿。</w:t>
            </w:r>
          </w:p>
        </w:tc>
        <w:tc>
          <w:tcPr>
            <w:tcW w:w="1436"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CF1DF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验收合格之日起，提供不低于5年</w:t>
            </w:r>
          </w:p>
        </w:tc>
      </w:tr>
      <w:tr w14:paraId="72650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0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FCDE48">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4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D2EF8A">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质保服务</w:t>
            </w:r>
          </w:p>
        </w:tc>
        <w:tc>
          <w:tcPr>
            <w:tcW w:w="610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358E071">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保证硬件功能正常运行，提供7*24小时原厂质保服务。</w:t>
            </w:r>
          </w:p>
        </w:tc>
        <w:tc>
          <w:tcPr>
            <w:tcW w:w="1436"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E50FA1">
            <w:pPr>
              <w:widowControl/>
              <w:adjustRightInd w:val="0"/>
              <w:snapToGrid w:val="0"/>
              <w:jc w:val="left"/>
              <w:rPr>
                <w:rFonts w:hint="eastAsia" w:ascii="仿宋" w:hAnsi="仿宋" w:eastAsia="仿宋" w:cs="仿宋"/>
                <w:kern w:val="0"/>
                <w:sz w:val="24"/>
                <w:szCs w:val="24"/>
                <w:lang w:bidi="ar"/>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交付时间：合同签订后生效后30日内，供应商须将所有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54937CC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rPr>
        <w:t>付款</w:t>
      </w:r>
      <w:r>
        <w:rPr>
          <w:rFonts w:hint="eastAsia" w:ascii="仿宋" w:hAnsi="仿宋" w:eastAsia="仿宋" w:cs="仿宋"/>
          <w:sz w:val="24"/>
          <w:szCs w:val="24"/>
          <w:lang w:val="en-US" w:eastAsia="zh-CN"/>
        </w:rPr>
        <w:t>条件：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134DFB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bookmarkStart w:id="15" w:name="_Toc153964904"/>
      <w:bookmarkEnd w:id="15"/>
      <w:bookmarkStart w:id="16" w:name="_Toc18622"/>
      <w:bookmarkEnd w:id="16"/>
      <w:r>
        <w:rPr>
          <w:rFonts w:hint="eastAsia" w:ascii="仿宋" w:hAnsi="仿宋" w:eastAsia="仿宋" w:cs="仿宋"/>
          <w:sz w:val="24"/>
          <w:szCs w:val="24"/>
          <w:lang w:val="en-US" w:eastAsia="zh-CN"/>
        </w:rPr>
        <w:t>4.质保范围：含所有货物（质保期内涉及维修、产品更换、人工费用等一切费用包含在本项目报价中）。</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（6）履约验收时间：供应商将所有货物运抵交付地点，完成安装、调试及试运行后5日内通知采购人验收，采购人接供应商通知后10日内组织验收。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6）其它标准：如本项目验收方式为考核验收，则考核结果须为合格。。</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5E5DFE7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5.其他要求：由采购人、供应商双方共同开发的项目：采购人、供应商双方共同研发的该系统软件产品，知识产权归采购人、供应商双方共同拥有，软件所有数据归采购人所有。</w:t>
      </w:r>
    </w:p>
    <w:p w14:paraId="73FCAFF2">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02"/>
        <w:gridCol w:w="1277"/>
        <w:gridCol w:w="1642"/>
        <w:gridCol w:w="1789"/>
        <w:gridCol w:w="2989"/>
        <w:gridCol w:w="1148"/>
      </w:tblGrid>
      <w:tr w14:paraId="5007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9847"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D0FDB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asciiTheme="minorEastAsia" w:hAnsiTheme="minorEastAsia" w:eastAsiaTheme="minorEastAsia" w:cstheme="minorEastAsia"/>
                <w:kern w:val="0"/>
                <w:sz w:val="24"/>
                <w:szCs w:val="24"/>
                <w:lang w:val="en-US" w:eastAsia="zh-CN" w:bidi="ar"/>
              </w:rPr>
            </w:pPr>
            <w:r>
              <w:rPr>
                <w:rStyle w:val="21"/>
                <w:rFonts w:hint="eastAsia" w:ascii="仿宋" w:hAnsi="仿宋" w:eastAsia="仿宋" w:cs="仿宋"/>
                <w:kern w:val="0"/>
                <w:sz w:val="28"/>
                <w:szCs w:val="28"/>
                <w:lang w:val="en-US" w:eastAsia="zh-CN" w:bidi="ar"/>
              </w:rPr>
              <w:t>四川省人民医院供应商考核</w:t>
            </w:r>
          </w:p>
        </w:tc>
      </w:tr>
      <w:tr w14:paraId="50042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4F5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919"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44E1D5">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78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5E5F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4137"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87CC6B6">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ADB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B67E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0B2D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5D8A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E0AB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5ED64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A657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496F00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5162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0DB2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FFAE6D1">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5AD5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FC1680">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967E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FEA3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9E4C49">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385A8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38383D">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FB19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2322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3E169B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5A8A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3A83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5CA698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1750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979E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4D031FA">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61209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7EDAB4">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E583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0056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D997130">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0528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5CDF90">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AE93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1A0634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CA67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C8CB16C">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257A5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60D5B9">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4EE6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B6B5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8A7EADD">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182EF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E9F381">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06282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000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389FCBF">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442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1BB576">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14F3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135C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2FB0F84">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78EB7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0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80CF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50832A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65A3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195"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8376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5F79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2BEF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27E27E">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C8C9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F374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428AD6">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6532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061CAC">
            <w:pPr>
              <w:keepNext w:val="0"/>
              <w:keepLines w:val="0"/>
              <w:pageBreakBefore w:val="0"/>
              <w:widowControl/>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c>
          <w:tcPr>
            <w:tcW w:w="127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2CDA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6420"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2A46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114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21B803">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4F54F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E757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884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F2AF22">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left"/>
              <w:textAlignment w:val="auto"/>
              <w:rPr>
                <w:rFonts w:hint="eastAsia" w:ascii="仿宋" w:hAnsi="仿宋" w:eastAsia="仿宋" w:cs="仿宋"/>
                <w:kern w:val="0"/>
                <w:sz w:val="24"/>
                <w:szCs w:val="24"/>
                <w:lang w:bidi="ar"/>
              </w:rPr>
            </w:pPr>
          </w:p>
        </w:tc>
      </w:tr>
      <w:tr w14:paraId="5F293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0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7801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884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FBD5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0DFBB8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1"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3C48205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20B56C6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4C18CC0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2B20210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7AD71E7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平均扣分≤3分，将对供应商进行诫勉谈话；</w:t>
      </w:r>
    </w:p>
    <w:p w14:paraId="70F2548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平均扣分≤5分，对供应商提出警告，从合同待支付金额中或履约保证金中扣除合同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金额5%费用，扣完为止；</w:t>
      </w:r>
    </w:p>
    <w:p w14:paraId="1547181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平均扣分≤10分，对供应商提出严重警告，从合同待支付金额中或履约保证金中扣除合同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金额10%费用，扣完为止；</w:t>
      </w:r>
    </w:p>
    <w:p w14:paraId="0C8FAF7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和履约保证金（如有履约保证金）不予退还；</w:t>
      </w:r>
    </w:p>
    <w:p w14:paraId="6372FEE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B69FBA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4.如合同待支付金额或履约保证金中无款可扣且考核后出现扣款情况，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提供承诺函</w:t>
      </w:r>
      <w:r>
        <w:rPr>
          <w:rFonts w:hint="eastAsia" w:ascii="仿宋" w:hAnsi="仿宋" w:eastAsia="仿宋" w:cs="仿宋"/>
          <w:sz w:val="24"/>
          <w:szCs w:val="24"/>
          <w:highlight w:val="none"/>
          <w:lang w:eastAsia="zh-CN"/>
        </w:rPr>
        <w:t>）</w:t>
      </w:r>
    </w:p>
    <w:p w14:paraId="1C3EF1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5.本考核指标最终解释权归四川省医学科学院·四川省人民医院。</w:t>
      </w:r>
    </w:p>
    <w:p w14:paraId="6AE32FA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w:t>
      </w:r>
      <w:r>
        <w:rPr>
          <w:rFonts w:hint="eastAsia" w:ascii="仿宋" w:hAnsi="仿宋" w:eastAsia="仿宋" w:cs="仿宋"/>
          <w:sz w:val="24"/>
          <w:szCs w:val="24"/>
          <w:lang w:val="en-US" w:eastAsia="zh-CN"/>
        </w:rPr>
        <w:t>所有</w:t>
      </w:r>
      <w:r>
        <w:rPr>
          <w:rFonts w:hint="eastAsia" w:ascii="仿宋" w:hAnsi="仿宋" w:eastAsia="仿宋" w:cs="仿宋"/>
          <w:sz w:val="24"/>
          <w:szCs w:val="24"/>
        </w:rPr>
        <w:t>的条款</w:t>
      </w:r>
      <w:r>
        <w:rPr>
          <w:rFonts w:hint="eastAsia" w:ascii="仿宋" w:hAnsi="仿宋" w:eastAsia="仿宋" w:cs="仿宋"/>
          <w:sz w:val="24"/>
          <w:szCs w:val="24"/>
          <w:lang w:val="en-US" w:eastAsia="zh-CN"/>
        </w:rPr>
        <w:t>均</w:t>
      </w:r>
      <w:r>
        <w:rPr>
          <w:rFonts w:hint="eastAsia" w:ascii="仿宋" w:hAnsi="仿宋" w:eastAsia="仿宋" w:cs="仿宋"/>
          <w:sz w:val="24"/>
          <w:szCs w:val="24"/>
        </w:rPr>
        <w:t>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13768"/>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7920DDC">
      <w:pPr>
        <w:rPr>
          <w:rFonts w:hint="eastAsia" w:ascii="仿宋" w:hAnsi="仿宋" w:eastAsia="仿宋" w:cs="仿宋"/>
          <w:sz w:val="24"/>
          <w:szCs w:val="24"/>
          <w:lang w:val="zh-CN"/>
        </w:rPr>
      </w:pPr>
      <w:r>
        <w:rPr>
          <w:rFonts w:hint="eastAsia" w:ascii="仿宋" w:hAnsi="仿宋" w:eastAsia="仿宋" w:cs="仿宋"/>
          <w:sz w:val="24"/>
          <w:szCs w:val="24"/>
          <w:lang w:val="zh-CN"/>
        </w:rPr>
        <w:t>最低评审价法。</w:t>
      </w: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8171"/>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680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5996"/>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19987"/>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6482"/>
      <w:bookmarkStart w:id="52" w:name="_Toc21519"/>
      <w:bookmarkStart w:id="53" w:name="_Toc3023"/>
      <w:bookmarkStart w:id="54" w:name="_Toc1602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4305"/>
      <w:bookmarkStart w:id="58" w:name="_Toc17857"/>
      <w:bookmarkStart w:id="59" w:name="_Toc31838"/>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7661"/>
      <w:bookmarkStart w:id="72" w:name="_Toc25638"/>
      <w:bookmarkStart w:id="73" w:name="_Toc15526"/>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074"/>
      <w:bookmarkStart w:id="77" w:name="_Toc16435"/>
      <w:bookmarkStart w:id="78" w:name="_Toc2041"/>
      <w:bookmarkStart w:id="79" w:name="_Toc26969"/>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31686"/>
      <w:bookmarkStart w:id="83" w:name="_Toc21082"/>
      <w:bookmarkStart w:id="84" w:name="_Toc1369"/>
      <w:bookmarkStart w:id="85" w:name="_Toc24806"/>
      <w:bookmarkStart w:id="86" w:name="_Toc2683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1"/>
        <w:gridCol w:w="1660"/>
        <w:gridCol w:w="898"/>
        <w:gridCol w:w="764"/>
        <w:gridCol w:w="745"/>
        <w:gridCol w:w="1114"/>
        <w:gridCol w:w="1114"/>
        <w:gridCol w:w="1114"/>
        <w:gridCol w:w="1141"/>
        <w:gridCol w:w="609"/>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64" w:type="pct"/>
            <w:vAlign w:val="center"/>
          </w:tcPr>
          <w:p w14:paraId="17A2EF3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85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highlight w:val="none"/>
              </w:rPr>
              <w:t>品名</w:t>
            </w:r>
          </w:p>
        </w:tc>
        <w:tc>
          <w:tcPr>
            <w:tcW w:w="464" w:type="pct"/>
            <w:vAlign w:val="center"/>
          </w:tcPr>
          <w:p w14:paraId="331F72E2">
            <w:pPr>
              <w:pStyle w:val="14"/>
              <w:keepNext w:val="0"/>
              <w:keepLines w:val="0"/>
              <w:widowControl/>
              <w:suppressLineNumbers w:val="0"/>
              <w:ind w:left="0" w:leftChars="0" w:right="0" w:rightChars="0"/>
              <w:jc w:val="center"/>
              <w:textAlignment w:val="center"/>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rPr>
              <w:t>类型</w:t>
            </w:r>
          </w:p>
        </w:tc>
        <w:tc>
          <w:tcPr>
            <w:tcW w:w="395"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数量</w:t>
            </w:r>
          </w:p>
        </w:tc>
        <w:tc>
          <w:tcPr>
            <w:tcW w:w="385"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单位</w:t>
            </w:r>
          </w:p>
        </w:tc>
        <w:tc>
          <w:tcPr>
            <w:tcW w:w="576" w:type="pct"/>
            <w:vAlign w:val="center"/>
          </w:tcPr>
          <w:p w14:paraId="10AD57F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生成厂家/品牌</w:t>
            </w:r>
          </w:p>
        </w:tc>
        <w:tc>
          <w:tcPr>
            <w:tcW w:w="576" w:type="pct"/>
            <w:vAlign w:val="center"/>
          </w:tcPr>
          <w:p w14:paraId="1065247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规格/型号</w:t>
            </w:r>
          </w:p>
        </w:tc>
        <w:tc>
          <w:tcPr>
            <w:tcW w:w="576" w:type="pct"/>
            <w:vAlign w:val="center"/>
          </w:tcPr>
          <w:p w14:paraId="2F0CBA8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单价（元）</w:t>
            </w:r>
          </w:p>
        </w:tc>
        <w:tc>
          <w:tcPr>
            <w:tcW w:w="590"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lang w:val="en-US" w:eastAsia="zh-CN"/>
              </w:rPr>
              <w:t>分项总价</w:t>
            </w:r>
            <w:r>
              <w:rPr>
                <w:rStyle w:val="21"/>
                <w:rFonts w:hint="eastAsia" w:ascii="仿宋" w:hAnsi="仿宋" w:eastAsia="仿宋" w:cs="仿宋"/>
                <w:b/>
                <w:bCs/>
                <w:sz w:val="24"/>
                <w:szCs w:val="24"/>
                <w:highlight w:val="none"/>
              </w:rPr>
              <w:t>（元）</w:t>
            </w:r>
          </w:p>
        </w:tc>
        <w:tc>
          <w:tcPr>
            <w:tcW w:w="314"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备注</w:t>
            </w:r>
          </w:p>
        </w:tc>
      </w:tr>
      <w:tr w14:paraId="7EC3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64" w:type="pct"/>
            <w:vAlign w:val="center"/>
          </w:tcPr>
          <w:p w14:paraId="1EC94FF2">
            <w:pPr>
              <w:spacing w:line="240" w:lineRule="auto"/>
              <w:jc w:val="center"/>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1</w:t>
            </w:r>
          </w:p>
        </w:tc>
        <w:tc>
          <w:tcPr>
            <w:tcW w:w="857" w:type="pct"/>
            <w:vAlign w:val="center"/>
          </w:tcPr>
          <w:p w14:paraId="2C12F0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Style w:val="21"/>
                <w:rFonts w:hint="eastAsia" w:ascii="仿宋" w:hAnsi="仿宋" w:eastAsia="仿宋" w:cs="仿宋"/>
                <w:b w:val="0"/>
                <w:bCs w:val="0"/>
                <w:sz w:val="24"/>
                <w:szCs w:val="24"/>
                <w:highlight w:val="none"/>
              </w:rPr>
            </w:pPr>
            <w:r>
              <w:rPr>
                <w:rFonts w:hint="eastAsia" w:ascii="仿宋" w:hAnsi="仿宋" w:eastAsia="仿宋" w:cs="仿宋"/>
                <w:b w:val="0"/>
                <w:bCs w:val="0"/>
                <w:sz w:val="24"/>
                <w:szCs w:val="24"/>
              </w:rPr>
              <w:t>48口25G交换机</w:t>
            </w:r>
          </w:p>
        </w:tc>
        <w:tc>
          <w:tcPr>
            <w:tcW w:w="464" w:type="pct"/>
            <w:vAlign w:val="center"/>
          </w:tcPr>
          <w:p w14:paraId="662A5ACE">
            <w:pPr>
              <w:pStyle w:val="14"/>
              <w:keepNext w:val="0"/>
              <w:keepLines w:val="0"/>
              <w:widowControl/>
              <w:suppressLineNumbers w:val="0"/>
              <w:ind w:left="0" w:leftChars="0" w:right="0" w:rightChars="0"/>
              <w:jc w:val="center"/>
              <w:textAlignment w:val="center"/>
              <w:rPr>
                <w:rStyle w:val="21"/>
                <w:rFonts w:hint="eastAsia" w:ascii="仿宋" w:hAnsi="仿宋" w:eastAsia="仿宋" w:cs="仿宋"/>
                <w:b w:val="0"/>
                <w:bCs w:val="0"/>
                <w:sz w:val="24"/>
                <w:szCs w:val="24"/>
              </w:rPr>
            </w:pPr>
            <w:r>
              <w:rPr>
                <w:rFonts w:hint="eastAsia" w:ascii="仿宋" w:hAnsi="仿宋" w:eastAsia="仿宋" w:cs="仿宋"/>
                <w:b w:val="0"/>
                <w:bCs w:val="0"/>
                <w:sz w:val="24"/>
                <w:szCs w:val="24"/>
              </w:rPr>
              <w:t>交换机</w:t>
            </w:r>
          </w:p>
        </w:tc>
        <w:tc>
          <w:tcPr>
            <w:tcW w:w="395" w:type="pct"/>
            <w:vAlign w:val="center"/>
          </w:tcPr>
          <w:p w14:paraId="2DBF77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Style w:val="21"/>
                <w:rFonts w:hint="eastAsia" w:ascii="仿宋" w:hAnsi="仿宋" w:eastAsia="仿宋" w:cs="仿宋"/>
                <w:b w:val="0"/>
                <w:bCs w:val="0"/>
                <w:sz w:val="24"/>
                <w:szCs w:val="24"/>
                <w:highlight w:val="none"/>
              </w:rPr>
            </w:pPr>
            <w:r>
              <w:rPr>
                <w:rFonts w:hint="eastAsia" w:ascii="仿宋" w:hAnsi="仿宋" w:eastAsia="仿宋" w:cs="仿宋"/>
                <w:b w:val="0"/>
                <w:bCs w:val="0"/>
                <w:sz w:val="24"/>
                <w:szCs w:val="24"/>
              </w:rPr>
              <w:t>4</w:t>
            </w:r>
          </w:p>
        </w:tc>
        <w:tc>
          <w:tcPr>
            <w:tcW w:w="385" w:type="pct"/>
            <w:vAlign w:val="center"/>
          </w:tcPr>
          <w:p w14:paraId="715FF33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rPr>
            </w:pPr>
            <w:r>
              <w:rPr>
                <w:rStyle w:val="21"/>
                <w:rFonts w:hint="eastAsia" w:ascii="仿宋" w:hAnsi="仿宋" w:eastAsia="仿宋" w:cs="仿宋"/>
                <w:b w:val="0"/>
                <w:bCs w:val="0"/>
                <w:sz w:val="24"/>
                <w:szCs w:val="24"/>
                <w:highlight w:val="none"/>
                <w:lang w:val="en-US" w:eastAsia="zh-CN"/>
              </w:rPr>
              <w:t>台</w:t>
            </w:r>
          </w:p>
        </w:tc>
        <w:tc>
          <w:tcPr>
            <w:tcW w:w="576" w:type="pct"/>
            <w:vAlign w:val="center"/>
          </w:tcPr>
          <w:p w14:paraId="171D9F8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p>
        </w:tc>
        <w:tc>
          <w:tcPr>
            <w:tcW w:w="576" w:type="pct"/>
            <w:vAlign w:val="center"/>
          </w:tcPr>
          <w:p w14:paraId="5DE6BCD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p>
        </w:tc>
        <w:tc>
          <w:tcPr>
            <w:tcW w:w="576" w:type="pct"/>
            <w:vAlign w:val="center"/>
          </w:tcPr>
          <w:p w14:paraId="6E130C2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p>
        </w:tc>
        <w:tc>
          <w:tcPr>
            <w:tcW w:w="590" w:type="pct"/>
            <w:vAlign w:val="center"/>
          </w:tcPr>
          <w:p w14:paraId="68E17C9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p>
        </w:tc>
        <w:tc>
          <w:tcPr>
            <w:tcW w:w="314" w:type="pct"/>
            <w:vAlign w:val="center"/>
          </w:tcPr>
          <w:p w14:paraId="4FA1130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64" w:type="pct"/>
            <w:vAlign w:val="center"/>
          </w:tcPr>
          <w:p w14:paraId="45E5E8F7">
            <w:pPr>
              <w:pStyle w:val="7"/>
              <w:spacing w:line="240" w:lineRule="auto"/>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2</w:t>
            </w:r>
          </w:p>
        </w:tc>
        <w:tc>
          <w:tcPr>
            <w:tcW w:w="857" w:type="pct"/>
            <w:vAlign w:val="center"/>
          </w:tcPr>
          <w:p w14:paraId="08810D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rPr>
              <w:t>48口千兆交换机</w:t>
            </w:r>
          </w:p>
        </w:tc>
        <w:tc>
          <w:tcPr>
            <w:tcW w:w="464" w:type="pct"/>
            <w:vAlign w:val="center"/>
          </w:tcPr>
          <w:p w14:paraId="0ACA9CE3">
            <w:pPr>
              <w:pStyle w:val="14"/>
              <w:keepNext w:val="0"/>
              <w:keepLines w:val="0"/>
              <w:widowControl/>
              <w:suppressLineNumbers w:val="0"/>
              <w:ind w:left="0" w:leftChars="0" w:right="0" w:rightChars="0"/>
              <w:jc w:val="center"/>
              <w:textAlignment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rPr>
              <w:t>交换机</w:t>
            </w:r>
          </w:p>
        </w:tc>
        <w:tc>
          <w:tcPr>
            <w:tcW w:w="395" w:type="pct"/>
            <w:vAlign w:val="center"/>
          </w:tcPr>
          <w:p w14:paraId="737775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rPr>
              <w:t>1</w:t>
            </w:r>
          </w:p>
        </w:tc>
        <w:tc>
          <w:tcPr>
            <w:tcW w:w="385"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台</w:t>
            </w:r>
          </w:p>
        </w:tc>
        <w:tc>
          <w:tcPr>
            <w:tcW w:w="576" w:type="pct"/>
            <w:vAlign w:val="center"/>
          </w:tcPr>
          <w:p w14:paraId="38AA443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p>
        </w:tc>
        <w:tc>
          <w:tcPr>
            <w:tcW w:w="576" w:type="pct"/>
            <w:vAlign w:val="center"/>
          </w:tcPr>
          <w:p w14:paraId="0BA08EF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p>
        </w:tc>
        <w:tc>
          <w:tcPr>
            <w:tcW w:w="576" w:type="pct"/>
            <w:vAlign w:val="center"/>
          </w:tcPr>
          <w:p w14:paraId="785276B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p>
        </w:tc>
        <w:tc>
          <w:tcPr>
            <w:tcW w:w="590" w:type="pct"/>
            <w:vAlign w:val="center"/>
          </w:tcPr>
          <w:p w14:paraId="26902AD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c>
          <w:tcPr>
            <w:tcW w:w="314"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r>
      <w:tr w14:paraId="0A0A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22"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3877" w:type="pct"/>
            <w:gridSpan w:val="8"/>
            <w:vAlign w:val="center"/>
          </w:tcPr>
          <w:p w14:paraId="7119BAA7">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272214BC">
      <w:pPr>
        <w:pStyle w:val="7"/>
        <w:rPr>
          <w:rFonts w:ascii="Times New Roman" w:hAnsi="Times New Roman" w:eastAsia="仿宋" w:cs="Times New Roman"/>
          <w:szCs w:val="21"/>
        </w:rPr>
      </w:pPr>
    </w:p>
    <w:p w14:paraId="2F61FFAE">
      <w:pPr>
        <w:rPr>
          <w:rFonts w:hint="eastAsia" w:ascii="仿宋" w:hAnsi="仿宋" w:eastAsia="仿宋" w:cs="仿宋"/>
          <w:b/>
          <w:bCs/>
          <w:sz w:val="24"/>
          <w:szCs w:val="24"/>
          <w:u w:val="none"/>
          <w:lang w:val="en-US" w:eastAsia="zh-CN"/>
        </w:rPr>
      </w:pPr>
      <w:r>
        <w:rPr>
          <w:rFonts w:hint="eastAsia" w:ascii="仿宋" w:hAnsi="仿宋" w:eastAsia="仿宋" w:cs="仿宋"/>
          <w:b/>
          <w:bCs/>
          <w:kern w:val="2"/>
          <w:sz w:val="24"/>
          <w:szCs w:val="24"/>
          <w:u w:val="none"/>
          <w:lang w:val="en-US" w:eastAsia="zh-CN" w:bidi="ar-SA"/>
        </w:rPr>
        <w:t>2.服务期：验收合格之日起，提供</w:t>
      </w:r>
      <w:r>
        <w:rPr>
          <w:rFonts w:hint="eastAsia" w:ascii="仿宋" w:hAnsi="仿宋" w:eastAsia="仿宋" w:cs="仿宋"/>
          <w:b/>
          <w:bCs/>
          <w:kern w:val="2"/>
          <w:sz w:val="24"/>
          <w:szCs w:val="24"/>
          <w:u w:val="single"/>
          <w:lang w:val="en-US" w:eastAsia="zh-CN" w:bidi="ar-SA"/>
        </w:rPr>
        <w:t xml:space="preserve">      </w:t>
      </w:r>
      <w:r>
        <w:rPr>
          <w:rFonts w:hint="eastAsia" w:ascii="仿宋" w:hAnsi="仿宋" w:eastAsia="仿宋" w:cs="仿宋"/>
          <w:b/>
          <w:bCs/>
          <w:kern w:val="2"/>
          <w:sz w:val="24"/>
          <w:szCs w:val="24"/>
          <w:u w:val="none"/>
          <w:lang w:val="en-US" w:eastAsia="zh-CN" w:bidi="ar-SA"/>
        </w:rPr>
        <w:t>年。</w:t>
      </w: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13FBFE2">
      <w:pPr>
        <w:jc w:val="center"/>
        <w:rPr>
          <w:rFonts w:ascii="黑体" w:hAnsi="黑体" w:eastAsia="黑体" w:cs="Times New Roman"/>
          <w:b/>
          <w:bCs/>
          <w:sz w:val="48"/>
          <w:szCs w:val="48"/>
        </w:rPr>
      </w:pPr>
      <w:r>
        <w:rPr>
          <w:rFonts w:ascii="黑体" w:hAnsi="黑体" w:eastAsia="黑体" w:cs="Times New Roman"/>
          <w:b/>
          <w:bCs/>
          <w:sz w:val="48"/>
          <w:szCs w:val="48"/>
        </w:rPr>
        <w:t>货 物 采 购 合 同</w:t>
      </w:r>
    </w:p>
    <w:p w14:paraId="5797CA7E">
      <w:pPr>
        <w:widowControl w:val="0"/>
        <w:spacing w:after="120"/>
        <w:jc w:val="both"/>
        <w:rPr>
          <w:rFonts w:hint="eastAsia" w:ascii="Calibri" w:hAnsi="Calibri" w:eastAsia="宋体" w:cs="Times New Roman"/>
          <w:kern w:val="2"/>
          <w:sz w:val="21"/>
          <w:szCs w:val="22"/>
          <w:lang w:val="en-US" w:eastAsia="zh-CN" w:bidi="ar-SA"/>
        </w:rPr>
      </w:pPr>
    </w:p>
    <w:tbl>
      <w:tblPr>
        <w:tblStyle w:val="18"/>
        <w:tblW w:w="5000" w:type="pct"/>
        <w:jc w:val="center"/>
        <w:tblLayout w:type="autofit"/>
        <w:tblCellMar>
          <w:top w:w="0" w:type="dxa"/>
          <w:left w:w="0" w:type="dxa"/>
          <w:bottom w:w="0" w:type="dxa"/>
          <w:right w:w="0" w:type="dxa"/>
        </w:tblCellMar>
      </w:tblPr>
      <w:tblGrid>
        <w:gridCol w:w="4687"/>
        <w:gridCol w:w="4950"/>
      </w:tblGrid>
      <w:tr w14:paraId="7AB86A84">
        <w:tblPrEx>
          <w:tblCellMar>
            <w:top w:w="0" w:type="dxa"/>
            <w:left w:w="0" w:type="dxa"/>
            <w:bottom w:w="0" w:type="dxa"/>
            <w:right w:w="0" w:type="dxa"/>
          </w:tblCellMar>
        </w:tblPrEx>
        <w:trPr>
          <w:trHeight w:val="919" w:hRule="atLeast"/>
          <w:jc w:val="center"/>
        </w:trPr>
        <w:tc>
          <w:tcPr>
            <w:tcW w:w="10204" w:type="dxa"/>
            <w:gridSpan w:val="2"/>
            <w:noWrap w:val="0"/>
            <w:vAlign w:val="top"/>
          </w:tcPr>
          <w:p w14:paraId="4CF8E2D6">
            <w:pPr>
              <w:contextualSpacing/>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合同编号</w:t>
            </w:r>
            <w:r>
              <w:rPr>
                <w:rFonts w:ascii="Times New Roman" w:hAnsi="Times New Roman" w:eastAsia="宋体" w:cs="Times New Roman"/>
                <w:color w:val="000000"/>
                <w:szCs w:val="21"/>
                <w:highlight w:val="none"/>
              </w:rPr>
              <w:t>：</w:t>
            </w:r>
            <w:r>
              <w:rPr>
                <w:rFonts w:ascii="Times New Roman" w:hAnsi="Times New Roman" w:eastAsia="宋体" w:cs="Times New Roman"/>
                <w:szCs w:val="21"/>
                <w:highlight w:val="none"/>
              </w:rPr>
              <w:t>***</w:t>
            </w:r>
          </w:p>
          <w:p w14:paraId="63D96EC8">
            <w:pPr>
              <w:contextualSpacing/>
              <w:rPr>
                <w:rFonts w:hint="eastAsia"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签订地点</w:t>
            </w:r>
            <w:r>
              <w:rPr>
                <w:rFonts w:ascii="Times New Roman" w:hAnsi="Times New Roman" w:eastAsia="宋体" w:cs="Times New Roman"/>
                <w:color w:val="000000"/>
                <w:szCs w:val="21"/>
                <w:highlight w:val="none"/>
              </w:rPr>
              <w:t>：四川省人民医院</w:t>
            </w:r>
          </w:p>
        </w:tc>
      </w:tr>
      <w:tr w14:paraId="3C774F57">
        <w:tblPrEx>
          <w:tblCellMar>
            <w:top w:w="0" w:type="dxa"/>
            <w:left w:w="0" w:type="dxa"/>
            <w:bottom w:w="0" w:type="dxa"/>
            <w:right w:w="0" w:type="dxa"/>
          </w:tblCellMar>
        </w:tblPrEx>
        <w:trPr>
          <w:jc w:val="center"/>
        </w:trPr>
        <w:tc>
          <w:tcPr>
            <w:tcW w:w="4962" w:type="dxa"/>
            <w:noWrap w:val="0"/>
            <w:vAlign w:val="top"/>
          </w:tcPr>
          <w:p w14:paraId="6A40DEDA">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采购人（以下简称甲方）</w:t>
            </w:r>
            <w:r>
              <w:rPr>
                <w:rFonts w:ascii="Times New Roman" w:hAnsi="Times New Roman" w:eastAsia="宋体" w:cs="Times New Roman"/>
                <w:szCs w:val="21"/>
                <w:highlight w:val="none"/>
              </w:rPr>
              <w:t>：四川省人民医院</w:t>
            </w:r>
          </w:p>
          <w:p w14:paraId="3E931DF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：四川省成都市一环路西二段32号</w:t>
            </w:r>
          </w:p>
          <w:p w14:paraId="6D3C20B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项目联系人</w:t>
            </w:r>
            <w:r>
              <w:rPr>
                <w:rFonts w:ascii="Times New Roman" w:hAnsi="Times New Roman" w:eastAsia="宋体" w:cs="Times New Roman"/>
                <w:szCs w:val="21"/>
                <w:highlight w:val="none"/>
              </w:rPr>
              <w:t>：***</w:t>
            </w:r>
          </w:p>
          <w:p w14:paraId="3EEA6366">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电话</w:t>
            </w:r>
            <w:r>
              <w:rPr>
                <w:rFonts w:ascii="Times New Roman" w:hAnsi="Times New Roman" w:eastAsia="宋体" w:cs="Times New Roman"/>
                <w:szCs w:val="21"/>
                <w:highlight w:val="none"/>
              </w:rPr>
              <w:t>：***</w:t>
            </w:r>
          </w:p>
          <w:p w14:paraId="414C9EB5">
            <w:pPr>
              <w:widowControl w:val="0"/>
              <w:spacing w:after="120"/>
              <w:jc w:val="both"/>
              <w:rPr>
                <w:rFonts w:hint="eastAsia" w:ascii="Calibri" w:hAnsi="Calibri" w:eastAsia="宋体" w:cs="Times New Roman"/>
                <w:kern w:val="2"/>
                <w:sz w:val="21"/>
                <w:szCs w:val="22"/>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电子邮件：</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p>
        </w:tc>
        <w:tc>
          <w:tcPr>
            <w:tcW w:w="5242" w:type="dxa"/>
            <w:noWrap w:val="0"/>
            <w:vAlign w:val="top"/>
          </w:tcPr>
          <w:p w14:paraId="00EC3F22">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供应商（以下简称乙方）</w:t>
            </w:r>
            <w:r>
              <w:rPr>
                <w:rFonts w:ascii="Times New Roman" w:hAnsi="Times New Roman" w:eastAsia="宋体" w:cs="Times New Roman"/>
                <w:szCs w:val="21"/>
                <w:highlight w:val="none"/>
              </w:rPr>
              <w:t>：***</w:t>
            </w:r>
          </w:p>
          <w:p w14:paraId="4FF9132F">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w:t>
            </w:r>
          </w:p>
          <w:p w14:paraId="3394B649">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移动电话</w:t>
            </w:r>
            <w:r>
              <w:rPr>
                <w:rFonts w:ascii="Times New Roman" w:hAnsi="Times New Roman" w:eastAsia="宋体" w:cs="Times New Roman"/>
                <w:szCs w:val="21"/>
                <w:highlight w:val="none"/>
              </w:rPr>
              <w:t>：***</w:t>
            </w:r>
          </w:p>
          <w:p w14:paraId="57B7B27F">
            <w:pPr>
              <w:contextualSpacing/>
              <w:rPr>
                <w:rFonts w:ascii="Times New Roman" w:hAnsi="Times New Roman" w:eastAsia="宋体" w:cs="Times New Roman"/>
                <w:szCs w:val="21"/>
                <w:highlight w:val="none"/>
              </w:rPr>
            </w:pPr>
            <w:r>
              <w:rPr>
                <w:rFonts w:ascii="Times New Roman" w:hAnsi="Times New Roman" w:eastAsia="宋体" w:cs="Times New Roman"/>
                <w:b/>
                <w:bCs/>
                <w:szCs w:val="21"/>
                <w:highlight w:val="none"/>
              </w:rPr>
              <w:t>联系人</w:t>
            </w:r>
            <w:r>
              <w:rPr>
                <w:rFonts w:ascii="Times New Roman" w:hAnsi="Times New Roman" w:eastAsia="宋体" w:cs="Times New Roman"/>
                <w:szCs w:val="21"/>
                <w:highlight w:val="none"/>
              </w:rPr>
              <w:t>：***</w:t>
            </w:r>
          </w:p>
          <w:p w14:paraId="506A33DB">
            <w:pPr>
              <w:widowControl w:val="0"/>
              <w:spacing w:after="120"/>
              <w:jc w:val="both"/>
              <w:rPr>
                <w:rFonts w:hint="eastAsia" w:ascii="Calibri" w:hAnsi="Calibri" w:eastAsia="宋体" w:cs="Times New Roman"/>
                <w:kern w:val="2"/>
                <w:sz w:val="21"/>
                <w:szCs w:val="22"/>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电子邮件：*</w:t>
            </w:r>
            <w:r>
              <w:rPr>
                <w:rFonts w:ascii="Times New Roman" w:hAnsi="Times New Roman" w:eastAsia="宋体" w:cs="Times New Roman"/>
                <w:b/>
                <w:bCs/>
                <w:kern w:val="2"/>
                <w:sz w:val="21"/>
                <w:szCs w:val="21"/>
                <w:highlight w:val="none"/>
                <w:lang w:val="en-US" w:eastAsia="zh-CN" w:bidi="ar-SA"/>
              </w:rPr>
              <w:t>**</w:t>
            </w:r>
          </w:p>
        </w:tc>
      </w:tr>
    </w:tbl>
    <w:p w14:paraId="4D0EC8F2">
      <w:pPr>
        <w:adjustRightInd w:val="0"/>
        <w:snapToGrid w:val="0"/>
        <w:spacing w:before="312" w:beforeLines="100" w:after="312" w:afterLines="100"/>
        <w:contextualSpacing/>
        <w:jc w:val="left"/>
        <w:rPr>
          <w:rFonts w:ascii="Times New Roman" w:hAnsi="Times New Roman" w:eastAsia="宋体" w:cs="Times New Roman"/>
          <w:color w:val="000000"/>
          <w:szCs w:val="21"/>
          <w:highlight w:val="none"/>
        </w:rPr>
      </w:pPr>
    </w:p>
    <w:p w14:paraId="059ADCA7">
      <w:pPr>
        <w:adjustRightInd w:val="0"/>
        <w:ind w:firstLine="420" w:firstLineChars="200"/>
        <w:contextualSpacing/>
        <w:jc w:val="left"/>
        <w:rPr>
          <w:rFonts w:ascii="Calibri" w:hAnsi="Calibri" w:eastAsia="宋体" w:cs="Times New Roman"/>
          <w:b/>
          <w:szCs w:val="21"/>
          <w:highlight w:val="none"/>
        </w:rPr>
      </w:pPr>
      <w:r>
        <w:rPr>
          <w:rFonts w:hint="eastAsia" w:ascii="Calibri" w:hAnsi="Calibri" w:eastAsia="宋体" w:cs="Times New Roman"/>
          <w:color w:val="000000"/>
          <w:szCs w:val="21"/>
          <w:highlight w:val="none"/>
        </w:rPr>
        <w:t>根</w:t>
      </w:r>
      <w:r>
        <w:rPr>
          <w:rFonts w:ascii="Calibri" w:hAnsi="Calibri" w:eastAsia="宋体" w:cs="Times New Roman"/>
          <w:color w:val="000000"/>
          <w:szCs w:val="21"/>
          <w:highlight w:val="none"/>
        </w:rPr>
        <w:t>据《中华人民共和国民法典》及甲方发布的***项目（项目编号：</w:t>
      </w:r>
      <w:r>
        <w:rPr>
          <w:rFonts w:ascii="Calibri" w:hAnsi="Calibri" w:eastAsia="宋体" w:cs="Times New Roman"/>
          <w:szCs w:val="21"/>
          <w:highlight w:val="none"/>
        </w:rPr>
        <w:t>***</w:t>
      </w:r>
      <w:r>
        <w:rPr>
          <w:rFonts w:ascii="Calibri" w:hAnsi="Calibri" w:eastAsia="宋体" w:cs="Times New Roman"/>
          <w:color w:val="000000"/>
          <w:szCs w:val="21"/>
          <w:highlight w:val="none"/>
        </w:rPr>
        <w:t>）《采购文件》、乙方的《</w:t>
      </w:r>
      <w:r>
        <w:rPr>
          <w:rFonts w:hint="eastAsia" w:ascii="Calibri" w:hAnsi="Calibri" w:eastAsia="宋体" w:cs="Times New Roman"/>
          <w:color w:val="000000"/>
          <w:szCs w:val="21"/>
          <w:highlight w:val="none"/>
        </w:rPr>
        <w:t>响应</w:t>
      </w:r>
      <w:r>
        <w:rPr>
          <w:rFonts w:ascii="Calibri" w:hAnsi="Calibri" w:eastAsia="宋体" w:cs="Times New Roman"/>
          <w:color w:val="000000"/>
          <w:szCs w:val="21"/>
          <w:highlight w:val="none"/>
        </w:rPr>
        <w:t>文件》，甲、乙双方同意签订本合同。详细技术说明及其他有关合同项目的特定信息可由合同附件予以说明，合同附件及本项目的《采购文件》、《</w:t>
      </w:r>
      <w:r>
        <w:rPr>
          <w:rFonts w:hint="eastAsia" w:ascii="Calibri" w:hAnsi="Calibri" w:eastAsia="宋体" w:cs="Times New Roman"/>
          <w:color w:val="000000"/>
          <w:szCs w:val="21"/>
          <w:highlight w:val="none"/>
        </w:rPr>
        <w:t>响应</w:t>
      </w:r>
      <w:r>
        <w:rPr>
          <w:rFonts w:ascii="Calibri" w:hAnsi="Calibri" w:eastAsia="宋体" w:cs="Times New Roman"/>
          <w:color w:val="000000"/>
          <w:szCs w:val="21"/>
          <w:highlight w:val="none"/>
        </w:rPr>
        <w:t>文件》等均为本合同不可分割的部分。双方同意共同遵守以下条款：</w:t>
      </w:r>
    </w:p>
    <w:p w14:paraId="553D08CE">
      <w:pPr>
        <w:ind w:firstLine="420" w:firstLineChars="200"/>
        <w:rPr>
          <w:rFonts w:ascii="Times New Roman" w:hAnsi="Times New Roman" w:eastAsia="宋体" w:cs="Times New Roman"/>
          <w:color w:val="000000"/>
          <w:szCs w:val="21"/>
          <w:highlight w:val="none"/>
        </w:rPr>
      </w:pPr>
    </w:p>
    <w:p w14:paraId="11EBAFF3">
      <w:pPr>
        <w:widowControl w:val="0"/>
        <w:numPr>
          <w:ilvl w:val="0"/>
          <w:numId w:val="12"/>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3E5A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262BCD9">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序号</w:t>
            </w:r>
          </w:p>
        </w:tc>
        <w:tc>
          <w:tcPr>
            <w:tcW w:w="2551" w:type="dxa"/>
            <w:noWrap w:val="0"/>
            <w:vAlign w:val="center"/>
          </w:tcPr>
          <w:p w14:paraId="3D57A7AE">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货物名称</w:t>
            </w:r>
          </w:p>
        </w:tc>
        <w:tc>
          <w:tcPr>
            <w:tcW w:w="1985" w:type="dxa"/>
            <w:noWrap w:val="0"/>
            <w:vAlign w:val="center"/>
          </w:tcPr>
          <w:p w14:paraId="0A1D7CF9">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生产厂商</w:t>
            </w:r>
          </w:p>
        </w:tc>
        <w:tc>
          <w:tcPr>
            <w:tcW w:w="992" w:type="dxa"/>
            <w:noWrap w:val="0"/>
            <w:vAlign w:val="center"/>
          </w:tcPr>
          <w:p w14:paraId="59F0FAE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产地</w:t>
            </w:r>
          </w:p>
        </w:tc>
        <w:tc>
          <w:tcPr>
            <w:tcW w:w="1417" w:type="dxa"/>
            <w:noWrap w:val="0"/>
            <w:vAlign w:val="center"/>
          </w:tcPr>
          <w:p w14:paraId="5A1E52A8">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规格型号</w:t>
            </w:r>
          </w:p>
        </w:tc>
        <w:tc>
          <w:tcPr>
            <w:tcW w:w="426" w:type="dxa"/>
            <w:noWrap w:val="0"/>
            <w:vAlign w:val="center"/>
          </w:tcPr>
          <w:p w14:paraId="06282D57">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单位</w:t>
            </w:r>
          </w:p>
        </w:tc>
        <w:tc>
          <w:tcPr>
            <w:tcW w:w="425" w:type="dxa"/>
            <w:noWrap w:val="0"/>
            <w:vAlign w:val="center"/>
          </w:tcPr>
          <w:p w14:paraId="1712DB7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数量</w:t>
            </w:r>
          </w:p>
        </w:tc>
        <w:tc>
          <w:tcPr>
            <w:tcW w:w="992" w:type="dxa"/>
            <w:noWrap w:val="0"/>
            <w:vAlign w:val="center"/>
          </w:tcPr>
          <w:p w14:paraId="2D1359BA">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单价</w:t>
            </w:r>
          </w:p>
          <w:p w14:paraId="5A6524DD">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（万元）</w:t>
            </w:r>
          </w:p>
        </w:tc>
        <w:tc>
          <w:tcPr>
            <w:tcW w:w="995" w:type="dxa"/>
            <w:noWrap w:val="0"/>
            <w:vAlign w:val="center"/>
          </w:tcPr>
          <w:p w14:paraId="1B4570D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总价</w:t>
            </w:r>
          </w:p>
          <w:p w14:paraId="6683D4A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b/>
                <w:bCs/>
                <w:color w:val="000000"/>
                <w:sz w:val="18"/>
                <w:szCs w:val="18"/>
                <w:highlight w:val="none"/>
              </w:rPr>
              <w:t>（万元）</w:t>
            </w:r>
          </w:p>
        </w:tc>
      </w:tr>
      <w:tr w14:paraId="7258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58C522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1</w:t>
            </w:r>
          </w:p>
        </w:tc>
        <w:tc>
          <w:tcPr>
            <w:tcW w:w="2551" w:type="dxa"/>
            <w:noWrap w:val="0"/>
            <w:vAlign w:val="center"/>
          </w:tcPr>
          <w:p w14:paraId="08C125EF">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1985" w:type="dxa"/>
            <w:noWrap w:val="0"/>
            <w:vAlign w:val="center"/>
          </w:tcPr>
          <w:p w14:paraId="6AF29A15">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2" w:type="dxa"/>
            <w:noWrap w:val="0"/>
            <w:vAlign w:val="center"/>
          </w:tcPr>
          <w:p w14:paraId="414D7623">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1417" w:type="dxa"/>
            <w:noWrap w:val="0"/>
            <w:vAlign w:val="center"/>
          </w:tcPr>
          <w:p w14:paraId="0E9CC202">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szCs w:val="21"/>
                <w:highlight w:val="none"/>
              </w:rPr>
              <w:t>***</w:t>
            </w:r>
          </w:p>
        </w:tc>
        <w:tc>
          <w:tcPr>
            <w:tcW w:w="426" w:type="dxa"/>
            <w:noWrap w:val="0"/>
            <w:vAlign w:val="center"/>
          </w:tcPr>
          <w:p w14:paraId="58142D1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425" w:type="dxa"/>
            <w:noWrap w:val="0"/>
            <w:vAlign w:val="center"/>
          </w:tcPr>
          <w:p w14:paraId="142648E1">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2" w:type="dxa"/>
            <w:noWrap w:val="0"/>
            <w:vAlign w:val="center"/>
          </w:tcPr>
          <w:p w14:paraId="5174B5C0">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c>
          <w:tcPr>
            <w:tcW w:w="995" w:type="dxa"/>
            <w:noWrap w:val="0"/>
            <w:vAlign w:val="center"/>
          </w:tcPr>
          <w:p w14:paraId="5758AE26">
            <w:pPr>
              <w:contextualSpacing/>
              <w:jc w:val="center"/>
              <w:rPr>
                <w:rFonts w:ascii="Times New Roman" w:hAnsi="Times New Roman" w:eastAsia="宋体" w:cs="Times New Roman"/>
                <w:b/>
                <w:bCs/>
                <w:color w:val="000000"/>
                <w:sz w:val="18"/>
                <w:szCs w:val="18"/>
                <w:highlight w:val="none"/>
              </w:rPr>
            </w:pPr>
            <w:r>
              <w:rPr>
                <w:rFonts w:ascii="Times New Roman" w:hAnsi="Times New Roman" w:eastAsia="宋体" w:cs="Times New Roman"/>
                <w:highlight w:val="none"/>
              </w:rPr>
              <w:t xml:space="preserve"> </w:t>
            </w:r>
            <w:r>
              <w:rPr>
                <w:rFonts w:ascii="Times New Roman" w:hAnsi="Times New Roman" w:eastAsia="宋体" w:cs="Times New Roman"/>
                <w:szCs w:val="21"/>
                <w:highlight w:val="none"/>
              </w:rPr>
              <w:t>***</w:t>
            </w:r>
          </w:p>
        </w:tc>
      </w:tr>
      <w:tr w14:paraId="493E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60CB205E">
            <w:pPr>
              <w:contextualSpacing/>
              <w:jc w:val="center"/>
              <w:rPr>
                <w:rFonts w:ascii="Times New Roman" w:hAnsi="Times New Roman" w:eastAsia="宋体" w:cs="Times New Roman"/>
                <w:highlight w:val="none"/>
              </w:rPr>
            </w:pPr>
            <w:r>
              <w:rPr>
                <w:rFonts w:ascii="Times New Roman" w:hAnsi="Times New Roman" w:eastAsia="宋体" w:cs="Times New Roman"/>
                <w:highlight w:val="none"/>
              </w:rPr>
              <w:t>2</w:t>
            </w:r>
          </w:p>
        </w:tc>
        <w:tc>
          <w:tcPr>
            <w:tcW w:w="2551" w:type="dxa"/>
            <w:noWrap w:val="0"/>
            <w:vAlign w:val="center"/>
          </w:tcPr>
          <w:p w14:paraId="33A1F902">
            <w:pPr>
              <w:contextualSpacing/>
              <w:jc w:val="center"/>
              <w:rPr>
                <w:rFonts w:ascii="Times New Roman" w:hAnsi="Times New Roman" w:eastAsia="宋体" w:cs="Times New Roman"/>
                <w:highlight w:val="none"/>
              </w:rPr>
            </w:pPr>
          </w:p>
        </w:tc>
        <w:tc>
          <w:tcPr>
            <w:tcW w:w="1985" w:type="dxa"/>
            <w:noWrap w:val="0"/>
            <w:vAlign w:val="center"/>
          </w:tcPr>
          <w:p w14:paraId="3D962D58">
            <w:pPr>
              <w:contextualSpacing/>
              <w:jc w:val="center"/>
              <w:rPr>
                <w:rFonts w:ascii="Times New Roman" w:hAnsi="Times New Roman" w:eastAsia="宋体" w:cs="Times New Roman"/>
                <w:highlight w:val="none"/>
              </w:rPr>
            </w:pPr>
          </w:p>
        </w:tc>
        <w:tc>
          <w:tcPr>
            <w:tcW w:w="992" w:type="dxa"/>
            <w:noWrap w:val="0"/>
            <w:vAlign w:val="center"/>
          </w:tcPr>
          <w:p w14:paraId="02CE39C4">
            <w:pPr>
              <w:contextualSpacing/>
              <w:jc w:val="center"/>
              <w:rPr>
                <w:rFonts w:ascii="Times New Roman" w:hAnsi="Times New Roman" w:eastAsia="宋体" w:cs="Times New Roman"/>
                <w:highlight w:val="none"/>
              </w:rPr>
            </w:pPr>
          </w:p>
        </w:tc>
        <w:tc>
          <w:tcPr>
            <w:tcW w:w="1417" w:type="dxa"/>
            <w:noWrap w:val="0"/>
            <w:vAlign w:val="center"/>
          </w:tcPr>
          <w:p w14:paraId="695B261E">
            <w:pPr>
              <w:contextualSpacing/>
              <w:jc w:val="center"/>
              <w:rPr>
                <w:rFonts w:ascii="Times New Roman" w:hAnsi="Times New Roman" w:eastAsia="宋体" w:cs="Times New Roman"/>
                <w:highlight w:val="none"/>
              </w:rPr>
            </w:pPr>
          </w:p>
        </w:tc>
        <w:tc>
          <w:tcPr>
            <w:tcW w:w="426" w:type="dxa"/>
            <w:noWrap w:val="0"/>
            <w:vAlign w:val="center"/>
          </w:tcPr>
          <w:p w14:paraId="5856415C">
            <w:pPr>
              <w:contextualSpacing/>
              <w:jc w:val="center"/>
              <w:rPr>
                <w:rFonts w:ascii="Times New Roman" w:hAnsi="Times New Roman" w:eastAsia="宋体" w:cs="Times New Roman"/>
                <w:highlight w:val="none"/>
              </w:rPr>
            </w:pPr>
          </w:p>
        </w:tc>
        <w:tc>
          <w:tcPr>
            <w:tcW w:w="425" w:type="dxa"/>
            <w:noWrap w:val="0"/>
            <w:vAlign w:val="center"/>
          </w:tcPr>
          <w:p w14:paraId="60331C67">
            <w:pPr>
              <w:contextualSpacing/>
              <w:jc w:val="center"/>
              <w:rPr>
                <w:rFonts w:ascii="Times New Roman" w:hAnsi="Times New Roman" w:eastAsia="宋体" w:cs="Times New Roman"/>
                <w:highlight w:val="none"/>
              </w:rPr>
            </w:pPr>
          </w:p>
        </w:tc>
        <w:tc>
          <w:tcPr>
            <w:tcW w:w="992" w:type="dxa"/>
            <w:noWrap w:val="0"/>
            <w:vAlign w:val="center"/>
          </w:tcPr>
          <w:p w14:paraId="0EAC33E8">
            <w:pPr>
              <w:contextualSpacing/>
              <w:jc w:val="center"/>
              <w:rPr>
                <w:rFonts w:ascii="Times New Roman" w:hAnsi="Times New Roman" w:eastAsia="宋体" w:cs="Times New Roman"/>
                <w:highlight w:val="none"/>
              </w:rPr>
            </w:pPr>
          </w:p>
        </w:tc>
        <w:tc>
          <w:tcPr>
            <w:tcW w:w="995" w:type="dxa"/>
            <w:noWrap w:val="0"/>
            <w:vAlign w:val="center"/>
          </w:tcPr>
          <w:p w14:paraId="0AD49B5C">
            <w:pPr>
              <w:contextualSpacing/>
              <w:jc w:val="center"/>
              <w:rPr>
                <w:rFonts w:ascii="Times New Roman" w:hAnsi="Times New Roman" w:eastAsia="宋体" w:cs="Times New Roman"/>
                <w:highlight w:val="none"/>
              </w:rPr>
            </w:pPr>
          </w:p>
        </w:tc>
      </w:tr>
      <w:tr w14:paraId="3E04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084DA67">
            <w:pPr>
              <w:contextualSpacing/>
              <w:jc w:val="center"/>
              <w:rPr>
                <w:rFonts w:ascii="Times New Roman" w:hAnsi="Times New Roman" w:eastAsia="宋体" w:cs="Times New Roman"/>
                <w:highlight w:val="none"/>
              </w:rPr>
            </w:pPr>
            <w:r>
              <w:rPr>
                <w:rFonts w:ascii="Times New Roman" w:hAnsi="Times New Roman" w:eastAsia="宋体" w:cs="Times New Roman"/>
                <w:highlight w:val="none"/>
              </w:rPr>
              <w:t>...</w:t>
            </w:r>
          </w:p>
        </w:tc>
        <w:tc>
          <w:tcPr>
            <w:tcW w:w="2551" w:type="dxa"/>
            <w:noWrap w:val="0"/>
            <w:vAlign w:val="center"/>
          </w:tcPr>
          <w:p w14:paraId="6D06C642">
            <w:pPr>
              <w:contextualSpacing/>
              <w:jc w:val="center"/>
              <w:rPr>
                <w:rFonts w:ascii="Times New Roman" w:hAnsi="Times New Roman" w:eastAsia="宋体" w:cs="Times New Roman"/>
                <w:highlight w:val="none"/>
              </w:rPr>
            </w:pPr>
          </w:p>
        </w:tc>
        <w:tc>
          <w:tcPr>
            <w:tcW w:w="1985" w:type="dxa"/>
            <w:noWrap w:val="0"/>
            <w:vAlign w:val="center"/>
          </w:tcPr>
          <w:p w14:paraId="322A0365">
            <w:pPr>
              <w:contextualSpacing/>
              <w:jc w:val="center"/>
              <w:rPr>
                <w:rFonts w:ascii="Times New Roman" w:hAnsi="Times New Roman" w:eastAsia="宋体" w:cs="Times New Roman"/>
                <w:highlight w:val="none"/>
              </w:rPr>
            </w:pPr>
          </w:p>
        </w:tc>
        <w:tc>
          <w:tcPr>
            <w:tcW w:w="992" w:type="dxa"/>
            <w:noWrap w:val="0"/>
            <w:vAlign w:val="center"/>
          </w:tcPr>
          <w:p w14:paraId="4356604B">
            <w:pPr>
              <w:contextualSpacing/>
              <w:jc w:val="center"/>
              <w:rPr>
                <w:rFonts w:ascii="Times New Roman" w:hAnsi="Times New Roman" w:eastAsia="宋体" w:cs="Times New Roman"/>
                <w:highlight w:val="none"/>
              </w:rPr>
            </w:pPr>
          </w:p>
        </w:tc>
        <w:tc>
          <w:tcPr>
            <w:tcW w:w="1417" w:type="dxa"/>
            <w:noWrap w:val="0"/>
            <w:vAlign w:val="center"/>
          </w:tcPr>
          <w:p w14:paraId="1C30B22C">
            <w:pPr>
              <w:contextualSpacing/>
              <w:jc w:val="center"/>
              <w:rPr>
                <w:rFonts w:ascii="Times New Roman" w:hAnsi="Times New Roman" w:eastAsia="宋体" w:cs="Times New Roman"/>
                <w:highlight w:val="none"/>
              </w:rPr>
            </w:pPr>
          </w:p>
        </w:tc>
        <w:tc>
          <w:tcPr>
            <w:tcW w:w="426" w:type="dxa"/>
            <w:noWrap w:val="0"/>
            <w:vAlign w:val="center"/>
          </w:tcPr>
          <w:p w14:paraId="4840B5D6">
            <w:pPr>
              <w:contextualSpacing/>
              <w:jc w:val="center"/>
              <w:rPr>
                <w:rFonts w:ascii="Times New Roman" w:hAnsi="Times New Roman" w:eastAsia="宋体" w:cs="Times New Roman"/>
                <w:highlight w:val="none"/>
              </w:rPr>
            </w:pPr>
          </w:p>
        </w:tc>
        <w:tc>
          <w:tcPr>
            <w:tcW w:w="425" w:type="dxa"/>
            <w:noWrap w:val="0"/>
            <w:vAlign w:val="center"/>
          </w:tcPr>
          <w:p w14:paraId="5D1CE561">
            <w:pPr>
              <w:contextualSpacing/>
              <w:jc w:val="center"/>
              <w:rPr>
                <w:rFonts w:ascii="Times New Roman" w:hAnsi="Times New Roman" w:eastAsia="宋体" w:cs="Times New Roman"/>
                <w:highlight w:val="none"/>
              </w:rPr>
            </w:pPr>
          </w:p>
        </w:tc>
        <w:tc>
          <w:tcPr>
            <w:tcW w:w="992" w:type="dxa"/>
            <w:noWrap w:val="0"/>
            <w:vAlign w:val="center"/>
          </w:tcPr>
          <w:p w14:paraId="4440474C">
            <w:pPr>
              <w:contextualSpacing/>
              <w:jc w:val="center"/>
              <w:rPr>
                <w:rFonts w:ascii="Times New Roman" w:hAnsi="Times New Roman" w:eastAsia="宋体" w:cs="Times New Roman"/>
                <w:highlight w:val="none"/>
              </w:rPr>
            </w:pPr>
          </w:p>
        </w:tc>
        <w:tc>
          <w:tcPr>
            <w:tcW w:w="995" w:type="dxa"/>
            <w:noWrap w:val="0"/>
            <w:vAlign w:val="center"/>
          </w:tcPr>
          <w:p w14:paraId="58C82D62">
            <w:pPr>
              <w:contextualSpacing/>
              <w:jc w:val="center"/>
              <w:rPr>
                <w:rFonts w:ascii="Times New Roman" w:hAnsi="Times New Roman" w:eastAsia="宋体" w:cs="Times New Roman"/>
                <w:highlight w:val="none"/>
              </w:rPr>
            </w:pPr>
          </w:p>
        </w:tc>
      </w:tr>
    </w:tbl>
    <w:p w14:paraId="0DB1D7E7">
      <w:pPr>
        <w:widowControl w:val="0"/>
        <w:numPr>
          <w:ilvl w:val="0"/>
          <w:numId w:val="13"/>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货物具体配置详见附件1：</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配置清单</w:t>
      </w:r>
      <w:r>
        <w:rPr>
          <w:rFonts w:hint="eastAsia" w:ascii="Times New Roman" w:hAnsi="Times New Roman" w:eastAsia="宋体" w:cs="Times New Roman"/>
          <w:color w:val="000000"/>
          <w:kern w:val="2"/>
          <w:sz w:val="21"/>
          <w:szCs w:val="21"/>
          <w:highlight w:val="none"/>
          <w:lang w:val="en-US" w:eastAsia="zh-CN" w:bidi="ar-SA"/>
        </w:rPr>
        <w:t>》。</w:t>
      </w:r>
    </w:p>
    <w:p w14:paraId="166FFA7B">
      <w:pPr>
        <w:widowControl w:val="0"/>
        <w:numPr>
          <w:ilvl w:val="0"/>
          <w:numId w:val="13"/>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货物具体技术参数详见附件2：</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货物技术参数</w:t>
      </w:r>
      <w:r>
        <w:rPr>
          <w:rFonts w:hint="eastAsia" w:ascii="Times New Roman" w:hAnsi="Times New Roman" w:eastAsia="宋体" w:cs="Times New Roman"/>
          <w:color w:val="000000"/>
          <w:kern w:val="2"/>
          <w:sz w:val="21"/>
          <w:szCs w:val="21"/>
          <w:highlight w:val="none"/>
          <w:lang w:val="en-US" w:eastAsia="zh-CN" w:bidi="ar-SA"/>
        </w:rPr>
        <w:t>》。</w:t>
      </w:r>
    </w:p>
    <w:p w14:paraId="00A75E8A">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合同总价</w:t>
      </w:r>
    </w:p>
    <w:p w14:paraId="0234A447">
      <w:pPr>
        <w:widowControl w:val="0"/>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1.合同总价（含税）为人民币大写：*** 圆整，即RMB *** 元，该合同总价已包括货物设计、材料、制造、包装、运输、安装、调试、检测、验收合格交付使用之前及质保期内保修服务与备用物件等等所有其他有关各项的含税费用。</w:t>
      </w:r>
    </w:p>
    <w:p w14:paraId="230C5755">
      <w:pPr>
        <w:widowControl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2.本合同执行期间合同总价不变，甲方无须另向乙方支付本合同规定之外的其他任何费用。</w:t>
      </w:r>
    </w:p>
    <w:p w14:paraId="0919EDD3">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质量要求</w:t>
      </w:r>
    </w:p>
    <w:p w14:paraId="276043F9">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乙方须</w:t>
      </w:r>
      <w:r>
        <w:rPr>
          <w:rFonts w:hint="eastAsia" w:ascii="Times New Roman" w:hAnsi="Times New Roman" w:eastAsia="宋体" w:cs="Times New Roman"/>
          <w:kern w:val="2"/>
          <w:sz w:val="21"/>
          <w:szCs w:val="21"/>
          <w:highlight w:val="none"/>
          <w:lang w:val="en-US" w:eastAsia="zh-CN" w:bidi="ar-SA"/>
        </w:rPr>
        <w:t>保证向甲方提</w:t>
      </w:r>
      <w:r>
        <w:rPr>
          <w:rFonts w:ascii="Times New Roman" w:hAnsi="Times New Roman" w:eastAsia="宋体" w:cs="Times New Roman"/>
          <w:kern w:val="2"/>
          <w:sz w:val="21"/>
          <w:szCs w:val="21"/>
          <w:highlight w:val="none"/>
          <w:lang w:val="en-US" w:eastAsia="zh-CN" w:bidi="ar-SA"/>
        </w:rPr>
        <w:t>供的</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（含零部件、配件等）</w:t>
      </w:r>
      <w:r>
        <w:rPr>
          <w:rFonts w:hint="eastAsia" w:ascii="Times New Roman" w:hAnsi="Times New Roman" w:eastAsia="宋体" w:cs="Times New Roman"/>
          <w:kern w:val="2"/>
          <w:sz w:val="21"/>
          <w:szCs w:val="21"/>
          <w:highlight w:val="none"/>
          <w:lang w:val="en-US" w:eastAsia="zh-CN" w:bidi="ar-SA"/>
        </w:rPr>
        <w:t>是完整、全新的，并在性能、质量和设计方面满足安全、可靠和高效运行与方便维护的全部要求。</w:t>
      </w:r>
    </w:p>
    <w:p w14:paraId="53CEC949">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货物必须符合或优于国家（行业）标准，以及本项目采购文件的质量要求和技术指标与出厂标准。</w:t>
      </w:r>
    </w:p>
    <w:p w14:paraId="45FE57BF">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货物制造质量出现问题，乙方应负责按照第</w:t>
      </w:r>
      <w:r>
        <w:rPr>
          <w:rFonts w:hint="eastAsia" w:ascii="Times New Roman" w:hAnsi="Times New Roman" w:eastAsia="宋体" w:cs="Times New Roman"/>
          <w:kern w:val="2"/>
          <w:sz w:val="21"/>
          <w:szCs w:val="21"/>
          <w:highlight w:val="none"/>
          <w:lang w:val="en-US" w:eastAsia="zh-CN" w:bidi="ar-SA"/>
        </w:rPr>
        <w:t>十</w:t>
      </w:r>
      <w:r>
        <w:rPr>
          <w:rFonts w:ascii="Times New Roman" w:hAnsi="Times New Roman" w:eastAsia="宋体" w:cs="Times New Roman"/>
          <w:kern w:val="2"/>
          <w:sz w:val="21"/>
          <w:szCs w:val="21"/>
          <w:highlight w:val="none"/>
          <w:lang w:val="en-US" w:eastAsia="zh-CN" w:bidi="ar-SA"/>
        </w:rPr>
        <w:t>条承担责任，费用由乙方负担。</w:t>
      </w:r>
    </w:p>
    <w:p w14:paraId="16AF51DC">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如因货物质量问题导致甲方无法正常使用或影响使用效果，由此与患者发生纠纷而导致甲方赔偿，乙方对此承担全部责任。</w:t>
      </w:r>
    </w:p>
    <w:p w14:paraId="07076568">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甲方人员参与合同货物开箱、调试等行为均不免除乙方及厂家对合同货物质量所应负责任。</w:t>
      </w:r>
    </w:p>
    <w:p w14:paraId="725A3E31">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本合同采购的货物涉及成品软件的，乙方应保证以下内容（本合同另有约定除外）：</w:t>
      </w:r>
    </w:p>
    <w:p w14:paraId="218AB709">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本合同中提供给甲方的软件产品是其产品原厂发布的最新版本。</w:t>
      </w:r>
    </w:p>
    <w:p w14:paraId="0E606736">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负责软件功能的升级、维护和文档更新，不再收取任何费用。</w:t>
      </w:r>
    </w:p>
    <w:p w14:paraId="161C3F26">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本合同中提供给甲方的软件产品不存在定期密码输入等使用和功能上的限制。</w:t>
      </w:r>
    </w:p>
    <w:p w14:paraId="6D05C099">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本合同中提供给甲方的软件产品不得隐含任何恶意功能，包括但不限于病毒、蠕虫和特洛伊木马等程序；在未获甲方授权的情况下，不得通过软件收集和扩散任何甲方及其相关联单位的信息。</w:t>
      </w:r>
    </w:p>
    <w:p w14:paraId="30AE3E04">
      <w:pPr>
        <w:widowControl w:val="0"/>
        <w:numPr>
          <w:ilvl w:val="0"/>
          <w:numId w:val="1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本合同中提供给甲方的软件产品需要严格遵守相关网络信息安全规定。</w:t>
      </w:r>
    </w:p>
    <w:p w14:paraId="5A9B05BE">
      <w:pPr>
        <w:widowControl w:val="0"/>
        <w:numPr>
          <w:ilvl w:val="0"/>
          <w:numId w:val="1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若因乙方操作不当导致本合同中提供给甲方的软件产品及相关系统出现故障或数据遗失等情况，乙方应负责调试软件至正常使用状态并恢复数据，因此造成甲方损失的，乙方须承担相应的赔偿责任。</w:t>
      </w:r>
    </w:p>
    <w:p w14:paraId="10CF2F3D">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交付</w:t>
      </w:r>
    </w:p>
    <w:p w14:paraId="4641451A">
      <w:pPr>
        <w:widowControl w:val="0"/>
        <w:snapToGrid w:val="0"/>
        <w:ind w:firstLine="420" w:firstLineChars="20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w:t>
      </w:r>
      <w:r>
        <w:rPr>
          <w:rFonts w:ascii="Times New Roman" w:hAnsi="Times New Roman" w:eastAsia="宋体" w:cs="Times New Roman"/>
          <w:kern w:val="2"/>
          <w:sz w:val="21"/>
          <w:szCs w:val="21"/>
          <w:highlight w:val="none"/>
          <w:lang w:val="en-US" w:eastAsia="zh-CN" w:bidi="ar-SA"/>
        </w:rPr>
        <w:t>合同签订生效</w:t>
      </w:r>
      <w:r>
        <w:rPr>
          <w:rFonts w:hint="eastAsia" w:ascii="Times New Roman" w:hAnsi="Times New Roman" w:eastAsia="宋体" w:cs="Times New Roman"/>
          <w:kern w:val="2"/>
          <w:sz w:val="21"/>
          <w:szCs w:val="21"/>
          <w:highlight w:val="none"/>
          <w:lang w:val="en-US" w:eastAsia="zh-CN" w:bidi="ar-SA"/>
        </w:rPr>
        <w:t>后*</w:t>
      </w:r>
      <w:r>
        <w:rPr>
          <w:rFonts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2"/>
          <w:highlight w:val="none"/>
          <w:lang w:val="en-US" w:eastAsia="zh-CN" w:bidi="ar-SA"/>
        </w:rPr>
        <w:t>天</w:t>
      </w:r>
      <w:r>
        <w:rPr>
          <w:rFonts w:ascii="Times New Roman" w:hAnsi="Times New Roman" w:eastAsia="宋体" w:cs="Times New Roman"/>
          <w:kern w:val="2"/>
          <w:sz w:val="21"/>
          <w:szCs w:val="21"/>
          <w:highlight w:val="none"/>
          <w:lang w:val="en-US" w:eastAsia="zh-CN" w:bidi="ar-SA"/>
        </w:rPr>
        <w:t>内</w:t>
      </w:r>
      <w:r>
        <w:rPr>
          <w:rFonts w:hint="eastAsia" w:ascii="Times New Roman" w:hAnsi="Times New Roman" w:eastAsia="宋体" w:cs="Times New Roman"/>
          <w:kern w:val="2"/>
          <w:sz w:val="21"/>
          <w:szCs w:val="21"/>
          <w:highlight w:val="none"/>
          <w:lang w:val="en-US" w:eastAsia="zh-CN" w:bidi="ar-SA"/>
        </w:rPr>
        <w:t>由乙方在*</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向甲方交付本合同约定的全部货物，</w:t>
      </w:r>
      <w:r>
        <w:rPr>
          <w:rFonts w:ascii="Times New Roman" w:hAnsi="Times New Roman" w:eastAsia="宋体" w:cs="Times New Roman"/>
          <w:kern w:val="2"/>
          <w:sz w:val="21"/>
          <w:szCs w:val="21"/>
          <w:highlight w:val="none"/>
          <w:lang w:val="en-US" w:eastAsia="zh-CN" w:bidi="ar-SA"/>
        </w:rPr>
        <w:t>并于</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日内</w:t>
      </w:r>
      <w:r>
        <w:rPr>
          <w:rFonts w:ascii="Times New Roman" w:hAnsi="Times New Roman" w:eastAsia="宋体" w:cs="Times New Roman"/>
          <w:kern w:val="2"/>
          <w:sz w:val="21"/>
          <w:szCs w:val="21"/>
          <w:highlight w:val="none"/>
          <w:lang w:val="en-US" w:eastAsia="zh-CN" w:bidi="ar-SA"/>
        </w:rPr>
        <w:t>安装调试完毕</w:t>
      </w:r>
      <w:r>
        <w:rPr>
          <w:rFonts w:hint="eastAsia" w:ascii="Times New Roman" w:hAnsi="Times New Roman" w:eastAsia="宋体" w:cs="Times New Roman"/>
          <w:kern w:val="2"/>
          <w:sz w:val="21"/>
          <w:szCs w:val="21"/>
          <w:highlight w:val="none"/>
          <w:lang w:val="en-US" w:eastAsia="zh-CN" w:bidi="ar-SA"/>
        </w:rPr>
        <w:t>且具备验收条件。</w:t>
      </w:r>
      <w:r>
        <w:rPr>
          <w:rFonts w:ascii="Times New Roman" w:hAnsi="Times New Roman" w:eastAsia="宋体" w:cs="Times New Roman"/>
          <w:kern w:val="2"/>
          <w:sz w:val="21"/>
          <w:szCs w:val="21"/>
          <w:highlight w:val="none"/>
          <w:lang w:val="en-US" w:eastAsia="zh-CN" w:bidi="ar-SA"/>
        </w:rPr>
        <w:t>货物验收合格前，毁损灭失的风险由乙方承担。</w:t>
      </w:r>
    </w:p>
    <w:p w14:paraId="3314AEBC">
      <w:pPr>
        <w:widowControl w:val="0"/>
        <w:numPr>
          <w:ilvl w:val="0"/>
          <w:numId w:val="12"/>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验收</w:t>
      </w:r>
    </w:p>
    <w:p w14:paraId="73642304">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甲、乙双方确定，按照本合同约定的验收方案对乙方交付的</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进行验收。</w:t>
      </w:r>
    </w:p>
    <w:p w14:paraId="4CAAA210">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验收方案：</w:t>
      </w:r>
    </w:p>
    <w:p w14:paraId="555BEFED">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验收主体：甲方</w:t>
      </w:r>
    </w:p>
    <w:p w14:paraId="1B1B2EB1">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验收组织方式：自行验收</w:t>
      </w:r>
    </w:p>
    <w:p w14:paraId="4045E2DE">
      <w:pPr>
        <w:widowControl w:val="0"/>
        <w:numPr>
          <w:ilvl w:val="0"/>
          <w:numId w:val="17"/>
        </w:numPr>
        <w:snapToGrid w:val="0"/>
        <w:ind w:left="525" w:hanging="525" w:hangingChars="250"/>
        <w:contextualSpacing/>
        <w:jc w:val="both"/>
        <w:rPr>
          <w:rFonts w:ascii="Times New Roman" w:hAnsi="Times New Roman" w:eastAsia="宋体" w:cs="Times New Roman"/>
          <w:color w:val="333333"/>
          <w:kern w:val="0"/>
          <w:sz w:val="21"/>
          <w:szCs w:val="21"/>
          <w:highlight w:val="none"/>
          <w:shd w:val="clear" w:color="auto" w:fill="FFFFFF"/>
          <w:lang w:val="en-US" w:eastAsia="zh-CN" w:bidi="ar-SA"/>
        </w:rPr>
      </w:pPr>
      <w:r>
        <w:rPr>
          <w:rFonts w:ascii="Times New Roman" w:hAnsi="Times New Roman" w:eastAsia="宋体" w:cs="Times New Roman"/>
          <w:kern w:val="2"/>
          <w:sz w:val="21"/>
          <w:szCs w:val="22"/>
          <w:highlight w:val="none"/>
          <w:lang w:val="en-US" w:eastAsia="zh-CN" w:bidi="ar-SA"/>
        </w:rPr>
        <w:t>验收程序：</w:t>
      </w:r>
      <w:r>
        <w:rPr>
          <w:rFonts w:ascii="Calibri" w:hAnsi="Calibri" w:eastAsia="宋体" w:cs="Times New Roman"/>
          <w:kern w:val="2"/>
          <w:sz w:val="21"/>
          <w:szCs w:val="22"/>
          <w:highlight w:val="none"/>
          <w:lang w:val="en-US" w:eastAsia="zh-CN" w:bidi="ar-SA"/>
        </w:rPr>
        <w:sym w:font="Wingdings 2" w:char="F052"/>
      </w:r>
      <w:r>
        <w:rPr>
          <w:rFonts w:ascii="Times New Roman" w:hAnsi="Times New Roman" w:eastAsia="宋体" w:cs="Times New Roman"/>
          <w:kern w:val="0"/>
          <w:sz w:val="21"/>
          <w:szCs w:val="21"/>
          <w:highlight w:val="none"/>
          <w:shd w:val="clear" w:color="auto" w:fill="FFFFFF"/>
          <w:lang w:val="en-US" w:eastAsia="zh-CN" w:bidi="ar-SA"/>
        </w:rPr>
        <w:t xml:space="preserve">一次性验收   </w:t>
      </w:r>
      <w:r>
        <w:rPr>
          <w:rFonts w:ascii="Calibri" w:hAnsi="Calibri" w:eastAsia="宋体" w:cs="Times New Roman"/>
          <w:kern w:val="2"/>
          <w:sz w:val="21"/>
          <w:szCs w:val="22"/>
          <w:highlight w:val="none"/>
          <w:shd w:val="clear" w:color="auto" w:fill="FFFFFF"/>
          <w:lang w:val="en-US" w:eastAsia="zh-CN" w:bidi="ar-SA"/>
        </w:rPr>
        <w:sym w:font="Wingdings" w:char="F0A8"/>
      </w:r>
      <w:r>
        <w:rPr>
          <w:rFonts w:ascii="Times New Roman" w:hAnsi="Times New Roman" w:eastAsia="宋体" w:cs="Times New Roman"/>
          <w:kern w:val="0"/>
          <w:sz w:val="21"/>
          <w:szCs w:val="21"/>
          <w:highlight w:val="none"/>
          <w:shd w:val="clear" w:color="auto" w:fill="FFFFFF"/>
          <w:lang w:val="en-US" w:eastAsia="zh-CN" w:bidi="ar-SA"/>
        </w:rPr>
        <w:t>分段/分期验收</w:t>
      </w:r>
    </w:p>
    <w:p w14:paraId="30EE03B7">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验收方式：现场整体验收</w:t>
      </w:r>
    </w:p>
    <w:p w14:paraId="0531D701">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履约验收内容：</w:t>
      </w:r>
      <w:r>
        <w:rPr>
          <w:rFonts w:hint="eastAsia" w:ascii="Times New Roman" w:hAnsi="Times New Roman" w:eastAsia="宋体" w:cs="Times New Roman"/>
          <w:kern w:val="2"/>
          <w:sz w:val="21"/>
          <w:szCs w:val="22"/>
          <w:highlight w:val="none"/>
          <w:lang w:val="en-US" w:eastAsia="zh-CN" w:bidi="ar-SA"/>
        </w:rPr>
        <w:t>按照甲方</w:t>
      </w:r>
      <w:r>
        <w:rPr>
          <w:rFonts w:ascii="Times New Roman" w:hAnsi="Times New Roman" w:eastAsia="宋体" w:cs="Times New Roman"/>
          <w:kern w:val="2"/>
          <w:sz w:val="21"/>
          <w:szCs w:val="22"/>
          <w:highlight w:val="none"/>
          <w:lang w:val="en-US" w:eastAsia="zh-CN" w:bidi="ar-SA"/>
        </w:rPr>
        <w:t>采购文件要求及乙方响应文件情况，由乙方向甲方交付的全部内容。</w:t>
      </w:r>
    </w:p>
    <w:p w14:paraId="032B67EF">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履约验收时间：供应商完成本项目涉及的所有</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的安装、调试并具备验收条件后于5日内通知甲方验收，甲方接乙方通知后10日内组织验收。</w:t>
      </w:r>
    </w:p>
    <w:p w14:paraId="76C7D422">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是否邀请本项目的其他供应商：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7703E994">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是否邀请专家：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327954EF">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 xml:space="preserve">是否邀请服务对象： </w:t>
      </w:r>
      <w:r>
        <w:rPr>
          <w:rFonts w:ascii="Times New Roman" w:hAnsi="Times New Roman" w:eastAsia="宋体" w:cs="Times New Roman"/>
          <w:kern w:val="2"/>
          <w:sz w:val="21"/>
          <w:szCs w:val="22"/>
          <w:highlight w:val="none"/>
          <w:lang w:val="en-US" w:eastAsia="zh-CN" w:bidi="ar-SA"/>
        </w:rPr>
        <w:sym w:font="Wingdings" w:char="F0A8"/>
      </w:r>
      <w:r>
        <w:rPr>
          <w:rFonts w:ascii="Times New Roman" w:hAnsi="Times New Roman" w:eastAsia="宋体" w:cs="Times New Roman"/>
          <w:kern w:val="2"/>
          <w:sz w:val="21"/>
          <w:szCs w:val="22"/>
          <w:highlight w:val="none"/>
          <w:lang w:val="en-US" w:eastAsia="zh-CN" w:bidi="ar-SA"/>
        </w:rPr>
        <w:t xml:space="preserve">是   </w:t>
      </w:r>
      <w:r>
        <w:rPr>
          <w:rFonts w:ascii="Times New Roman" w:hAnsi="Times New Roman" w:eastAsia="宋体" w:cs="Times New Roman"/>
          <w:kern w:val="2"/>
          <w:sz w:val="21"/>
          <w:szCs w:val="22"/>
          <w:highlight w:val="none"/>
          <w:lang w:val="en-US" w:eastAsia="zh-CN" w:bidi="ar-SA"/>
        </w:rPr>
        <w:sym w:font="Wingdings 2" w:char="F052"/>
      </w:r>
      <w:r>
        <w:rPr>
          <w:rFonts w:ascii="Times New Roman" w:hAnsi="Times New Roman" w:eastAsia="宋体" w:cs="Times New Roman"/>
          <w:kern w:val="2"/>
          <w:sz w:val="21"/>
          <w:szCs w:val="22"/>
          <w:highlight w:val="none"/>
          <w:lang w:val="en-US" w:eastAsia="zh-CN" w:bidi="ar-SA"/>
        </w:rPr>
        <w:t>否</w:t>
      </w:r>
    </w:p>
    <w:p w14:paraId="42DCD9DC">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 xml:space="preserve">是否邀请第三方检测机构： </w:t>
      </w:r>
      <w:r>
        <w:rPr>
          <w:rFonts w:ascii="Times New Roman" w:hAnsi="Times New Roman" w:eastAsia="宋体" w:cs="Times New Roman"/>
          <w:kern w:val="2"/>
          <w:sz w:val="21"/>
          <w:szCs w:val="21"/>
          <w:highlight w:val="none"/>
          <w:lang w:val="en-US" w:eastAsia="zh-CN" w:bidi="ar-SA"/>
        </w:rPr>
        <w:sym w:font="Wingdings" w:char="F0A8"/>
      </w:r>
      <w:r>
        <w:rPr>
          <w:rFonts w:ascii="Times New Roman" w:hAnsi="Times New Roman" w:eastAsia="宋体" w:cs="Times New Roman"/>
          <w:kern w:val="2"/>
          <w:sz w:val="21"/>
          <w:szCs w:val="21"/>
          <w:highlight w:val="none"/>
          <w:lang w:val="en-US" w:eastAsia="zh-CN" w:bidi="ar-SA"/>
        </w:rPr>
        <w:t xml:space="preserve">是   </w:t>
      </w:r>
      <w:r>
        <w:rPr>
          <w:rFonts w:ascii="Times New Roman" w:hAnsi="Times New Roman" w:eastAsia="宋体" w:cs="Times New Roman"/>
          <w:kern w:val="2"/>
          <w:sz w:val="21"/>
          <w:szCs w:val="21"/>
          <w:highlight w:val="none"/>
          <w:lang w:val="en-US" w:eastAsia="zh-CN" w:bidi="ar-SA"/>
        </w:rPr>
        <w:sym w:font="Wingdings 2" w:char="F052"/>
      </w:r>
      <w:r>
        <w:rPr>
          <w:rFonts w:ascii="Times New Roman" w:hAnsi="Times New Roman" w:eastAsia="宋体" w:cs="Times New Roman"/>
          <w:kern w:val="2"/>
          <w:sz w:val="21"/>
          <w:szCs w:val="21"/>
          <w:highlight w:val="none"/>
          <w:lang w:val="en-US" w:eastAsia="zh-CN" w:bidi="ar-SA"/>
        </w:rPr>
        <w:t>否</w:t>
      </w:r>
    </w:p>
    <w:p w14:paraId="5C45ABC9">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验收标准：</w:t>
      </w:r>
    </w:p>
    <w:p w14:paraId="5AE9C260">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72E19548">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甲方采购文件相关技术、服务要求、乙方响应文件相关响应内容。</w:t>
      </w:r>
    </w:p>
    <w:p w14:paraId="2C9F1C69">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成交产品生产厂家出具的产品说明书、技术白皮书等技术资料（如涉及）。</w:t>
      </w:r>
    </w:p>
    <w:p w14:paraId="71878EA6">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如验收时，采购人与供应商认为本项目验收标准中的技术指标、质量要求等内容存在相互抵触或对其理解存在异议，应按照其中更严格的要求、标准等进行验收。</w:t>
      </w:r>
    </w:p>
    <w:p w14:paraId="43576142">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参照《财政部关于进一步加强政府采购需求和履约验收管理的指导意见》（财库〔2016〕205号）的要求进行验收。</w:t>
      </w:r>
    </w:p>
    <w:p w14:paraId="2DB8DEFB">
      <w:pPr>
        <w:widowControl w:val="0"/>
        <w:numPr>
          <w:ilvl w:val="0"/>
          <w:numId w:val="18"/>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其它标准：无。</w:t>
      </w:r>
    </w:p>
    <w:p w14:paraId="32E6B28B">
      <w:pPr>
        <w:widowControl w:val="0"/>
        <w:numPr>
          <w:ilvl w:val="0"/>
          <w:numId w:val="17"/>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履约验收其它事项：无。</w:t>
      </w:r>
      <w:r>
        <w:rPr>
          <w:rFonts w:ascii="Times New Roman" w:hAnsi="Times New Roman" w:eastAsia="宋体" w:cs="Times New Roman"/>
          <w:i/>
          <w:iCs/>
          <w:kern w:val="2"/>
          <w:sz w:val="21"/>
          <w:szCs w:val="22"/>
          <w:highlight w:val="none"/>
          <w:lang w:val="en-US" w:eastAsia="zh-CN" w:bidi="ar-SA"/>
        </w:rPr>
        <w:t>&lt;如有请填写&gt;</w:t>
      </w:r>
    </w:p>
    <w:p w14:paraId="55C1C5A8">
      <w:pPr>
        <w:widowControl w:val="0"/>
        <w:numPr>
          <w:ilvl w:val="0"/>
          <w:numId w:val="16"/>
        </w:numPr>
        <w:snapToGrid w:val="0"/>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乙方按照本合同向甲方交付的货物：</w:t>
      </w:r>
      <w:bookmarkStart w:id="97" w:name="OLE_LINK3"/>
      <w:r>
        <w:rPr>
          <w:rFonts w:hint="eastAsia" w:ascii="Times New Roman" w:hAnsi="Times New Roman" w:eastAsia="宋体" w:cs="Times New Roman"/>
          <w:i/>
          <w:iCs/>
          <w:color w:val="000000"/>
          <w:kern w:val="2"/>
          <w:sz w:val="21"/>
          <w:szCs w:val="21"/>
          <w:highlight w:val="none"/>
          <w:lang w:val="en-US" w:eastAsia="zh-CN" w:bidi="ar-SA"/>
        </w:rPr>
        <w:t>&lt;根据项目实际情况选择</w:t>
      </w:r>
      <w:bookmarkEnd w:id="97"/>
      <w:r>
        <w:rPr>
          <w:rFonts w:hint="eastAsia" w:ascii="Times New Roman" w:hAnsi="Times New Roman" w:eastAsia="宋体" w:cs="Times New Roman"/>
          <w:i/>
          <w:iCs/>
          <w:color w:val="000000"/>
          <w:kern w:val="2"/>
          <w:sz w:val="21"/>
          <w:szCs w:val="21"/>
          <w:highlight w:val="none"/>
          <w:lang w:val="en-US" w:eastAsia="zh-CN" w:bidi="ar-SA"/>
        </w:rPr>
        <w:t>&gt;</w:t>
      </w:r>
    </w:p>
    <w:p w14:paraId="253A3557">
      <w:pPr>
        <w:widowControl w:val="0"/>
        <w:snapToGrid w:val="0"/>
        <w:ind w:left="315" w:leftChars="150" w:firstLine="0" w:firstLineChars="0"/>
        <w:jc w:val="both"/>
        <w:rPr>
          <w:rFonts w:ascii="Times New Roman" w:hAnsi="Times New Roman" w:eastAsia="宋体" w:cs="Times New Roman"/>
          <w:kern w:val="2"/>
          <w:sz w:val="21"/>
          <w:szCs w:val="21"/>
          <w:highlight w:val="none"/>
          <w:u w:val="singl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A3"/>
      </w:r>
      <w:r>
        <w:rPr>
          <w:rFonts w:hint="eastAsia" w:ascii="Times New Roman" w:hAnsi="Times New Roman" w:eastAsia="宋体" w:cs="Times New Roman"/>
          <w:kern w:val="2"/>
          <w:sz w:val="21"/>
          <w:szCs w:val="21"/>
          <w:highlight w:val="none"/>
          <w:u w:val="single"/>
          <w:lang w:val="en-US" w:eastAsia="zh-CN" w:bidi="ar-SA"/>
        </w:rPr>
        <w:t>有试运行期</w:t>
      </w:r>
      <w:r>
        <w:rPr>
          <w:rFonts w:hint="eastAsia" w:ascii="Times New Roman" w:hAnsi="Times New Roman" w:eastAsia="宋体" w:cs="Times New Roman"/>
          <w:kern w:val="2"/>
          <w:sz w:val="21"/>
          <w:szCs w:val="21"/>
          <w:highlight w:val="none"/>
          <w:lang w:val="en-US" w:eastAsia="zh-CN" w:bidi="ar-SA"/>
        </w:rPr>
        <w:t>，试运行期为*</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试运行期间，如发现</w:t>
      </w:r>
      <w:r>
        <w:rPr>
          <w:rFonts w:hint="eastAsia" w:ascii="Times New Roman" w:hAnsi="Times New Roman" w:eastAsia="宋体" w:cs="Times New Roman"/>
          <w:kern w:val="2"/>
          <w:sz w:val="21"/>
          <w:szCs w:val="21"/>
          <w:highlight w:val="none"/>
          <w:lang w:val="en-US" w:eastAsia="zh-CN" w:bidi="ar-SA"/>
        </w:rPr>
        <w:t>货物有</w:t>
      </w:r>
      <w:r>
        <w:rPr>
          <w:rFonts w:ascii="Times New Roman" w:hAnsi="Times New Roman" w:eastAsia="宋体" w:cs="Times New Roman"/>
          <w:kern w:val="2"/>
          <w:sz w:val="21"/>
          <w:szCs w:val="21"/>
          <w:highlight w:val="none"/>
          <w:lang w:val="en-US" w:eastAsia="zh-CN" w:bidi="ar-SA"/>
        </w:rPr>
        <w:t>缺陷，或</w:t>
      </w:r>
      <w:r>
        <w:rPr>
          <w:rFonts w:hint="eastAsia" w:ascii="Times New Roman" w:hAnsi="Times New Roman" w:eastAsia="宋体" w:cs="Times New Roman"/>
          <w:kern w:val="2"/>
          <w:sz w:val="21"/>
          <w:szCs w:val="21"/>
          <w:highlight w:val="none"/>
          <w:lang w:val="en-US" w:eastAsia="zh-CN" w:bidi="ar-SA"/>
        </w:rPr>
        <w:t>性能和</w:t>
      </w:r>
      <w:r>
        <w:rPr>
          <w:rFonts w:ascii="Times New Roman" w:hAnsi="Times New Roman" w:eastAsia="宋体" w:cs="Times New Roman"/>
          <w:kern w:val="2"/>
          <w:sz w:val="21"/>
          <w:szCs w:val="21"/>
          <w:highlight w:val="none"/>
          <w:lang w:val="en-US" w:eastAsia="zh-CN" w:bidi="ar-SA"/>
        </w:rPr>
        <w:t>质量不</w:t>
      </w:r>
      <w:r>
        <w:rPr>
          <w:rFonts w:hint="eastAsia" w:ascii="Times New Roman" w:hAnsi="Times New Roman" w:eastAsia="宋体" w:cs="Times New Roman"/>
          <w:kern w:val="2"/>
          <w:sz w:val="21"/>
          <w:szCs w:val="21"/>
          <w:highlight w:val="none"/>
          <w:lang w:val="en-US" w:eastAsia="zh-CN" w:bidi="ar-SA"/>
        </w:rPr>
        <w:t>符合本项目</w:t>
      </w:r>
      <w:r>
        <w:rPr>
          <w:rFonts w:ascii="Times New Roman" w:hAnsi="Times New Roman" w:eastAsia="宋体" w:cs="Times New Roman"/>
          <w:kern w:val="2"/>
          <w:sz w:val="21"/>
          <w:szCs w:val="21"/>
          <w:highlight w:val="none"/>
          <w:lang w:val="en-US" w:eastAsia="zh-CN" w:bidi="ar-SA"/>
        </w:rPr>
        <w:t>要求</w:t>
      </w:r>
      <w:r>
        <w:rPr>
          <w:rFonts w:hint="eastAsia" w:ascii="Times New Roman" w:hAnsi="Times New Roman" w:eastAsia="宋体" w:cs="Times New Roman"/>
          <w:kern w:val="2"/>
          <w:sz w:val="21"/>
          <w:szCs w:val="21"/>
          <w:highlight w:val="none"/>
          <w:lang w:val="en-US" w:eastAsia="zh-CN" w:bidi="ar-SA"/>
        </w:rPr>
        <w:t>时</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乙方须对相关货物进行更换和相应处理，同时试运行期时限按照上述修改、更正期进行相应顺延。</w:t>
      </w:r>
    </w:p>
    <w:p w14:paraId="625DD03D">
      <w:pPr>
        <w:widowControl w:val="0"/>
        <w:snapToGrid w:val="0"/>
        <w:ind w:left="315" w:leftChars="15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52"/>
      </w:r>
      <w:r>
        <w:rPr>
          <w:rFonts w:hint="eastAsia" w:ascii="Times New Roman" w:hAnsi="Times New Roman" w:eastAsia="宋体" w:cs="Times New Roman"/>
          <w:kern w:val="2"/>
          <w:sz w:val="21"/>
          <w:szCs w:val="21"/>
          <w:highlight w:val="none"/>
          <w:u w:val="single"/>
          <w:lang w:val="en-US" w:eastAsia="zh-CN" w:bidi="ar-SA"/>
        </w:rPr>
        <w:t>无试运行期</w:t>
      </w:r>
    </w:p>
    <w:p w14:paraId="48A7A46F">
      <w:pPr>
        <w:widowControl w:val="0"/>
        <w:numPr>
          <w:ilvl w:val="0"/>
          <w:numId w:val="16"/>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若验收交付内容涉及试运行的，经试运行达到设计使用要求、技术质量标准并经甲方认可后视为验收通过。</w:t>
      </w:r>
    </w:p>
    <w:p w14:paraId="60DAF8EF">
      <w:pPr>
        <w:widowControl w:val="0"/>
        <w:numPr>
          <w:ilvl w:val="0"/>
          <w:numId w:val="16"/>
        </w:numPr>
        <w:snapToGrid w:val="0"/>
        <w:ind w:left="420" w:hanging="420" w:firstLineChars="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w:t>
      </w:r>
      <w:r>
        <w:rPr>
          <w:rFonts w:hint="eastAsia" w:ascii="Times New Roman" w:hAnsi="Times New Roman" w:eastAsia="宋体" w:cs="Times New Roman"/>
          <w:kern w:val="2"/>
          <w:sz w:val="21"/>
          <w:szCs w:val="21"/>
          <w:highlight w:val="none"/>
          <w:lang w:val="en-US" w:eastAsia="zh-CN" w:bidi="ar-SA"/>
        </w:rPr>
        <w:t>验收不合格</w:t>
      </w:r>
      <w:r>
        <w:rPr>
          <w:rFonts w:ascii="Times New Roman" w:hAnsi="Times New Roman" w:eastAsia="宋体" w:cs="Times New Roman"/>
          <w:kern w:val="2"/>
          <w:sz w:val="21"/>
          <w:szCs w:val="21"/>
          <w:highlight w:val="none"/>
          <w:lang w:val="en-US" w:eastAsia="zh-CN" w:bidi="ar-SA"/>
        </w:rPr>
        <w:t>，甲方应</w:t>
      </w:r>
      <w:r>
        <w:rPr>
          <w:rFonts w:hint="eastAsia" w:ascii="Times New Roman" w:hAnsi="Times New Roman" w:eastAsia="宋体" w:cs="Times New Roman"/>
          <w:kern w:val="2"/>
          <w:sz w:val="21"/>
          <w:szCs w:val="21"/>
          <w:highlight w:val="none"/>
          <w:lang w:val="en-US" w:eastAsia="zh-CN" w:bidi="ar-SA"/>
        </w:rPr>
        <w:t>进行</w:t>
      </w:r>
      <w:r>
        <w:rPr>
          <w:rFonts w:ascii="Times New Roman" w:hAnsi="Times New Roman" w:eastAsia="宋体" w:cs="Times New Roman"/>
          <w:kern w:val="2"/>
          <w:sz w:val="21"/>
          <w:szCs w:val="21"/>
          <w:highlight w:val="none"/>
          <w:lang w:val="en-US" w:eastAsia="zh-CN" w:bidi="ar-SA"/>
        </w:rPr>
        <w:t>详尽的</w:t>
      </w:r>
      <w:r>
        <w:rPr>
          <w:rFonts w:hint="eastAsia" w:ascii="Times New Roman" w:hAnsi="Times New Roman" w:eastAsia="宋体" w:cs="Times New Roman"/>
          <w:kern w:val="2"/>
          <w:sz w:val="21"/>
          <w:szCs w:val="21"/>
          <w:highlight w:val="none"/>
          <w:lang w:val="en-US" w:eastAsia="zh-CN" w:bidi="ar-SA"/>
        </w:rPr>
        <w:t>现场</w:t>
      </w:r>
      <w:r>
        <w:rPr>
          <w:rFonts w:ascii="Times New Roman" w:hAnsi="Times New Roman" w:eastAsia="宋体" w:cs="Times New Roman"/>
          <w:kern w:val="2"/>
          <w:sz w:val="21"/>
          <w:szCs w:val="21"/>
          <w:highlight w:val="none"/>
          <w:lang w:val="en-US" w:eastAsia="zh-CN" w:bidi="ar-SA"/>
        </w:rPr>
        <w:t>记录，或由甲乙双方签署备忘录，此现场记录或备忘录可用作</w:t>
      </w:r>
      <w:r>
        <w:rPr>
          <w:rFonts w:hint="eastAsia" w:ascii="Times New Roman" w:hAnsi="Times New Roman" w:eastAsia="宋体" w:cs="Times New Roman"/>
          <w:kern w:val="2"/>
          <w:sz w:val="21"/>
          <w:szCs w:val="21"/>
          <w:highlight w:val="none"/>
          <w:lang w:val="en-US" w:eastAsia="zh-CN" w:bidi="ar-SA"/>
        </w:rPr>
        <w:t>修改和更正相关问题</w:t>
      </w:r>
      <w:r>
        <w:rPr>
          <w:rFonts w:ascii="Times New Roman" w:hAnsi="Times New Roman" w:eastAsia="宋体" w:cs="Times New Roman"/>
          <w:kern w:val="2"/>
          <w:sz w:val="21"/>
          <w:szCs w:val="21"/>
          <w:highlight w:val="none"/>
          <w:lang w:val="en-US" w:eastAsia="zh-CN" w:bidi="ar-SA"/>
        </w:rPr>
        <w:t>的有效证据，由此产生的时间延误与</w:t>
      </w:r>
      <w:r>
        <w:rPr>
          <w:rFonts w:hint="eastAsia" w:ascii="Times New Roman" w:hAnsi="Times New Roman" w:eastAsia="宋体" w:cs="Times New Roman"/>
          <w:kern w:val="2"/>
          <w:sz w:val="21"/>
          <w:szCs w:val="21"/>
          <w:highlight w:val="none"/>
          <w:lang w:val="en-US" w:eastAsia="zh-CN" w:bidi="ar-SA"/>
        </w:rPr>
        <w:t>经济损失</w:t>
      </w:r>
      <w:r>
        <w:rPr>
          <w:rFonts w:ascii="Times New Roman" w:hAnsi="Times New Roman" w:eastAsia="宋体" w:cs="Times New Roman"/>
          <w:kern w:val="2"/>
          <w:sz w:val="21"/>
          <w:szCs w:val="21"/>
          <w:highlight w:val="none"/>
          <w:lang w:val="en-US" w:eastAsia="zh-CN" w:bidi="ar-SA"/>
        </w:rPr>
        <w:t>由乙方承担，验收期限相应顺延</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甲方有权拒绝签署验收报告，</w:t>
      </w:r>
      <w:r>
        <w:rPr>
          <w:rFonts w:hint="eastAsia" w:ascii="Times New Roman" w:hAnsi="Times New Roman" w:eastAsia="宋体" w:cs="Times New Roman"/>
          <w:kern w:val="2"/>
          <w:sz w:val="21"/>
          <w:szCs w:val="21"/>
          <w:highlight w:val="none"/>
          <w:lang w:val="en-US" w:eastAsia="zh-CN" w:bidi="ar-SA"/>
        </w:rPr>
        <w:t>并</w:t>
      </w:r>
      <w:r>
        <w:rPr>
          <w:rFonts w:ascii="Times New Roman" w:hAnsi="Times New Roman" w:eastAsia="宋体" w:cs="Times New Roman"/>
          <w:kern w:val="2"/>
          <w:sz w:val="21"/>
          <w:szCs w:val="21"/>
          <w:highlight w:val="none"/>
          <w:lang w:val="en-US" w:eastAsia="zh-CN" w:bidi="ar-SA"/>
        </w:rPr>
        <w:t>要求乙方无条件</w:t>
      </w:r>
      <w:r>
        <w:rPr>
          <w:rFonts w:hint="eastAsia" w:ascii="Times New Roman" w:hAnsi="Times New Roman" w:eastAsia="宋体" w:cs="Times New Roman"/>
          <w:kern w:val="2"/>
          <w:sz w:val="21"/>
          <w:szCs w:val="21"/>
          <w:highlight w:val="none"/>
          <w:lang w:val="en-US" w:eastAsia="zh-CN" w:bidi="ar-SA"/>
        </w:rPr>
        <w:t>修改和更正</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而后进行再次验收，乙方应承担因此额外产生的全部费用。如果仍不合格，甲方有权终止本合同并视作乙方不能交付而须支付合同总价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违约金给甲方，违约金不能弥补甲方损失的，乙方应全额赔偿。</w:t>
      </w:r>
    </w:p>
    <w:p w14:paraId="469D21D9">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主体资格及知识产权</w:t>
      </w:r>
    </w:p>
    <w:p w14:paraId="433AF5CC">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主体资格：</w:t>
      </w:r>
    </w:p>
    <w:p w14:paraId="1475208A">
      <w:pPr>
        <w:snapToGrid w:val="0"/>
        <w:ind w:firstLine="420" w:firstLineChars="200"/>
        <w:rPr>
          <w:rFonts w:ascii="Times New Roman" w:hAnsi="Times New Roman" w:eastAsia="宋体" w:cs="Times New Roman"/>
          <w:szCs w:val="21"/>
          <w:highlight w:val="none"/>
        </w:rPr>
      </w:pPr>
      <w:r>
        <w:rPr>
          <w:rFonts w:ascii="Times New Roman" w:hAnsi="Times New Roman" w:eastAsia="宋体" w:cs="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375D3C5">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知识产权：</w:t>
      </w:r>
    </w:p>
    <w:p w14:paraId="6F115CA5">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乙方必须保证，甲方在中华人民共和国境内使用货物或者货物的某一部分时，如有第三方向甲方提出侵犯其专利权、商标权或其他知识产权的主张，由此造成的一切责任由乙方承担。</w:t>
      </w:r>
    </w:p>
    <w:p w14:paraId="1883B71C">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本合同费用包含向所有权人支付的专利权、商标权或其他知识产权的有关费用及税费。</w:t>
      </w:r>
    </w:p>
    <w:p w14:paraId="45291EA4">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乙方承诺</w:t>
      </w:r>
      <w:r>
        <w:rPr>
          <w:rFonts w:hint="eastAsia" w:ascii="Times New Roman" w:hAnsi="Times New Roman" w:eastAsia="宋体" w:cs="Times New Roman"/>
          <w:kern w:val="2"/>
          <w:sz w:val="21"/>
          <w:szCs w:val="21"/>
          <w:highlight w:val="none"/>
          <w:lang w:val="en-US" w:eastAsia="zh-CN" w:bidi="ar-SA"/>
        </w:rPr>
        <w:t>向甲方提供的</w:t>
      </w:r>
      <w:r>
        <w:rPr>
          <w:rFonts w:ascii="Times New Roman" w:hAnsi="Times New Roman" w:eastAsia="宋体" w:cs="Times New Roman"/>
          <w:kern w:val="2"/>
          <w:sz w:val="21"/>
          <w:szCs w:val="21"/>
          <w:highlight w:val="none"/>
          <w:lang w:val="en-US" w:eastAsia="zh-CN" w:bidi="ar-SA"/>
        </w:rPr>
        <w:t>货物上安装的软件已获得软件厂商的正规授权。</w:t>
      </w:r>
    </w:p>
    <w:p w14:paraId="7A773818">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甲、乙双方共同研发的该系统软件产品，知识产权归甲、乙双方共同拥有，软件所有数据归甲方所有</w:t>
      </w:r>
    </w:p>
    <w:p w14:paraId="6C16ECB4">
      <w:pPr>
        <w:widowControl w:val="0"/>
        <w:numPr>
          <w:ilvl w:val="0"/>
          <w:numId w:val="20"/>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1A9473AC">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付款方式</w:t>
      </w:r>
    </w:p>
    <w:p w14:paraId="00BFDF54">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履约保证金：</w:t>
      </w:r>
    </w:p>
    <w:p w14:paraId="1C2380D9">
      <w:pPr>
        <w:widowControl w:val="0"/>
        <w:snapToGrid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乙方在合同签订生效之日起的***个工作日内，按合同总价***%支付履约保证金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货物自验收合格之日满1年，甲方接到乙方付款申请后30个工作日内，甲方一次性无息退还乙方的履约保证金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经验收</w:t>
      </w:r>
      <w:r>
        <w:rPr>
          <w:rFonts w:hint="eastAsia" w:ascii="Times New Roman" w:hAnsi="Times New Roman" w:eastAsia="宋体" w:cs="Times New Roman"/>
          <w:color w:val="000000"/>
          <w:kern w:val="2"/>
          <w:sz w:val="21"/>
          <w:szCs w:val="21"/>
          <w:highlight w:val="none"/>
          <w:lang w:val="en-US" w:eastAsia="zh-CN" w:bidi="ar-SA"/>
        </w:rPr>
        <w:t>后</w:t>
      </w:r>
      <w:r>
        <w:rPr>
          <w:rFonts w:ascii="Times New Roman" w:hAnsi="Times New Roman" w:eastAsia="宋体" w:cs="Times New Roman"/>
          <w:color w:val="000000"/>
          <w:kern w:val="2"/>
          <w:sz w:val="21"/>
          <w:szCs w:val="21"/>
          <w:highlight w:val="none"/>
          <w:lang w:val="en-US" w:eastAsia="zh-CN" w:bidi="ar-SA"/>
        </w:rPr>
        <w:t>乙方履约不合格的，履约保证金不予退还。</w:t>
      </w:r>
    </w:p>
    <w:p w14:paraId="5E3BE3D7">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本合同不涉及履约保证金。</w:t>
      </w:r>
    </w:p>
    <w:p w14:paraId="34B0A44B">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本合同价款采用以下方式支付，以人民币结算：</w:t>
      </w:r>
    </w:p>
    <w:p w14:paraId="5E11156C">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一次性支付：</w:t>
      </w:r>
    </w:p>
    <w:p w14:paraId="7C0D0C14">
      <w:pPr>
        <w:widowControl w:val="0"/>
        <w:snapToGrid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甲方验收合格后</w:t>
      </w:r>
      <w:r>
        <w:rPr>
          <w:rFonts w:ascii="Times New Roman" w:hAnsi="Times New Roman" w:eastAsia="宋体" w:cs="Times New Roman"/>
          <w:color w:val="000000"/>
          <w:kern w:val="2"/>
          <w:sz w:val="21"/>
          <w:szCs w:val="21"/>
          <w:highlight w:val="none"/>
          <w:lang w:val="en-US" w:eastAsia="zh-CN" w:bidi="ar-SA"/>
        </w:rPr>
        <w:t>5</w:t>
      </w:r>
      <w:r>
        <w:rPr>
          <w:rFonts w:hint="eastAsia" w:ascii="Times New Roman" w:hAnsi="Times New Roman" w:eastAsia="宋体" w:cs="Times New Roman"/>
          <w:color w:val="000000"/>
          <w:kern w:val="2"/>
          <w:sz w:val="21"/>
          <w:szCs w:val="21"/>
          <w:highlight w:val="none"/>
          <w:lang w:val="en-US" w:eastAsia="zh-CN" w:bidi="ar-SA"/>
        </w:rPr>
        <w:t>日内，乙方须向甲方出具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color w:val="000000"/>
          <w:kern w:val="2"/>
          <w:sz w:val="21"/>
          <w:szCs w:val="21"/>
          <w:highlight w:val="none"/>
          <w:lang w:val="en-US" w:eastAsia="zh-CN" w:bidi="ar-SA"/>
        </w:rPr>
        <w:t>，甲方自收到上述发票及凭证资料后</w:t>
      </w:r>
      <w:r>
        <w:rPr>
          <w:rFonts w:ascii="Times New Roman" w:hAnsi="Times New Roman" w:eastAsia="宋体" w:cs="Times New Roman"/>
          <w:color w:val="000000"/>
          <w:kern w:val="2"/>
          <w:sz w:val="21"/>
          <w:szCs w:val="21"/>
          <w:highlight w:val="none"/>
          <w:lang w:val="en-US" w:eastAsia="zh-CN" w:bidi="ar-SA"/>
        </w:rPr>
        <w:t>55</w:t>
      </w:r>
      <w:r>
        <w:rPr>
          <w:rFonts w:hint="eastAsia" w:ascii="Times New Roman" w:hAnsi="Times New Roman" w:eastAsia="宋体" w:cs="Times New Roman"/>
          <w:color w:val="000000"/>
          <w:kern w:val="2"/>
          <w:sz w:val="21"/>
          <w:szCs w:val="21"/>
          <w:highlight w:val="none"/>
          <w:lang w:val="en-US" w:eastAsia="zh-CN" w:bidi="ar-SA"/>
        </w:rPr>
        <w:t>日内支付合同总价</w:t>
      </w:r>
      <w:r>
        <w:rPr>
          <w:rFonts w:ascii="Times New Roman" w:hAnsi="Times New Roman" w:eastAsia="宋体" w:cs="Times New Roman"/>
          <w:color w:val="000000"/>
          <w:kern w:val="2"/>
          <w:sz w:val="21"/>
          <w:szCs w:val="21"/>
          <w:highlight w:val="none"/>
          <w:lang w:val="en-US" w:eastAsia="zh-CN" w:bidi="ar-SA"/>
        </w:rPr>
        <w:t>100%</w:t>
      </w:r>
      <w:r>
        <w:rPr>
          <w:rFonts w:hint="eastAsia" w:ascii="Times New Roman" w:hAnsi="Times New Roman" w:eastAsia="宋体" w:cs="Times New Roman"/>
          <w:color w:val="000000"/>
          <w:kern w:val="2"/>
          <w:sz w:val="21"/>
          <w:szCs w:val="21"/>
          <w:highlight w:val="none"/>
          <w:lang w:val="en-US" w:eastAsia="zh-CN" w:bidi="ar-SA"/>
        </w:rPr>
        <w:t>的货款给乙方。</w:t>
      </w:r>
    </w:p>
    <w:p w14:paraId="09A3FE78">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分阶段支付，支付期限及额度如下：</w:t>
      </w:r>
    </w:p>
    <w:p w14:paraId="5922E344">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（1）预付款：本合同生效后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个工作日内，甲方预付项目费用总额的*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 xml:space="preserve">，即人民币（大写）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29BBF830">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（2）进度款，甲方应当按照下列方式支付进度款：</w:t>
      </w:r>
    </w:p>
    <w:p w14:paraId="78361853">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个工作日内，向乙方支付相应的费用。</w:t>
      </w:r>
    </w:p>
    <w:p w14:paraId="096A8DBB">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乙方完成</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，甲方支付项目费用总额的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，即 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343C7BA7">
      <w:pPr>
        <w:widowControl w:val="0"/>
        <w:snapToGrid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（3）结算款：本项目竣工验收合格后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个工作日内，甲方向乙方支付剩余价款人民币（大写）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圆整（RMB</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 元）。</w:t>
      </w:r>
    </w:p>
    <w:p w14:paraId="3F9C3CEC">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甲方付款前，乙方需出具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kern w:val="2"/>
          <w:sz w:val="21"/>
          <w:szCs w:val="21"/>
          <w:highlight w:val="none"/>
          <w:lang w:val="en-US" w:eastAsia="zh-CN" w:bidi="ar-SA"/>
        </w:rPr>
        <w:t>，否则甲方有权拒绝支付且不承担任何违约责任，且乙方不得因此停止履约。</w:t>
      </w:r>
    </w:p>
    <w:p w14:paraId="49FD0ABF">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w:t>
      </w:r>
      <w:r>
        <w:rPr>
          <w:rFonts w:hint="eastAsia" w:ascii="Times New Roman" w:hAnsi="Times New Roman" w:eastAsia="宋体" w:cs="Times New Roman"/>
          <w:kern w:val="2"/>
          <w:sz w:val="21"/>
          <w:szCs w:val="21"/>
          <w:highlight w:val="none"/>
          <w:lang w:val="en-US" w:eastAsia="zh-CN" w:bidi="ar-SA"/>
        </w:rPr>
        <w:t>中的货物</w:t>
      </w:r>
      <w:r>
        <w:rPr>
          <w:rFonts w:ascii="Times New Roman" w:hAnsi="Times New Roman" w:eastAsia="宋体" w:cs="Times New Roman"/>
          <w:kern w:val="2"/>
          <w:sz w:val="21"/>
          <w:szCs w:val="21"/>
          <w:highlight w:val="none"/>
          <w:lang w:val="en-US" w:eastAsia="zh-CN" w:bidi="ar-SA"/>
        </w:rPr>
        <w:t>名称与</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中</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名称</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一致。</w:t>
      </w:r>
    </w:p>
    <w:p w14:paraId="06F68A96">
      <w:pPr>
        <w:widowControl w:val="0"/>
        <w:numPr>
          <w:ilvl w:val="0"/>
          <w:numId w:val="21"/>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如有变更，乙方应当在变更后3日内通知甲方</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否则，由此造成的损失由乙方自行承担。</w:t>
      </w:r>
    </w:p>
    <w:p w14:paraId="1B64CCAE">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售后服务</w:t>
      </w:r>
    </w:p>
    <w:p w14:paraId="7CA36FAC">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乙方应对甲方工作人员进行培训：***</w:t>
      </w:r>
      <w:r>
        <w:rPr>
          <w:rFonts w:hint="eastAsia" w:ascii="Times New Roman" w:hAnsi="Times New Roman" w:eastAsia="宋体" w:cs="Times New Roman"/>
          <w:i/>
          <w:iCs/>
          <w:kern w:val="2"/>
          <w:sz w:val="21"/>
          <w:szCs w:val="21"/>
          <w:highlight w:val="none"/>
          <w:lang w:val="en-US" w:eastAsia="zh-CN" w:bidi="ar-SA"/>
        </w:rPr>
        <w:t>&lt;具体培训内容</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&gt;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货物</w:t>
      </w:r>
      <w:r>
        <w:rPr>
          <w:rFonts w:hint="eastAsia" w:ascii="Times New Roman" w:hAnsi="Times New Roman" w:eastAsia="宋体" w:cs="Times New Roman"/>
          <w:kern w:val="2"/>
          <w:sz w:val="21"/>
          <w:szCs w:val="21"/>
          <w:highlight w:val="none"/>
          <w:lang w:val="en-US" w:eastAsia="zh-CN" w:bidi="ar-SA"/>
        </w:rPr>
        <w:t>如需</w:t>
      </w:r>
      <w:r>
        <w:rPr>
          <w:rFonts w:ascii="Times New Roman" w:hAnsi="Times New Roman" w:eastAsia="宋体" w:cs="Times New Roman"/>
          <w:kern w:val="2"/>
          <w:sz w:val="21"/>
          <w:szCs w:val="21"/>
          <w:highlight w:val="none"/>
          <w:lang w:val="en-US" w:eastAsia="zh-CN" w:bidi="ar-SA"/>
        </w:rPr>
        <w:t>安装调试</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乙方应在安装调试前和安装调试中对甲方有关人员进行技术培训（操作、机械、电器维修等），提供成套培训资料。并保证甲方受训技术人员熟练掌握操作</w:t>
      </w:r>
      <w:r>
        <w:rPr>
          <w:rFonts w:hint="eastAsia" w:ascii="Times New Roman" w:hAnsi="Times New Roman" w:eastAsia="宋体" w:cs="Times New Roman"/>
          <w:kern w:val="2"/>
          <w:sz w:val="21"/>
          <w:szCs w:val="21"/>
          <w:highlight w:val="none"/>
          <w:lang w:val="en-US" w:eastAsia="zh-CN" w:bidi="ar-SA"/>
        </w:rPr>
        <w:t>方法</w:t>
      </w:r>
      <w:r>
        <w:rPr>
          <w:rFonts w:ascii="Times New Roman" w:hAnsi="Times New Roman" w:eastAsia="宋体" w:cs="Times New Roman"/>
          <w:kern w:val="2"/>
          <w:sz w:val="21"/>
          <w:szCs w:val="21"/>
          <w:highlight w:val="none"/>
          <w:lang w:val="en-US" w:eastAsia="zh-CN" w:bidi="ar-SA"/>
        </w:rPr>
        <w:t>，保证正常运行并能排除一般</w:t>
      </w:r>
      <w:r>
        <w:rPr>
          <w:rFonts w:hint="eastAsia" w:ascii="Times New Roman" w:hAnsi="Times New Roman" w:eastAsia="宋体" w:cs="Times New Roman"/>
          <w:kern w:val="2"/>
          <w:sz w:val="21"/>
          <w:szCs w:val="21"/>
          <w:highlight w:val="none"/>
          <w:lang w:val="en-US" w:eastAsia="zh-CN" w:bidi="ar-SA"/>
        </w:rPr>
        <w:t>性</w:t>
      </w:r>
      <w:r>
        <w:rPr>
          <w:rFonts w:ascii="Times New Roman" w:hAnsi="Times New Roman" w:eastAsia="宋体" w:cs="Times New Roman"/>
          <w:kern w:val="2"/>
          <w:sz w:val="21"/>
          <w:szCs w:val="21"/>
          <w:highlight w:val="none"/>
          <w:lang w:val="en-US" w:eastAsia="zh-CN" w:bidi="ar-SA"/>
        </w:rPr>
        <w:t>故障。乙方应对</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维修工程师进行全系统维修培训。</w:t>
      </w:r>
    </w:p>
    <w:p w14:paraId="4B60C4DD">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质保期为验收合格后 *** 年（合同签订后甲方出具验收报告之日起）</w:t>
      </w:r>
    </w:p>
    <w:p w14:paraId="25D96582">
      <w:pPr>
        <w:widowControl w:val="0"/>
        <w:numPr>
          <w:ilvl w:val="0"/>
          <w:numId w:val="22"/>
        </w:numPr>
        <w:snapToGrid w:val="0"/>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质保范围：</w:t>
      </w:r>
      <w:r>
        <w:rPr>
          <w:rFonts w:ascii="Times New Roman" w:hAnsi="Times New Roman" w:eastAsia="宋体" w:cs="Times New Roman"/>
          <w:kern w:val="2"/>
          <w:sz w:val="21"/>
          <w:szCs w:val="22"/>
          <w:highlight w:val="none"/>
          <w:lang w:val="en-US" w:eastAsia="zh-CN" w:bidi="ar-SA"/>
        </w:rPr>
        <w:t>整机含所有部件（质保期内涉及维修,产品更换,人工费用等一切费用包含在本合同总价中</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质保期内出现质量问题，乙方在接到甲方通知后***小时内响应，***小时内到场维修。不涉及零件更换的，***小时内完成维修；涉及零件更换的，***小时内完成维修或者更换，并承担修理及更换的费用。如</w:t>
      </w:r>
      <w:r>
        <w:rPr>
          <w:rFonts w:hint="eastAsia" w:ascii="Calibri" w:hAnsi="Calibri" w:eastAsia="Songti SC" w:cs="Times New Roman"/>
          <w:kern w:val="2"/>
          <w:sz w:val="21"/>
          <w:szCs w:val="22"/>
          <w:highlight w:val="none"/>
          <w:lang w:val="en-US" w:eastAsia="zh-CN" w:bidi="ar-SA"/>
        </w:rPr>
        <w:t>货物</w:t>
      </w:r>
      <w:r>
        <w:rPr>
          <w:rFonts w:ascii="Calibri" w:hAnsi="Calibri" w:eastAsia="Songti SC" w:cs="Times New Roman"/>
          <w:kern w:val="2"/>
          <w:sz w:val="21"/>
          <w:szCs w:val="22"/>
          <w:highlight w:val="none"/>
          <w:lang w:val="en-US" w:eastAsia="zh-CN" w:bidi="ar-SA"/>
        </w:rPr>
        <w:t>在质保期内因同一故障</w:t>
      </w:r>
      <w:r>
        <w:rPr>
          <w:rFonts w:ascii="Times New Roman" w:hAnsi="Times New Roman" w:eastAsia="宋体" w:cs="Times New Roman"/>
          <w:kern w:val="2"/>
          <w:sz w:val="21"/>
          <w:szCs w:val="21"/>
          <w:highlight w:val="none"/>
          <w:lang w:val="en-US" w:eastAsia="zh-CN" w:bidi="ar-SA"/>
        </w:rPr>
        <w:t>经乙方两次维修仍不能达到本合同约定的</w:t>
      </w:r>
      <w:r>
        <w:rPr>
          <w:rFonts w:hint="eastAsia" w:ascii="Times New Roman" w:hAnsi="Times New Roman" w:eastAsia="宋体" w:cs="Times New Roman"/>
          <w:kern w:val="2"/>
          <w:sz w:val="21"/>
          <w:szCs w:val="22"/>
          <w:highlight w:val="none"/>
          <w:lang w:val="en-US" w:eastAsia="zh-CN" w:bidi="ar-SA"/>
        </w:rPr>
        <w:t>技术要求及国家法律法规规定的</w:t>
      </w:r>
      <w:r>
        <w:rPr>
          <w:rFonts w:ascii="Times New Roman" w:hAnsi="Times New Roman" w:eastAsia="宋体" w:cs="Times New Roman"/>
          <w:kern w:val="2"/>
          <w:sz w:val="21"/>
          <w:szCs w:val="21"/>
          <w:highlight w:val="none"/>
          <w:lang w:val="en-US" w:eastAsia="zh-CN" w:bidi="ar-SA"/>
        </w:rPr>
        <w:t>质量标准，甲方有权采取要求乙方更换全新货物</w:t>
      </w:r>
      <w:r>
        <w:rPr>
          <w:rFonts w:hint="eastAsia" w:ascii="Times New Roman" w:hAnsi="Times New Roman" w:eastAsia="宋体" w:cs="Times New Roman"/>
          <w:kern w:val="2"/>
          <w:sz w:val="21"/>
          <w:szCs w:val="21"/>
          <w:highlight w:val="none"/>
          <w:lang w:val="en-US" w:eastAsia="zh-CN" w:bidi="ar-SA"/>
        </w:rPr>
        <w:t>或</w:t>
      </w:r>
      <w:r>
        <w:rPr>
          <w:rFonts w:ascii="Times New Roman" w:hAnsi="Times New Roman" w:eastAsia="宋体" w:cs="Times New Roman"/>
          <w:kern w:val="2"/>
          <w:sz w:val="21"/>
          <w:szCs w:val="21"/>
          <w:highlight w:val="none"/>
          <w:lang w:val="en-US" w:eastAsia="zh-CN" w:bidi="ar-SA"/>
        </w:rPr>
        <w:t>退货并追究乙方违约责任等措施。质保期内，如需更换零配件，乙方应保证所更换的零配件与原货物相同规格和品质，费用包括在合同总价中。</w:t>
      </w:r>
    </w:p>
    <w:p w14:paraId="455D1F26">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乙方须指派专人负责与甲方联系售后服务事宜</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联系人：***</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联系电话：</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3C18A5F4">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Calibri" w:hAnsi="Calibri" w:eastAsia="Songti SC" w:cs="Times New Roman"/>
          <w:kern w:val="2"/>
          <w:sz w:val="21"/>
          <w:szCs w:val="22"/>
          <w:highlight w:val="none"/>
          <w:lang w:val="en-US" w:eastAsia="zh-CN" w:bidi="ar-SA"/>
        </w:rPr>
        <w:t>质保期内，</w:t>
      </w:r>
      <w:r>
        <w:rPr>
          <w:rFonts w:hint="eastAsia" w:ascii="Calibri" w:hAnsi="Calibri" w:eastAsia="Songti SC" w:cs="Times New Roman"/>
          <w:kern w:val="2"/>
          <w:sz w:val="21"/>
          <w:szCs w:val="22"/>
          <w:highlight w:val="none"/>
          <w:lang w:val="en-US" w:eastAsia="zh-CN" w:bidi="ar-SA"/>
        </w:rPr>
        <w:t>货物因自身故障导致的</w:t>
      </w:r>
      <w:r>
        <w:rPr>
          <w:rFonts w:ascii="Calibri" w:hAnsi="Calibri" w:eastAsia="Songti SC" w:cs="Times New Roman"/>
          <w:kern w:val="2"/>
          <w:sz w:val="21"/>
          <w:szCs w:val="22"/>
          <w:highlight w:val="none"/>
          <w:lang w:val="en-US" w:eastAsia="zh-CN" w:bidi="ar-SA"/>
        </w:rPr>
        <w:t>停机率不应超过5%（一年按365天计算），否则</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应就超出部分（</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已提供备用机并保障</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正常使用的时间，不计算为停机时间）按天数向</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赔偿经济损失</w:t>
      </w:r>
      <w:r>
        <w:rPr>
          <w:rFonts w:ascii="Times New Roman" w:hAnsi="Times New Roman" w:eastAsia="宋体" w:cs="Times New Roman"/>
          <w:kern w:val="2"/>
          <w:sz w:val="21"/>
          <w:szCs w:val="21"/>
          <w:highlight w:val="none"/>
          <w:lang w:val="en-US" w:eastAsia="zh-CN" w:bidi="ar-SA"/>
        </w:rPr>
        <w:t>。</w:t>
      </w:r>
    </w:p>
    <w:p w14:paraId="5B895822">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若货物涉及计算机软件系统的，乙方有义务为甲方此后对货物完全的使用（含维护）提供便利及支持，包括但不限于源代码、密码的提供，乙方不得拒绝或收取额外费用。</w:t>
      </w:r>
    </w:p>
    <w:p w14:paraId="359FBF78">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2"/>
          <w:highlight w:val="none"/>
          <w:lang w:val="en-US" w:eastAsia="zh-CN" w:bidi="ar-SA"/>
        </w:rPr>
        <w:t>质保期内，如</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因维修无法使用，</w:t>
      </w:r>
      <w:r>
        <w:rPr>
          <w:rFonts w:hint="eastAsia" w:ascii="Times New Roman" w:hAnsi="Times New Roman" w:eastAsia="宋体" w:cs="Times New Roman"/>
          <w:kern w:val="2"/>
          <w:sz w:val="21"/>
          <w:szCs w:val="22"/>
          <w:highlight w:val="none"/>
          <w:lang w:val="en-US" w:eastAsia="zh-CN" w:bidi="ar-SA"/>
        </w:rPr>
        <w:t>乙方</w:t>
      </w:r>
      <w:r>
        <w:rPr>
          <w:rFonts w:ascii="Times New Roman" w:hAnsi="Times New Roman" w:eastAsia="宋体" w:cs="Times New Roman"/>
          <w:kern w:val="2"/>
          <w:sz w:val="21"/>
          <w:szCs w:val="22"/>
          <w:highlight w:val="none"/>
          <w:lang w:val="en-US" w:eastAsia="zh-CN" w:bidi="ar-SA"/>
        </w:rPr>
        <w:t>应根据</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需要向</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提供</w:t>
      </w:r>
      <w:r>
        <w:rPr>
          <w:rFonts w:ascii="Times New Roman" w:hAnsi="Times New Roman" w:eastAsia="宋体" w:cs="Times New Roman"/>
          <w:kern w:val="2"/>
          <w:sz w:val="21"/>
          <w:szCs w:val="21"/>
          <w:highlight w:val="none"/>
          <w:lang w:val="en-US" w:eastAsia="zh-CN" w:bidi="ar-SA"/>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588E6CEB">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售后服务涉及费用均包含在合同总价中。</w:t>
      </w:r>
    </w:p>
    <w:p w14:paraId="48A13A85">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质保期外，若出现停机或不能使用等故障，乙方</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按维修响应要求</w:t>
      </w:r>
      <w:r>
        <w:rPr>
          <w:rFonts w:hint="eastAsia" w:ascii="Times New Roman" w:hAnsi="Times New Roman" w:eastAsia="宋体" w:cs="Times New Roman"/>
          <w:kern w:val="2"/>
          <w:sz w:val="21"/>
          <w:szCs w:val="21"/>
          <w:highlight w:val="none"/>
          <w:lang w:val="en-US" w:eastAsia="zh-CN" w:bidi="ar-SA"/>
        </w:rPr>
        <w:t>提供相应的技术支持提供，</w:t>
      </w:r>
      <w:r>
        <w:rPr>
          <w:rFonts w:ascii="Times New Roman" w:hAnsi="Times New Roman" w:eastAsia="宋体" w:cs="Times New Roman"/>
          <w:kern w:val="2"/>
          <w:sz w:val="21"/>
          <w:szCs w:val="21"/>
          <w:highlight w:val="none"/>
          <w:lang w:val="en-US" w:eastAsia="zh-CN" w:bidi="ar-SA"/>
        </w:rPr>
        <w:t>如乙方未能按上述约定及时履行维修义务，甲方有权按实际经济损失要求赔偿并追究相应的法律责任。</w:t>
      </w:r>
    </w:p>
    <w:p w14:paraId="5CE665BA">
      <w:pPr>
        <w:widowControl w:val="0"/>
        <w:numPr>
          <w:ilvl w:val="0"/>
          <w:numId w:val="22"/>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ab/>
      </w:r>
      <w:r>
        <w:rPr>
          <w:rFonts w:ascii="Times New Roman" w:hAnsi="Times New Roman" w:eastAsia="宋体" w:cs="Times New Roman"/>
          <w:kern w:val="2"/>
          <w:sz w:val="21"/>
          <w:szCs w:val="21"/>
          <w:highlight w:val="none"/>
          <w:lang w:val="en-US" w:eastAsia="zh-CN" w:bidi="ar-SA"/>
        </w:rPr>
        <w:t>因乙方原因不能够达到上述货物质保及售后服务的约定，按甲方实际</w:t>
      </w:r>
      <w:r>
        <w:rPr>
          <w:rFonts w:hint="eastAsia" w:ascii="Times New Roman" w:hAnsi="Times New Roman" w:eastAsia="宋体" w:cs="Times New Roman"/>
          <w:kern w:val="2"/>
          <w:sz w:val="21"/>
          <w:szCs w:val="21"/>
          <w:highlight w:val="none"/>
          <w:lang w:val="en-US" w:eastAsia="zh-CN" w:bidi="ar-SA"/>
        </w:rPr>
        <w:t>无法使用货物的</w:t>
      </w:r>
      <w:r>
        <w:rPr>
          <w:rFonts w:ascii="Times New Roman" w:hAnsi="Times New Roman" w:eastAsia="宋体" w:cs="Times New Roman"/>
          <w:kern w:val="2"/>
          <w:sz w:val="21"/>
          <w:szCs w:val="21"/>
          <w:highlight w:val="none"/>
          <w:lang w:val="en-US" w:eastAsia="zh-CN" w:bidi="ar-SA"/>
        </w:rPr>
        <w:t>天数自动延长其质保期,甲方有权延后</w:t>
      </w:r>
      <w:r>
        <w:rPr>
          <w:rFonts w:hint="eastAsia" w:ascii="Times New Roman" w:hAnsi="Times New Roman" w:eastAsia="宋体" w:cs="Times New Roman"/>
          <w:kern w:val="2"/>
          <w:sz w:val="21"/>
          <w:szCs w:val="21"/>
          <w:highlight w:val="none"/>
          <w:lang w:val="en-US" w:eastAsia="zh-CN" w:bidi="ar-SA"/>
        </w:rPr>
        <w:t>履约保证金</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退还</w:t>
      </w:r>
      <w:r>
        <w:rPr>
          <w:rFonts w:ascii="Times New Roman" w:hAnsi="Times New Roman" w:eastAsia="宋体" w:cs="Times New Roman"/>
          <w:kern w:val="2"/>
          <w:sz w:val="21"/>
          <w:szCs w:val="21"/>
          <w:highlight w:val="none"/>
          <w:lang w:val="en-US" w:eastAsia="zh-CN" w:bidi="ar-SA"/>
        </w:rPr>
        <w:t>时间，并追究乙方因此引发的相应的法律责任。</w:t>
      </w:r>
    </w:p>
    <w:p w14:paraId="646B5CFC">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双方的权利和义务</w:t>
      </w:r>
    </w:p>
    <w:p w14:paraId="2FD34380">
      <w:pPr>
        <w:widowControl w:val="0"/>
        <w:numPr>
          <w:ilvl w:val="0"/>
          <w:numId w:val="23"/>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甲方的权利和义务：</w:t>
      </w:r>
    </w:p>
    <w:p w14:paraId="5B517317">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甲方有权获得乙方所提供的货物及相关服务。</w:t>
      </w:r>
    </w:p>
    <w:p w14:paraId="7C76A920">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甲方有权及时了解和监督乙方备货的进展情况。</w:t>
      </w:r>
    </w:p>
    <w:p w14:paraId="14CAA301">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甲方应向乙方提供完成货物安装、调试等所必需的资料和工作条件。</w:t>
      </w:r>
    </w:p>
    <w:p w14:paraId="318983A0">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甲方应按照合同约定向乙方支付合同价款。</w:t>
      </w:r>
    </w:p>
    <w:p w14:paraId="1FE791F7">
      <w:pPr>
        <w:widowControl w:val="0"/>
        <w:numPr>
          <w:ilvl w:val="0"/>
          <w:numId w:val="23"/>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乙方的权利和义务：</w:t>
      </w:r>
    </w:p>
    <w:p w14:paraId="5B4279BA">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乙方有权按照本合同约定收取合同价款。</w:t>
      </w:r>
    </w:p>
    <w:p w14:paraId="58E3FCA1">
      <w:pPr>
        <w:widowControl w:val="0"/>
        <w:numPr>
          <w:ilvl w:val="0"/>
          <w:numId w:val="2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乙方有权要求甲方提供货物安装、调试所必需的资料和工作条件。</w:t>
      </w:r>
    </w:p>
    <w:p w14:paraId="6A8C92B3">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乙方应派遣身体健康、有相关工作经验和相应技能的技术人员到甲方现场并提供安装、调试、测试、试运行、维护及培训等技术服务，该技术服务费用包括在本合同总价内。</w:t>
      </w:r>
    </w:p>
    <w:p w14:paraId="7997E20D">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4758D333">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60E7A58A">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乙方保证其所交付的货物不存在任何权利瑕疵，如任何第三方就乙方交付的货物向甲方提起侵权索赔，乙方应负责与第三方交涉，并承担由此引起的一切法律责任，相关费用由乙方承担。</w:t>
      </w:r>
    </w:p>
    <w:p w14:paraId="62A79E1B">
      <w:pPr>
        <w:widowControl w:val="0"/>
        <w:numPr>
          <w:ilvl w:val="0"/>
          <w:numId w:val="25"/>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74ED64F6">
      <w:pPr>
        <w:widowControl w:val="0"/>
        <w:numPr>
          <w:ilvl w:val="0"/>
          <w:numId w:val="25"/>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乙方对依照本合同向甲方提供的货物在安装、调试、使用、维修、保养等过程中所获得的所有数据及甲方商业秘密或其它技术及经营信息均负有保密义务，不得向任何第三方透露或泄露。</w:t>
      </w:r>
    </w:p>
    <w:p w14:paraId="14954A22">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违约责任</w:t>
      </w:r>
      <w:r>
        <w:rPr>
          <w:rFonts w:hint="eastAsia" w:ascii="Times New Roman" w:hAnsi="Times New Roman" w:eastAsia="宋体" w:cs="Times New Roman"/>
          <w:i/>
          <w:iCs/>
          <w:kern w:val="2"/>
          <w:sz w:val="21"/>
          <w:szCs w:val="21"/>
          <w:highlight w:val="none"/>
          <w:lang w:val="en-US" w:eastAsia="zh-CN" w:bidi="ar-SA"/>
        </w:rPr>
        <w:t>&lt;本条款中违约金比例可根据项目实际情况确定&gt;</w:t>
      </w:r>
    </w:p>
    <w:p w14:paraId="20A24C6A">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1.甲方违约责任：甲方无正当理由拒收货物的，甲方应偿付合同总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1</w:t>
      </w:r>
      <w:r>
        <w:rPr>
          <w:rFonts w:ascii="Times New Roman" w:hAnsi="Times New Roman" w:eastAsia="宋体" w:cs="Times New Roman"/>
          <w:kern w:val="2"/>
          <w:sz w:val="21"/>
          <w:szCs w:val="21"/>
          <w:highlight w:val="none"/>
          <w:u w:val="single"/>
          <w:lang w:val="en-US" w:eastAsia="zh-CN" w:bidi="ar-SA"/>
        </w:rPr>
        <w:t>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70D7058F">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2.乙方违约责任：</w:t>
      </w:r>
    </w:p>
    <w:p w14:paraId="691A29B2">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乙方拒绝交付货物，或交付的货物经两次验收仍不符合本合同约定的验收标准，甲方有权解除合同，乙方须向甲方支付合同总金额的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%作为违约金，并承担其它相应的经济损失，</w:t>
      </w:r>
    </w:p>
    <w:p w14:paraId="4822B471">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质保期内出现质量问题，</w:t>
      </w:r>
      <w:r>
        <w:rPr>
          <w:rFonts w:ascii="Times New Roman" w:hAnsi="Times New Roman" w:eastAsia="宋体" w:cs="Times New Roman"/>
          <w:kern w:val="2"/>
          <w:sz w:val="21"/>
          <w:szCs w:val="22"/>
          <w:highlight w:val="none"/>
          <w:lang w:val="en-US" w:eastAsia="zh-CN" w:bidi="ar-SA"/>
        </w:rPr>
        <w:t>因同一故障经乙方两次维修</w:t>
      </w:r>
      <w:r>
        <w:rPr>
          <w:rFonts w:ascii="Times New Roman" w:hAnsi="Times New Roman" w:eastAsia="宋体" w:cs="Times New Roman"/>
          <w:kern w:val="2"/>
          <w:sz w:val="21"/>
          <w:szCs w:val="21"/>
          <w:highlight w:val="none"/>
          <w:lang w:val="en-US" w:eastAsia="zh-CN" w:bidi="ar-SA"/>
        </w:rPr>
        <w:t>仍不能达到合同约定的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要求和技术指标，甲方有权解除合同并要求退货，乙方按照合同总</w:t>
      </w:r>
      <w:r>
        <w:rPr>
          <w:rFonts w:hint="eastAsia" w:ascii="Times New Roman" w:hAnsi="Times New Roman" w:eastAsia="宋体" w:cs="Times New Roman"/>
          <w:kern w:val="2"/>
          <w:sz w:val="21"/>
          <w:szCs w:val="21"/>
          <w:highlight w:val="none"/>
          <w:lang w:val="en-US" w:eastAsia="zh-CN" w:bidi="ar-SA"/>
        </w:rPr>
        <w:t>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%向甲方支付违约金。</w:t>
      </w:r>
    </w:p>
    <w:p w14:paraId="478854BD">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因乙方原因逾期</w:t>
      </w:r>
      <w:r>
        <w:rPr>
          <w:rFonts w:hint="eastAsia" w:ascii="Times New Roman" w:hAnsi="Times New Roman" w:eastAsia="宋体" w:cs="Times New Roman"/>
          <w:kern w:val="2"/>
          <w:sz w:val="21"/>
          <w:szCs w:val="21"/>
          <w:highlight w:val="none"/>
          <w:lang w:val="en-US" w:eastAsia="zh-CN" w:bidi="ar-SA"/>
        </w:rPr>
        <w:t>交付</w:t>
      </w:r>
      <w:r>
        <w:rPr>
          <w:rFonts w:ascii="Times New Roman" w:hAnsi="Times New Roman" w:eastAsia="宋体" w:cs="Times New Roman"/>
          <w:kern w:val="2"/>
          <w:sz w:val="21"/>
          <w:szCs w:val="21"/>
          <w:highlight w:val="none"/>
          <w:lang w:val="en-US" w:eastAsia="zh-CN" w:bidi="ar-SA"/>
        </w:rPr>
        <w:t>，每</w:t>
      </w:r>
      <w:r>
        <w:rPr>
          <w:rFonts w:hint="eastAsia" w:ascii="Times New Roman" w:hAnsi="Times New Roman" w:eastAsia="宋体" w:cs="Times New Roman"/>
          <w:kern w:val="2"/>
          <w:sz w:val="21"/>
          <w:szCs w:val="21"/>
          <w:highlight w:val="none"/>
          <w:lang w:val="en-US" w:eastAsia="zh-CN" w:bidi="ar-SA"/>
        </w:rPr>
        <w:t>逾期</w:t>
      </w:r>
      <w:r>
        <w:rPr>
          <w:rFonts w:ascii="Times New Roman" w:hAnsi="Times New Roman" w:eastAsia="宋体" w:cs="Times New Roman"/>
          <w:kern w:val="2"/>
          <w:sz w:val="21"/>
          <w:szCs w:val="21"/>
          <w:highlight w:val="none"/>
          <w:lang w:val="en-US" w:eastAsia="zh-CN" w:bidi="ar-SA"/>
        </w:rPr>
        <w:t>一天，须向甲方支付合同总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违约金。因乙方原因逾期交货超过</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天，甲方有权</w:t>
      </w:r>
      <w:r>
        <w:rPr>
          <w:rFonts w:hint="eastAsia" w:ascii="Times New Roman" w:hAnsi="Times New Roman" w:eastAsia="宋体" w:cs="Times New Roman"/>
          <w:kern w:val="2"/>
          <w:sz w:val="21"/>
          <w:szCs w:val="21"/>
          <w:highlight w:val="none"/>
          <w:lang w:val="en-US" w:eastAsia="zh-CN" w:bidi="ar-SA"/>
        </w:rPr>
        <w:t>单方面解除</w:t>
      </w:r>
      <w:r>
        <w:rPr>
          <w:rFonts w:ascii="Times New Roman" w:hAnsi="Times New Roman" w:eastAsia="宋体" w:cs="Times New Roman"/>
          <w:kern w:val="2"/>
          <w:sz w:val="21"/>
          <w:szCs w:val="21"/>
          <w:highlight w:val="none"/>
          <w:lang w:val="en-US" w:eastAsia="zh-CN" w:bidi="ar-SA"/>
        </w:rPr>
        <w:t>合同</w:t>
      </w:r>
      <w:r>
        <w:rPr>
          <w:rFonts w:hint="eastAsia" w:ascii="Times New Roman" w:hAnsi="Times New Roman" w:eastAsia="宋体" w:cs="Times New Roman"/>
          <w:kern w:val="2"/>
          <w:sz w:val="21"/>
          <w:szCs w:val="21"/>
          <w:highlight w:val="none"/>
          <w:lang w:val="en-US" w:eastAsia="zh-CN" w:bidi="ar-SA"/>
        </w:rPr>
        <w:t>，乙方须按合同总金额的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%向甲方支付违约金，</w:t>
      </w:r>
    </w:p>
    <w:p w14:paraId="495EDBB7">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bookmarkStart w:id="98" w:name="OLE_LINK17"/>
      <w:bookmarkStart w:id="99" w:name="OLE_LINK18"/>
      <w:r>
        <w:rPr>
          <w:rFonts w:hint="eastAsia" w:ascii="Times New Roman" w:hAnsi="Times New Roman" w:eastAsia="宋体" w:cs="Times New Roman"/>
          <w:kern w:val="2"/>
          <w:sz w:val="21"/>
          <w:szCs w:val="21"/>
          <w:highlight w:val="none"/>
          <w:lang w:val="en-US" w:eastAsia="zh-CN" w:bidi="ar-SA"/>
        </w:rPr>
        <w:t>乙方未按合同约定及时履行培训及维护义务时，每发生一次，乙方应按合同总金额的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‰向甲方支付违约金，乙方支付违约金的同时，仍有义务对甲方进行培训及对货物进行维护。</w:t>
      </w:r>
    </w:p>
    <w:p w14:paraId="77EB1C58">
      <w:pPr>
        <w:widowControl w:val="0"/>
        <w:numPr>
          <w:ilvl w:val="0"/>
          <w:numId w:val="26"/>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作为违</w:t>
      </w:r>
      <w:r>
        <w:rPr>
          <w:rFonts w:ascii="Times New Roman" w:hAnsi="Times New Roman" w:eastAsia="宋体" w:cs="Times New Roman"/>
          <w:kern w:val="2"/>
          <w:sz w:val="21"/>
          <w:szCs w:val="21"/>
          <w:highlight w:val="none"/>
          <w:lang w:val="en-US" w:eastAsia="zh-CN" w:bidi="ar-SA"/>
        </w:rPr>
        <w:t>约金。</w:t>
      </w:r>
    </w:p>
    <w:bookmarkEnd w:id="98"/>
    <w:bookmarkEnd w:id="99"/>
    <w:p w14:paraId="5D76F2FD">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3DEE0674">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交付货物因</w:t>
      </w:r>
      <w:r>
        <w:rPr>
          <w:rFonts w:ascii="Times New Roman" w:hAnsi="Times New Roman" w:eastAsia="宋体" w:cs="Times New Roman"/>
          <w:kern w:val="2"/>
          <w:sz w:val="21"/>
          <w:szCs w:val="21"/>
          <w:highlight w:val="none"/>
          <w:lang w:val="en-US" w:eastAsia="zh-CN" w:bidi="ar-SA"/>
        </w:rPr>
        <w:t>质量问题导致甲方及第三方人身、财产损失的，乙方承担由此造成的全部法律责任。</w:t>
      </w:r>
    </w:p>
    <w:p w14:paraId="30FB9C7E">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6FCAEE4C">
      <w:pPr>
        <w:widowControl w:val="0"/>
        <w:numPr>
          <w:ilvl w:val="0"/>
          <w:numId w:val="26"/>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安装、</w:t>
      </w:r>
      <w:r>
        <w:rPr>
          <w:rFonts w:ascii="Times New Roman" w:hAnsi="Times New Roman" w:eastAsia="宋体" w:cs="Times New Roman"/>
          <w:kern w:val="2"/>
          <w:sz w:val="21"/>
          <w:szCs w:val="21"/>
          <w:highlight w:val="none"/>
          <w:lang w:val="en-US" w:eastAsia="zh-CN" w:bidi="ar-SA"/>
        </w:rPr>
        <w:t>调试及售后服务过程中，因未按规程</w:t>
      </w:r>
      <w:r>
        <w:rPr>
          <w:rFonts w:hint="eastAsia" w:ascii="Times New Roman" w:hAnsi="Times New Roman" w:eastAsia="宋体" w:cs="Times New Roman"/>
          <w:kern w:val="2"/>
          <w:sz w:val="21"/>
          <w:szCs w:val="21"/>
          <w:highlight w:val="none"/>
          <w:lang w:val="en-US" w:eastAsia="zh-CN" w:bidi="ar-SA"/>
        </w:rPr>
        <w:t>操作、</w:t>
      </w:r>
      <w:r>
        <w:rPr>
          <w:rFonts w:ascii="Times New Roman" w:hAnsi="Times New Roman" w:eastAsia="宋体" w:cs="Times New Roman"/>
          <w:kern w:val="2"/>
          <w:sz w:val="21"/>
          <w:szCs w:val="21"/>
          <w:highlight w:val="none"/>
          <w:lang w:val="en-US" w:eastAsia="zh-CN" w:bidi="ar-SA"/>
        </w:rPr>
        <w:t>未采取必要的安全防范措施等原因直接或间接造成甲方及第三方人身、财产损失的，由乙方承担由此造成的全部法律责任。</w:t>
      </w:r>
    </w:p>
    <w:p w14:paraId="4BBA1EA6">
      <w:pPr>
        <w:widowControl w:val="0"/>
        <w:numPr>
          <w:ilvl w:val="0"/>
          <w:numId w:val="26"/>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FEE5369">
      <w:pPr>
        <w:widowControl w:val="0"/>
        <w:snapToGrid w:val="0"/>
        <w:ind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3</w:t>
      </w:r>
      <w:r>
        <w:rPr>
          <w:rFonts w:ascii="Times New Roman" w:hAnsi="Times New Roman" w:eastAsia="宋体" w:cs="Times New Roman"/>
          <w:kern w:val="2"/>
          <w:sz w:val="21"/>
          <w:szCs w:val="21"/>
          <w:highlight w:val="none"/>
          <w:lang w:val="en-US" w:eastAsia="zh-CN" w:bidi="ar-SA"/>
        </w:rPr>
        <w:t>.本合同履行中如有任何一方违约，那么守约方为保障自己合法权益而产生的律师费、诉讼费、差旅费、公告费等，均由违约方承担。</w:t>
      </w:r>
    </w:p>
    <w:p w14:paraId="7D24F16B">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不可抗力</w:t>
      </w:r>
    </w:p>
    <w:p w14:paraId="718DD00B">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2B89E0B">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争议解决办法</w:t>
      </w:r>
    </w:p>
    <w:p w14:paraId="3042B177">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的质量问题发生争议，由质量技术监督部门或其指定的质量鉴定机构进行质量鉴定。货物符合标准的，鉴定费由甲方承担；货物不符合质量标准的，鉴定费由乙方承担。</w:t>
      </w:r>
    </w:p>
    <w:p w14:paraId="29F82BCB">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w:t>
      </w:r>
      <w:r>
        <w:rPr>
          <w:rFonts w:hint="eastAsia" w:ascii="Times New Roman" w:hAnsi="Times New Roman" w:eastAsia="宋体" w:cs="Times New Roman"/>
          <w:kern w:val="2"/>
          <w:sz w:val="21"/>
          <w:szCs w:val="21"/>
          <w:highlight w:val="none"/>
          <w:lang w:val="en-US" w:eastAsia="zh-CN" w:bidi="ar-SA"/>
        </w:rPr>
        <w:t>所在地</w:t>
      </w:r>
      <w:r>
        <w:rPr>
          <w:rFonts w:ascii="Times New Roman" w:hAnsi="Times New Roman" w:eastAsia="宋体" w:cs="Times New Roman"/>
          <w:kern w:val="2"/>
          <w:sz w:val="21"/>
          <w:szCs w:val="21"/>
          <w:highlight w:val="none"/>
          <w:lang w:val="en-US" w:eastAsia="zh-CN" w:bidi="ar-SA"/>
        </w:rPr>
        <w:t>具有管辖权的人民法院起诉。</w:t>
      </w:r>
    </w:p>
    <w:p w14:paraId="3F825640">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送达</w:t>
      </w:r>
      <w:r>
        <w:rPr>
          <w:rFonts w:hint="eastAsia" w:ascii="Times New Roman" w:hAnsi="Times New Roman" w:eastAsia="宋体" w:cs="Times New Roman"/>
          <w:b/>
          <w:bCs/>
          <w:kern w:val="2"/>
          <w:sz w:val="21"/>
          <w:szCs w:val="21"/>
          <w:highlight w:val="none"/>
          <w:lang w:val="en-US" w:eastAsia="zh-CN" w:bidi="ar-SA"/>
        </w:rPr>
        <w:t>（送达地址是司法机关、执法机关和仲裁机关将法律文书送达给当事人的收件地址）</w:t>
      </w:r>
    </w:p>
    <w:p w14:paraId="462C25E4">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51156214">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w:t>
      </w:r>
    </w:p>
    <w:p w14:paraId="4D108D42">
      <w:pPr>
        <w:widowControl w:val="0"/>
        <w:numPr>
          <w:ilvl w:val="0"/>
          <w:numId w:val="28"/>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42901AFD">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其他</w:t>
      </w:r>
    </w:p>
    <w:p w14:paraId="6ADD829D">
      <w:pPr>
        <w:widowControl w:val="0"/>
        <w:numPr>
          <w:ilvl w:val="0"/>
          <w:numId w:val="2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w:t>
      </w:r>
      <w:r>
        <w:rPr>
          <w:rFonts w:hint="eastAsia" w:ascii="Times New Roman" w:hAnsi="Times New Roman" w:eastAsia="宋体" w:cs="Times New Roman"/>
          <w:kern w:val="2"/>
          <w:sz w:val="21"/>
          <w:szCs w:val="21"/>
          <w:highlight w:val="none"/>
          <w:lang w:val="en-US" w:eastAsia="zh-CN" w:bidi="ar-SA"/>
        </w:rPr>
        <w:t>及本合同</w:t>
      </w:r>
      <w:r>
        <w:rPr>
          <w:rFonts w:ascii="Times New Roman" w:hAnsi="Times New Roman" w:eastAsia="宋体" w:cs="Times New Roman"/>
          <w:kern w:val="2"/>
          <w:sz w:val="21"/>
          <w:szCs w:val="21"/>
          <w:highlight w:val="none"/>
          <w:lang w:val="en-US" w:eastAsia="zh-CN" w:bidi="ar-SA"/>
        </w:rPr>
        <w:t>附件</w:t>
      </w:r>
      <w:r>
        <w:rPr>
          <w:rFonts w:hint="eastAsia" w:ascii="Times New Roman" w:hAnsi="Times New Roman" w:eastAsia="宋体" w:cs="Times New Roman"/>
          <w:kern w:val="2"/>
          <w:sz w:val="21"/>
          <w:szCs w:val="21"/>
          <w:highlight w:val="none"/>
          <w:lang w:val="en-US" w:eastAsia="zh-CN" w:bidi="ar-SA"/>
        </w:rPr>
        <w:t>均</w:t>
      </w:r>
      <w:r>
        <w:rPr>
          <w:rFonts w:ascii="Times New Roman" w:hAnsi="Times New Roman" w:eastAsia="宋体" w:cs="Times New Roman"/>
          <w:kern w:val="2"/>
          <w:sz w:val="21"/>
          <w:szCs w:val="21"/>
          <w:highlight w:val="none"/>
          <w:lang w:val="en-US" w:eastAsia="zh-CN" w:bidi="ar-SA"/>
        </w:rPr>
        <w:t>为本合同的组成部分，与本合同具有同等法律效力。</w:t>
      </w:r>
    </w:p>
    <w:p w14:paraId="15A6C307">
      <w:pPr>
        <w:widowControl w:val="0"/>
        <w:numPr>
          <w:ilvl w:val="0"/>
          <w:numId w:val="2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02002041">
      <w:pPr>
        <w:widowControl w:val="0"/>
        <w:numPr>
          <w:ilvl w:val="0"/>
          <w:numId w:val="12"/>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合同附件</w:t>
      </w:r>
    </w:p>
    <w:p w14:paraId="18720C4D">
      <w:pPr>
        <w:snapToGrid w:val="0"/>
        <w:rPr>
          <w:rFonts w:ascii="Times New Roman" w:hAnsi="Times New Roman" w:eastAsia="宋体" w:cs="Times New Roman"/>
          <w:szCs w:val="21"/>
          <w:highlight w:val="none"/>
        </w:rPr>
      </w:pPr>
      <w:r>
        <w:rPr>
          <w:rFonts w:ascii="Times New Roman" w:hAnsi="Times New Roman" w:eastAsia="宋体" w:cs="Times New Roman"/>
          <w:szCs w:val="21"/>
          <w:highlight w:val="none"/>
        </w:rPr>
        <w:t>附件1：配置清单</w:t>
      </w:r>
    </w:p>
    <w:p w14:paraId="0FC7EBFB">
      <w:pPr>
        <w:snapToGrid w:val="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附件2：</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技术参数</w:t>
      </w:r>
    </w:p>
    <w:p w14:paraId="36447EB5">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 w:val="18"/>
          <w:szCs w:val="18"/>
          <w:highlight w:val="none"/>
        </w:rPr>
        <w:t>以下无正文</w:t>
      </w:r>
      <w:r>
        <w:rPr>
          <w:rFonts w:ascii="Times New Roman" w:hAnsi="Times New Roman" w:eastAsia="宋体" w:cs="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94822E5">
        <w:tblPrEx>
          <w:tblCellMar>
            <w:top w:w="0" w:type="dxa"/>
            <w:left w:w="0" w:type="dxa"/>
            <w:bottom w:w="0" w:type="dxa"/>
            <w:right w:w="0" w:type="dxa"/>
          </w:tblCellMar>
        </w:tblPrEx>
        <w:trPr>
          <w:trHeight w:val="519" w:hRule="atLeast"/>
          <w:jc w:val="center"/>
        </w:trPr>
        <w:tc>
          <w:tcPr>
            <w:tcW w:w="10214" w:type="dxa"/>
            <w:gridSpan w:val="2"/>
            <w:noWrap w:val="0"/>
            <w:vAlign w:val="top"/>
          </w:tcPr>
          <w:p w14:paraId="50352B8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签订时间：</w:t>
            </w:r>
            <w:r>
              <w:rPr>
                <w:rFonts w:ascii="Times New Roman" w:hAnsi="Times New Roman" w:eastAsia="宋体" w:cs="Times New Roman"/>
                <w:highlight w:val="none"/>
              </w:rPr>
              <w:t>202</w:t>
            </w:r>
            <w:r>
              <w:rPr>
                <w:rFonts w:hint="eastAsia" w:ascii="Times New Roman" w:hAnsi="Times New Roman" w:eastAsia="宋体" w:cs="Times New Roman"/>
                <w:highlight w:val="none"/>
              </w:rPr>
              <w:t>*</w:t>
            </w:r>
            <w:r>
              <w:rPr>
                <w:rFonts w:ascii="Times New Roman" w:hAnsi="Times New Roman" w:eastAsia="宋体" w:cs="Times New Roman"/>
                <w:szCs w:val="21"/>
                <w:highlight w:val="none"/>
              </w:rPr>
              <w:t>年***月***</w:t>
            </w:r>
            <w:r>
              <w:rPr>
                <w:rFonts w:hint="eastAsia" w:ascii="Times New Roman" w:hAnsi="Times New Roman" w:eastAsia="宋体" w:cs="Times New Roman"/>
                <w:szCs w:val="21"/>
                <w:highlight w:val="none"/>
              </w:rPr>
              <w:t>日</w:t>
            </w:r>
          </w:p>
        </w:tc>
      </w:tr>
      <w:tr w14:paraId="1D047495">
        <w:tblPrEx>
          <w:tblCellMar>
            <w:top w:w="0" w:type="dxa"/>
            <w:left w:w="0" w:type="dxa"/>
            <w:bottom w:w="0" w:type="dxa"/>
            <w:right w:w="0" w:type="dxa"/>
          </w:tblCellMar>
        </w:tblPrEx>
        <w:trPr>
          <w:jc w:val="center"/>
        </w:trPr>
        <w:tc>
          <w:tcPr>
            <w:tcW w:w="4967" w:type="dxa"/>
            <w:noWrap w:val="0"/>
            <w:vAlign w:val="top"/>
          </w:tcPr>
          <w:p w14:paraId="61533391">
            <w:pPr>
              <w:rPr>
                <w:rFonts w:ascii="Times New Roman" w:hAnsi="Times New Roman" w:eastAsia="宋体" w:cs="Times New Roman"/>
                <w:szCs w:val="21"/>
                <w:highlight w:val="none"/>
              </w:rPr>
            </w:pPr>
            <w:r>
              <w:rPr>
                <w:rFonts w:ascii="Times New Roman" w:hAnsi="Times New Roman" w:eastAsia="宋体" w:cs="Times New Roman"/>
                <w:szCs w:val="21"/>
                <w:highlight w:val="none"/>
              </w:rPr>
              <w:t>甲方：四川省人民医院（盖章）</w:t>
            </w:r>
          </w:p>
          <w:p w14:paraId="037E07AD">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5F62871E">
            <w:pPr>
              <w:rPr>
                <w:rFonts w:ascii="Times New Roman" w:hAnsi="Times New Roman" w:eastAsia="宋体" w:cs="Times New Roman"/>
                <w:szCs w:val="21"/>
                <w:highlight w:val="none"/>
              </w:rPr>
            </w:pPr>
            <w:r>
              <w:rPr>
                <w:rFonts w:ascii="Times New Roman" w:hAnsi="Times New Roman" w:eastAsia="宋体" w:cs="Times New Roman"/>
                <w:szCs w:val="21"/>
                <w:highlight w:val="none"/>
              </w:rPr>
              <w:t>地    址：四川省成都市一环路西二段32号</w:t>
            </w:r>
          </w:p>
          <w:p w14:paraId="01BFF875">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开户银行：建设银行成都青羊支行</w:t>
            </w:r>
          </w:p>
          <w:p w14:paraId="0310C665">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账号：5100 1446 4360 5037 4282</w:t>
            </w:r>
          </w:p>
        </w:tc>
        <w:tc>
          <w:tcPr>
            <w:tcW w:w="5247" w:type="dxa"/>
            <w:noWrap w:val="0"/>
            <w:vAlign w:val="top"/>
          </w:tcPr>
          <w:p w14:paraId="696744C1">
            <w:pPr>
              <w:rPr>
                <w:rFonts w:ascii="Times New Roman" w:hAnsi="Times New Roman" w:eastAsia="宋体" w:cs="Times New Roman"/>
                <w:szCs w:val="21"/>
                <w:highlight w:val="none"/>
              </w:rPr>
            </w:pPr>
            <w:r>
              <w:rPr>
                <w:rFonts w:ascii="Times New Roman" w:hAnsi="Times New Roman" w:eastAsia="宋体" w:cs="Times New Roman"/>
                <w:szCs w:val="21"/>
                <w:highlight w:val="none"/>
              </w:rPr>
              <w:t>乙方：***（盖章）</w:t>
            </w:r>
          </w:p>
          <w:p w14:paraId="505D590A">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78779772">
            <w:pPr>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p>
          <w:p w14:paraId="3F2806CC">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
          <w:p w14:paraId="6688B9E6">
            <w:pPr>
              <w:widowControl/>
              <w:jc w:val="left"/>
              <w:rPr>
                <w:rFonts w:hint="eastAsia" w:ascii="Times New Roman" w:hAnsi="Times New Roman" w:eastAsia="宋体" w:cs="Times New Roman"/>
                <w:highlight w:val="none"/>
              </w:rPr>
            </w:pPr>
            <w:r>
              <w:rPr>
                <w:rFonts w:ascii="Times New Roman" w:hAnsi="Times New Roman" w:eastAsia="宋体" w:cs="Times New Roman"/>
                <w:szCs w:val="21"/>
                <w:highlight w:val="none"/>
              </w:rPr>
              <w:t>账号：***</w:t>
            </w:r>
          </w:p>
        </w:tc>
      </w:tr>
    </w:tbl>
    <w:p w14:paraId="66545F7D">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r>
        <w:rPr>
          <w:rFonts w:ascii="Times New Roman" w:hAnsi="Times New Roman" w:eastAsia="宋体" w:cs="Times New Roman"/>
          <w:b/>
          <w:bCs/>
          <w:szCs w:val="21"/>
          <w:highlight w:val="none"/>
        </w:rPr>
        <w:t>附件1：配置清单</w:t>
      </w:r>
    </w:p>
    <w:p w14:paraId="1948D731">
      <w:pPr>
        <w:widowControl w:val="0"/>
        <w:spacing w:after="120"/>
        <w:jc w:val="both"/>
        <w:rPr>
          <w:rFonts w:hint="eastAsia" w:ascii="Calibri" w:hAnsi="Calibri" w:eastAsia="宋体" w:cs="Times New Roman"/>
          <w:kern w:val="2"/>
          <w:sz w:val="21"/>
          <w:szCs w:val="22"/>
          <w:highlight w:val="none"/>
          <w:lang w:val="en-US" w:eastAsia="zh-CN" w:bidi="ar-SA"/>
        </w:rPr>
      </w:pPr>
    </w:p>
    <w:p w14:paraId="00587969">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注：本合同第一条中写明的</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均须单独填写配置清单。</w:t>
      </w:r>
    </w:p>
    <w:p w14:paraId="1B44AE88">
      <w:pPr>
        <w:rPr>
          <w:rFonts w:ascii="Times New Roman" w:hAnsi="Times New Roman" w:eastAsia="宋体" w:cs="Times New Roman"/>
          <w:szCs w:val="21"/>
          <w:highlight w:val="none"/>
        </w:rPr>
      </w:pPr>
      <w:r>
        <w:rPr>
          <w:rFonts w:ascii="Times New Roman" w:hAnsi="Times New Roman" w:eastAsia="宋体" w:cs="Times New Roman"/>
          <w:szCs w:val="21"/>
          <w:highlight w:val="none"/>
        </w:rPr>
        <w:t>序号1：</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名称：***</w:t>
      </w:r>
    </w:p>
    <w:p w14:paraId="1694CD6D">
      <w:pPr>
        <w:rPr>
          <w:rFonts w:ascii="Times New Roman" w:hAnsi="Times New Roman" w:eastAsia="宋体" w:cs="Times New Roman"/>
          <w:szCs w:val="21"/>
          <w:highlight w:val="none"/>
        </w:rPr>
      </w:pPr>
      <w:r>
        <w:rPr>
          <w:rFonts w:ascii="Times New Roman" w:hAnsi="Times New Roman" w:eastAsia="宋体" w:cs="Times New Roman"/>
          <w:szCs w:val="21"/>
          <w:highlight w:val="none"/>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0011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37A2845">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序号</w:t>
            </w:r>
          </w:p>
        </w:tc>
        <w:tc>
          <w:tcPr>
            <w:tcW w:w="3073" w:type="dxa"/>
            <w:noWrap w:val="0"/>
            <w:vAlign w:val="center"/>
          </w:tcPr>
          <w:p w14:paraId="37929437">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组件名称</w:t>
            </w:r>
          </w:p>
        </w:tc>
        <w:tc>
          <w:tcPr>
            <w:tcW w:w="2609" w:type="dxa"/>
            <w:noWrap w:val="0"/>
            <w:vAlign w:val="center"/>
          </w:tcPr>
          <w:p w14:paraId="0D8BCCA9">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型号/规格（如有）</w:t>
            </w:r>
          </w:p>
        </w:tc>
        <w:tc>
          <w:tcPr>
            <w:tcW w:w="1562" w:type="dxa"/>
            <w:noWrap w:val="0"/>
            <w:vAlign w:val="center"/>
          </w:tcPr>
          <w:p w14:paraId="451BC16F">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单位</w:t>
            </w:r>
          </w:p>
        </w:tc>
        <w:tc>
          <w:tcPr>
            <w:tcW w:w="1410" w:type="dxa"/>
            <w:noWrap w:val="0"/>
            <w:vAlign w:val="center"/>
          </w:tcPr>
          <w:p w14:paraId="18DB8206">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数量</w:t>
            </w:r>
          </w:p>
        </w:tc>
        <w:tc>
          <w:tcPr>
            <w:tcW w:w="1104" w:type="dxa"/>
            <w:noWrap w:val="0"/>
            <w:vAlign w:val="center"/>
          </w:tcPr>
          <w:p w14:paraId="044AD314">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备注</w:t>
            </w:r>
          </w:p>
        </w:tc>
      </w:tr>
      <w:tr w14:paraId="0D21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79999A69">
            <w:pPr>
              <w:widowControl w:val="0"/>
              <w:spacing w:after="0"/>
              <w:contextualSpacing/>
              <w:jc w:val="center"/>
              <w:rPr>
                <w:rFonts w:ascii="Times New Roman" w:hAnsi="Times New Roman" w:eastAsia="宋体" w:cs="Times New Roman"/>
                <w:kern w:val="0"/>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w:t>
            </w:r>
          </w:p>
        </w:tc>
        <w:tc>
          <w:tcPr>
            <w:tcW w:w="3073" w:type="dxa"/>
            <w:noWrap w:val="0"/>
            <w:vAlign w:val="center"/>
          </w:tcPr>
          <w:p w14:paraId="68C24707">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538C3B75">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1E6B15A4">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410" w:type="dxa"/>
            <w:noWrap w:val="0"/>
            <w:vAlign w:val="center"/>
          </w:tcPr>
          <w:p w14:paraId="2905D3FC">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104" w:type="dxa"/>
            <w:noWrap w:val="0"/>
            <w:vAlign w:val="center"/>
          </w:tcPr>
          <w:p w14:paraId="24140535">
            <w:pPr>
              <w:contextualSpacing/>
              <w:rPr>
                <w:rFonts w:ascii="Times New Roman" w:hAnsi="Times New Roman" w:eastAsia="宋体" w:cs="Times New Roman"/>
                <w:b/>
                <w:bCs/>
                <w:szCs w:val="21"/>
                <w:highlight w:val="none"/>
              </w:rPr>
            </w:pPr>
          </w:p>
        </w:tc>
      </w:tr>
      <w:tr w14:paraId="2702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1BDFB29">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w:t>
            </w:r>
          </w:p>
        </w:tc>
        <w:tc>
          <w:tcPr>
            <w:tcW w:w="3073" w:type="dxa"/>
            <w:noWrap w:val="0"/>
            <w:vAlign w:val="center"/>
          </w:tcPr>
          <w:p w14:paraId="6ACD4256">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4864F5F8">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51BFF2D8">
            <w:pPr>
              <w:contextualSpacing/>
              <w:rPr>
                <w:rFonts w:ascii="Times New Roman" w:hAnsi="Times New Roman" w:eastAsia="宋体" w:cs="Times New Roman"/>
                <w:b/>
                <w:bCs/>
                <w:szCs w:val="21"/>
                <w:highlight w:val="none"/>
              </w:rPr>
            </w:pPr>
          </w:p>
        </w:tc>
        <w:tc>
          <w:tcPr>
            <w:tcW w:w="1410" w:type="dxa"/>
            <w:noWrap w:val="0"/>
            <w:vAlign w:val="center"/>
          </w:tcPr>
          <w:p w14:paraId="05012A97">
            <w:pPr>
              <w:contextualSpacing/>
              <w:rPr>
                <w:rFonts w:ascii="Times New Roman" w:hAnsi="Times New Roman" w:eastAsia="宋体" w:cs="Times New Roman"/>
                <w:b/>
                <w:bCs/>
                <w:szCs w:val="21"/>
                <w:highlight w:val="none"/>
              </w:rPr>
            </w:pPr>
          </w:p>
        </w:tc>
        <w:tc>
          <w:tcPr>
            <w:tcW w:w="1104" w:type="dxa"/>
            <w:noWrap w:val="0"/>
            <w:vAlign w:val="center"/>
          </w:tcPr>
          <w:p w14:paraId="75E9F4D3">
            <w:pPr>
              <w:contextualSpacing/>
              <w:rPr>
                <w:rFonts w:ascii="Times New Roman" w:hAnsi="Times New Roman" w:eastAsia="宋体" w:cs="Times New Roman"/>
                <w:b/>
                <w:bCs/>
                <w:szCs w:val="21"/>
                <w:highlight w:val="none"/>
              </w:rPr>
            </w:pPr>
          </w:p>
        </w:tc>
      </w:tr>
      <w:tr w14:paraId="3769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8E0D34F">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w:t>
            </w:r>
          </w:p>
        </w:tc>
        <w:tc>
          <w:tcPr>
            <w:tcW w:w="3073" w:type="dxa"/>
            <w:noWrap w:val="0"/>
            <w:vAlign w:val="center"/>
          </w:tcPr>
          <w:p w14:paraId="2B9E73EB">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62812D92">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11345EB8">
            <w:pPr>
              <w:contextualSpacing/>
              <w:rPr>
                <w:rFonts w:ascii="Times New Roman" w:hAnsi="Times New Roman" w:eastAsia="宋体" w:cs="Times New Roman"/>
                <w:b/>
                <w:bCs/>
                <w:szCs w:val="21"/>
                <w:highlight w:val="none"/>
              </w:rPr>
            </w:pPr>
          </w:p>
        </w:tc>
        <w:tc>
          <w:tcPr>
            <w:tcW w:w="1410" w:type="dxa"/>
            <w:noWrap w:val="0"/>
            <w:vAlign w:val="center"/>
          </w:tcPr>
          <w:p w14:paraId="518512C8">
            <w:pPr>
              <w:contextualSpacing/>
              <w:rPr>
                <w:rFonts w:ascii="Times New Roman" w:hAnsi="Times New Roman" w:eastAsia="宋体" w:cs="Times New Roman"/>
                <w:b/>
                <w:bCs/>
                <w:szCs w:val="21"/>
                <w:highlight w:val="none"/>
              </w:rPr>
            </w:pPr>
          </w:p>
        </w:tc>
        <w:tc>
          <w:tcPr>
            <w:tcW w:w="1104" w:type="dxa"/>
            <w:noWrap w:val="0"/>
            <w:vAlign w:val="center"/>
          </w:tcPr>
          <w:p w14:paraId="218A64CE">
            <w:pPr>
              <w:contextualSpacing/>
              <w:rPr>
                <w:rFonts w:ascii="Times New Roman" w:hAnsi="Times New Roman" w:eastAsia="宋体" w:cs="Times New Roman"/>
                <w:b/>
                <w:bCs/>
                <w:szCs w:val="21"/>
                <w:highlight w:val="none"/>
              </w:rPr>
            </w:pPr>
          </w:p>
        </w:tc>
      </w:tr>
    </w:tbl>
    <w:p w14:paraId="2B2562A0">
      <w:pPr>
        <w:widowControl w:val="0"/>
        <w:spacing w:after="120"/>
        <w:jc w:val="both"/>
        <w:rPr>
          <w:rFonts w:ascii="Times New Roman" w:hAnsi="Times New Roman" w:eastAsia="宋体" w:cs="Times New Roman"/>
          <w:b/>
          <w:bCs/>
          <w:kern w:val="2"/>
          <w:sz w:val="21"/>
          <w:szCs w:val="22"/>
          <w:highlight w:val="none"/>
          <w:lang w:val="en-US" w:eastAsia="zh-CN" w:bidi="ar-SA"/>
        </w:rPr>
      </w:pPr>
      <w:r>
        <w:rPr>
          <w:rFonts w:ascii="Times New Roman" w:hAnsi="Times New Roman" w:eastAsia="宋体" w:cs="Times New Roman"/>
          <w:b/>
          <w:bCs/>
          <w:kern w:val="2"/>
          <w:sz w:val="21"/>
          <w:szCs w:val="22"/>
          <w:highlight w:val="none"/>
          <w:lang w:val="en-US" w:eastAsia="zh-CN" w:bidi="ar-SA"/>
        </w:rPr>
        <w:br w:type="page"/>
      </w:r>
      <w:r>
        <w:rPr>
          <w:rFonts w:ascii="Times New Roman" w:hAnsi="Times New Roman" w:eastAsia="宋体" w:cs="Times New Roman"/>
          <w:b/>
          <w:bCs/>
          <w:kern w:val="2"/>
          <w:sz w:val="21"/>
          <w:szCs w:val="22"/>
          <w:highlight w:val="none"/>
          <w:lang w:val="en-US" w:eastAsia="zh-CN" w:bidi="ar-SA"/>
        </w:rPr>
        <w:t>附件2：货物技术参数</w:t>
      </w:r>
    </w:p>
    <w:p w14:paraId="2DCDA749">
      <w:pPr>
        <w:widowControl w:val="0"/>
        <w:spacing w:after="120"/>
        <w:jc w:val="both"/>
        <w:rPr>
          <w:rFonts w:ascii="Times New Roman" w:hAnsi="Times New Roman" w:eastAsia="宋体" w:cs="Times New Roman"/>
          <w:kern w:val="2"/>
          <w:sz w:val="21"/>
          <w:szCs w:val="22"/>
          <w:highlight w:val="none"/>
          <w:lang w:val="en-US" w:eastAsia="zh-CN" w:bidi="ar-SA"/>
        </w:rPr>
      </w:pPr>
    </w:p>
    <w:p w14:paraId="142B2489">
      <w:pPr>
        <w:widowControl w:val="0"/>
        <w:spacing w:after="120"/>
        <w:ind w:firstLine="0" w:firstLineChars="0"/>
        <w:jc w:val="both"/>
        <w:rPr>
          <w:rFonts w:hint="eastAsia" w:ascii="Calibri" w:hAnsi="Calibri" w:eastAsia="宋体" w:cs="Times New Roman"/>
          <w:kern w:val="2"/>
          <w:sz w:val="21"/>
          <w:szCs w:val="22"/>
          <w:highlight w:val="none"/>
          <w:lang w:val="en-US" w:eastAsia="zh-CN" w:bidi="ar-SA"/>
        </w:rPr>
      </w:pPr>
      <w:r>
        <w:rPr>
          <w:rFonts w:hint="eastAsia" w:ascii="Calibri" w:hAnsi="Calibri" w:eastAsia="宋体" w:cs="Times New Roman"/>
          <w:kern w:val="2"/>
          <w:sz w:val="21"/>
          <w:szCs w:val="22"/>
          <w:highlight w:val="none"/>
          <w:lang w:val="en-US" w:eastAsia="zh-CN" w:bidi="ar-SA"/>
        </w:rPr>
        <w:t>*</w:t>
      </w:r>
      <w:r>
        <w:rPr>
          <w:rFonts w:ascii="Calibri" w:hAnsi="Calibri" w:eastAsia="宋体" w:cs="Times New Roman"/>
          <w:kern w:val="2"/>
          <w:sz w:val="21"/>
          <w:szCs w:val="22"/>
          <w:highlight w:val="none"/>
          <w:lang w:val="en-US" w:eastAsia="zh-CN" w:bidi="ar-SA"/>
        </w:rPr>
        <w:t>**</w:t>
      </w:r>
    </w:p>
    <w:p w14:paraId="434F8136">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43B20B6-1583-4E4F-8041-E847CADFF55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D2DDEF0-8C73-48C8-A2DF-F184F203F8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D8E9D9E-4F84-4CF3-B5AA-0C80374EEA1B}"/>
  </w:font>
  <w:font w:name="仿宋">
    <w:panose1 w:val="02010609060101010101"/>
    <w:charset w:val="86"/>
    <w:family w:val="modern"/>
    <w:pitch w:val="default"/>
    <w:sig w:usb0="800002BF" w:usb1="38CF7CFA" w:usb2="00000016" w:usb3="00000000" w:csb0="00040001" w:csb1="00000000"/>
    <w:embedRegular r:id="rId4" w:fontKey="{7BEB6184-1C5C-4C04-82C3-62872023F4E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379ACFB6-F018-427B-8965-A9076E1D6E9F}"/>
  </w:font>
  <w:font w:name="Wingdings 2">
    <w:altName w:val="Wingdings"/>
    <w:panose1 w:val="05020102010507070707"/>
    <w:charset w:val="4D"/>
    <w:family w:val="decorative"/>
    <w:pitch w:val="default"/>
    <w:sig w:usb0="00000000" w:usb1="00000000" w:usb2="00000000" w:usb3="00000000" w:csb0="80000001" w:csb1="00000000"/>
    <w:embedRegular r:id="rId6" w:fontKey="{5F9C2259-5B72-47E2-BA60-F2811A5129B0}"/>
  </w:font>
  <w:font w:name="Songti SC">
    <w:altName w:val="宋体"/>
    <w:panose1 w:val="02010600040101010101"/>
    <w:charset w:val="86"/>
    <w:family w:val="auto"/>
    <w:pitch w:val="default"/>
    <w:sig w:usb0="00000000" w:usb1="00000000" w:usb2="00000010" w:usb3="00000000" w:csb0="0004009F" w:csb1="00000000"/>
    <w:embedRegular r:id="rId7" w:fontKey="{54D92820-87D4-40E7-B536-D881B661CD8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57D1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B57D1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8">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7"/>
  </w:num>
  <w:num w:numId="4">
    <w:abstractNumId w:val="27"/>
  </w:num>
  <w:num w:numId="5">
    <w:abstractNumId w:val="11"/>
  </w:num>
  <w:num w:numId="6">
    <w:abstractNumId w:val="22"/>
  </w:num>
  <w:num w:numId="7">
    <w:abstractNumId w:val="16"/>
  </w:num>
  <w:num w:numId="8">
    <w:abstractNumId w:val="2"/>
  </w:num>
  <w:num w:numId="9">
    <w:abstractNumId w:val="1"/>
  </w:num>
  <w:num w:numId="10">
    <w:abstractNumId w:val="0"/>
  </w:num>
  <w:num w:numId="11">
    <w:abstractNumId w:val="4"/>
  </w:num>
  <w:num w:numId="12">
    <w:abstractNumId w:val="7"/>
  </w:num>
  <w:num w:numId="13">
    <w:abstractNumId w:val="24"/>
  </w:num>
  <w:num w:numId="14">
    <w:abstractNumId w:val="5"/>
  </w:num>
  <w:num w:numId="15">
    <w:abstractNumId w:val="28"/>
  </w:num>
  <w:num w:numId="16">
    <w:abstractNumId w:val="26"/>
  </w:num>
  <w:num w:numId="17">
    <w:abstractNumId w:val="20"/>
  </w:num>
  <w:num w:numId="18">
    <w:abstractNumId w:val="8"/>
  </w:num>
  <w:num w:numId="19">
    <w:abstractNumId w:val="12"/>
  </w:num>
  <w:num w:numId="20">
    <w:abstractNumId w:val="6"/>
  </w:num>
  <w:num w:numId="21">
    <w:abstractNumId w:val="15"/>
  </w:num>
  <w:num w:numId="22">
    <w:abstractNumId w:val="25"/>
  </w:num>
  <w:num w:numId="23">
    <w:abstractNumId w:val="23"/>
  </w:num>
  <w:num w:numId="24">
    <w:abstractNumId w:val="18"/>
  </w:num>
  <w:num w:numId="25">
    <w:abstractNumId w:val="14"/>
  </w:num>
  <w:num w:numId="26">
    <w:abstractNumId w:val="9"/>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0418"/>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777354"/>
    <w:rsid w:val="04BC1856"/>
    <w:rsid w:val="04F93B27"/>
    <w:rsid w:val="058C78B0"/>
    <w:rsid w:val="05D62E8D"/>
    <w:rsid w:val="05E13064"/>
    <w:rsid w:val="05E51322"/>
    <w:rsid w:val="05FD48BE"/>
    <w:rsid w:val="066C559F"/>
    <w:rsid w:val="06897EFF"/>
    <w:rsid w:val="078A573C"/>
    <w:rsid w:val="082425D6"/>
    <w:rsid w:val="083251D0"/>
    <w:rsid w:val="08326375"/>
    <w:rsid w:val="0837398B"/>
    <w:rsid w:val="083A1BBD"/>
    <w:rsid w:val="08745B19"/>
    <w:rsid w:val="08AC34C9"/>
    <w:rsid w:val="08EE39BE"/>
    <w:rsid w:val="09353038"/>
    <w:rsid w:val="093A3733"/>
    <w:rsid w:val="09BE0A46"/>
    <w:rsid w:val="09DF48E1"/>
    <w:rsid w:val="0A220AAD"/>
    <w:rsid w:val="0A5151D8"/>
    <w:rsid w:val="0A5C2888"/>
    <w:rsid w:val="0A726EFC"/>
    <w:rsid w:val="0B4508AE"/>
    <w:rsid w:val="0B63734C"/>
    <w:rsid w:val="0C120997"/>
    <w:rsid w:val="0C774C9E"/>
    <w:rsid w:val="0C965124"/>
    <w:rsid w:val="0CF161C9"/>
    <w:rsid w:val="0CF705D6"/>
    <w:rsid w:val="0D26294C"/>
    <w:rsid w:val="0D5C636E"/>
    <w:rsid w:val="0D7D4536"/>
    <w:rsid w:val="0DF742E8"/>
    <w:rsid w:val="0E0B7FF0"/>
    <w:rsid w:val="0E5B6625"/>
    <w:rsid w:val="0EAC189D"/>
    <w:rsid w:val="0ED42CB4"/>
    <w:rsid w:val="0F5D2ECD"/>
    <w:rsid w:val="0FAE09D7"/>
    <w:rsid w:val="0FC14BAE"/>
    <w:rsid w:val="101A497B"/>
    <w:rsid w:val="10264A11"/>
    <w:rsid w:val="10432B4B"/>
    <w:rsid w:val="10A15B58"/>
    <w:rsid w:val="110E1F50"/>
    <w:rsid w:val="117A5014"/>
    <w:rsid w:val="127F05A0"/>
    <w:rsid w:val="1299771C"/>
    <w:rsid w:val="12BC165D"/>
    <w:rsid w:val="130A5001"/>
    <w:rsid w:val="131B2827"/>
    <w:rsid w:val="136D78F8"/>
    <w:rsid w:val="13806B2E"/>
    <w:rsid w:val="13AC16D1"/>
    <w:rsid w:val="14221993"/>
    <w:rsid w:val="144B0EEA"/>
    <w:rsid w:val="14A32AD4"/>
    <w:rsid w:val="15567E5A"/>
    <w:rsid w:val="15CC4977"/>
    <w:rsid w:val="16077093"/>
    <w:rsid w:val="162A4F7D"/>
    <w:rsid w:val="16A82A66"/>
    <w:rsid w:val="16DE614F"/>
    <w:rsid w:val="17233056"/>
    <w:rsid w:val="17826121"/>
    <w:rsid w:val="17D22B27"/>
    <w:rsid w:val="18316649"/>
    <w:rsid w:val="18E216F1"/>
    <w:rsid w:val="1954595C"/>
    <w:rsid w:val="1994787E"/>
    <w:rsid w:val="1A82318C"/>
    <w:rsid w:val="1AF1699F"/>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D615C"/>
    <w:rsid w:val="1ECE5AEC"/>
    <w:rsid w:val="1FE21EC2"/>
    <w:rsid w:val="1FF95C9E"/>
    <w:rsid w:val="209239FD"/>
    <w:rsid w:val="20CF13CE"/>
    <w:rsid w:val="215D225D"/>
    <w:rsid w:val="21B53E47"/>
    <w:rsid w:val="21F77FBB"/>
    <w:rsid w:val="22935D1D"/>
    <w:rsid w:val="2393373D"/>
    <w:rsid w:val="23B24AE2"/>
    <w:rsid w:val="23D4489F"/>
    <w:rsid w:val="23D83E1C"/>
    <w:rsid w:val="24466FD8"/>
    <w:rsid w:val="24727DCD"/>
    <w:rsid w:val="25186BC6"/>
    <w:rsid w:val="252B6033"/>
    <w:rsid w:val="252F4AB5"/>
    <w:rsid w:val="25537BFE"/>
    <w:rsid w:val="25F95EEC"/>
    <w:rsid w:val="262001B9"/>
    <w:rsid w:val="264F486A"/>
    <w:rsid w:val="271635BC"/>
    <w:rsid w:val="277F4CDB"/>
    <w:rsid w:val="27B87AF9"/>
    <w:rsid w:val="27DA0163"/>
    <w:rsid w:val="27E80EA9"/>
    <w:rsid w:val="280414A1"/>
    <w:rsid w:val="285223EF"/>
    <w:rsid w:val="28570368"/>
    <w:rsid w:val="28A27020"/>
    <w:rsid w:val="28A7765B"/>
    <w:rsid w:val="28E14F1E"/>
    <w:rsid w:val="29A44ECD"/>
    <w:rsid w:val="29C5318E"/>
    <w:rsid w:val="2A142F93"/>
    <w:rsid w:val="2A81391B"/>
    <w:rsid w:val="2B502F98"/>
    <w:rsid w:val="2BE05F64"/>
    <w:rsid w:val="2C9A0A9E"/>
    <w:rsid w:val="2D2F2FAF"/>
    <w:rsid w:val="2DA70D65"/>
    <w:rsid w:val="2DBC4548"/>
    <w:rsid w:val="2E3D31FA"/>
    <w:rsid w:val="2E693FEF"/>
    <w:rsid w:val="2E9C2616"/>
    <w:rsid w:val="2F575E37"/>
    <w:rsid w:val="2FEF6776"/>
    <w:rsid w:val="30136908"/>
    <w:rsid w:val="30E31FB7"/>
    <w:rsid w:val="30F77FD8"/>
    <w:rsid w:val="31322DBE"/>
    <w:rsid w:val="31BB1552"/>
    <w:rsid w:val="32165D3B"/>
    <w:rsid w:val="325356E2"/>
    <w:rsid w:val="332B5D17"/>
    <w:rsid w:val="333F7A14"/>
    <w:rsid w:val="337D6587"/>
    <w:rsid w:val="3427766B"/>
    <w:rsid w:val="343706EB"/>
    <w:rsid w:val="34713BFD"/>
    <w:rsid w:val="34830DA6"/>
    <w:rsid w:val="35154C31"/>
    <w:rsid w:val="351A08D0"/>
    <w:rsid w:val="35566D97"/>
    <w:rsid w:val="35805CB0"/>
    <w:rsid w:val="35A26038"/>
    <w:rsid w:val="35A41DB0"/>
    <w:rsid w:val="35BC70FA"/>
    <w:rsid w:val="360E6B9F"/>
    <w:rsid w:val="36334CE5"/>
    <w:rsid w:val="3701395E"/>
    <w:rsid w:val="37920A5A"/>
    <w:rsid w:val="37BE35FD"/>
    <w:rsid w:val="380A6843"/>
    <w:rsid w:val="382B5F8F"/>
    <w:rsid w:val="391E6AEA"/>
    <w:rsid w:val="393671C3"/>
    <w:rsid w:val="39D1036D"/>
    <w:rsid w:val="39FE0F50"/>
    <w:rsid w:val="3A3F1B1E"/>
    <w:rsid w:val="3A3F7CA5"/>
    <w:rsid w:val="3A551407"/>
    <w:rsid w:val="3ADA3F47"/>
    <w:rsid w:val="3B033C36"/>
    <w:rsid w:val="3B087E10"/>
    <w:rsid w:val="3B9C7486"/>
    <w:rsid w:val="3C333E8E"/>
    <w:rsid w:val="3C8A61A4"/>
    <w:rsid w:val="3CB90F2D"/>
    <w:rsid w:val="3CE05DC4"/>
    <w:rsid w:val="3CEE6201"/>
    <w:rsid w:val="3D385C00"/>
    <w:rsid w:val="3DBF7BA4"/>
    <w:rsid w:val="3E57579A"/>
    <w:rsid w:val="3E5D4E8E"/>
    <w:rsid w:val="3EBC460F"/>
    <w:rsid w:val="3EF618CF"/>
    <w:rsid w:val="3F0A7128"/>
    <w:rsid w:val="3FE25336"/>
    <w:rsid w:val="400675E8"/>
    <w:rsid w:val="40073668"/>
    <w:rsid w:val="40866C82"/>
    <w:rsid w:val="40A62E81"/>
    <w:rsid w:val="40C31C84"/>
    <w:rsid w:val="41076015"/>
    <w:rsid w:val="411D6F49"/>
    <w:rsid w:val="415563F3"/>
    <w:rsid w:val="42075FF8"/>
    <w:rsid w:val="422C3859"/>
    <w:rsid w:val="42842020"/>
    <w:rsid w:val="42876CE2"/>
    <w:rsid w:val="43656A9D"/>
    <w:rsid w:val="44150A49"/>
    <w:rsid w:val="444340B2"/>
    <w:rsid w:val="44E81B7F"/>
    <w:rsid w:val="4513485D"/>
    <w:rsid w:val="468567BB"/>
    <w:rsid w:val="471D5954"/>
    <w:rsid w:val="4734568A"/>
    <w:rsid w:val="476060E7"/>
    <w:rsid w:val="477D1C88"/>
    <w:rsid w:val="4782487D"/>
    <w:rsid w:val="47B71E17"/>
    <w:rsid w:val="48F43C50"/>
    <w:rsid w:val="49A10689"/>
    <w:rsid w:val="49B127EB"/>
    <w:rsid w:val="49D56585"/>
    <w:rsid w:val="49FC25C6"/>
    <w:rsid w:val="4A052D2B"/>
    <w:rsid w:val="4A3D2AA8"/>
    <w:rsid w:val="4A475610"/>
    <w:rsid w:val="4ABD5996"/>
    <w:rsid w:val="4B31068E"/>
    <w:rsid w:val="4B410375"/>
    <w:rsid w:val="4B4D6D1A"/>
    <w:rsid w:val="4B693428"/>
    <w:rsid w:val="4BA55220"/>
    <w:rsid w:val="4BAD0151"/>
    <w:rsid w:val="4BB943B0"/>
    <w:rsid w:val="4BCA036B"/>
    <w:rsid w:val="4BF453E8"/>
    <w:rsid w:val="4C184E09"/>
    <w:rsid w:val="4C2757BD"/>
    <w:rsid w:val="4C7E73A7"/>
    <w:rsid w:val="4C8F75A2"/>
    <w:rsid w:val="4D7F33D7"/>
    <w:rsid w:val="4DAD4403"/>
    <w:rsid w:val="4E0336C0"/>
    <w:rsid w:val="4E6F0D56"/>
    <w:rsid w:val="4E8C008E"/>
    <w:rsid w:val="4E9B1B4B"/>
    <w:rsid w:val="4EA312FE"/>
    <w:rsid w:val="4EDC5ADC"/>
    <w:rsid w:val="4EE002CE"/>
    <w:rsid w:val="4F125087"/>
    <w:rsid w:val="4FEF758C"/>
    <w:rsid w:val="501A6E72"/>
    <w:rsid w:val="501C4F0D"/>
    <w:rsid w:val="50201D6B"/>
    <w:rsid w:val="503A2AB3"/>
    <w:rsid w:val="50771A9C"/>
    <w:rsid w:val="51C47F6D"/>
    <w:rsid w:val="52B256B5"/>
    <w:rsid w:val="52FB52AE"/>
    <w:rsid w:val="54063F0A"/>
    <w:rsid w:val="5455382C"/>
    <w:rsid w:val="547F7727"/>
    <w:rsid w:val="55342CF9"/>
    <w:rsid w:val="554674F7"/>
    <w:rsid w:val="560662B2"/>
    <w:rsid w:val="57F549C2"/>
    <w:rsid w:val="589C07F4"/>
    <w:rsid w:val="58FA7105"/>
    <w:rsid w:val="590E4DA8"/>
    <w:rsid w:val="59357973"/>
    <w:rsid w:val="59965D30"/>
    <w:rsid w:val="5A3727CC"/>
    <w:rsid w:val="5A6307F6"/>
    <w:rsid w:val="5AA47FD9"/>
    <w:rsid w:val="5AF30DAE"/>
    <w:rsid w:val="5B81031A"/>
    <w:rsid w:val="5BA529F7"/>
    <w:rsid w:val="5C205D85"/>
    <w:rsid w:val="5C6043D4"/>
    <w:rsid w:val="5D0A3490"/>
    <w:rsid w:val="5D7E0D39"/>
    <w:rsid w:val="5DC67BBD"/>
    <w:rsid w:val="5DDF2DD1"/>
    <w:rsid w:val="5DE057CC"/>
    <w:rsid w:val="5E2E5CB0"/>
    <w:rsid w:val="5E490A40"/>
    <w:rsid w:val="5E9D3F29"/>
    <w:rsid w:val="5EDF45D6"/>
    <w:rsid w:val="5F353859"/>
    <w:rsid w:val="5F381638"/>
    <w:rsid w:val="5F64242D"/>
    <w:rsid w:val="5FB63195"/>
    <w:rsid w:val="60384CD1"/>
    <w:rsid w:val="60557590"/>
    <w:rsid w:val="60655808"/>
    <w:rsid w:val="606C7EF8"/>
    <w:rsid w:val="608E1541"/>
    <w:rsid w:val="60F86CEE"/>
    <w:rsid w:val="610750C1"/>
    <w:rsid w:val="617D1584"/>
    <w:rsid w:val="62037CDB"/>
    <w:rsid w:val="6220263B"/>
    <w:rsid w:val="63A9427A"/>
    <w:rsid w:val="63D462B1"/>
    <w:rsid w:val="63E678B4"/>
    <w:rsid w:val="63FF44D2"/>
    <w:rsid w:val="641A3596"/>
    <w:rsid w:val="649B069F"/>
    <w:rsid w:val="64C00105"/>
    <w:rsid w:val="64C36D7E"/>
    <w:rsid w:val="64D96647"/>
    <w:rsid w:val="64F90F01"/>
    <w:rsid w:val="655B51E5"/>
    <w:rsid w:val="65B167A2"/>
    <w:rsid w:val="65E40ADA"/>
    <w:rsid w:val="66330B86"/>
    <w:rsid w:val="66C75603"/>
    <w:rsid w:val="66E22203"/>
    <w:rsid w:val="677B6565"/>
    <w:rsid w:val="67AB0BF9"/>
    <w:rsid w:val="67CC4DBC"/>
    <w:rsid w:val="68B812C9"/>
    <w:rsid w:val="68DE4FFE"/>
    <w:rsid w:val="694A4441"/>
    <w:rsid w:val="698536CB"/>
    <w:rsid w:val="698D7E01"/>
    <w:rsid w:val="699E0F96"/>
    <w:rsid w:val="69D50CF4"/>
    <w:rsid w:val="69D73D89"/>
    <w:rsid w:val="69FF522C"/>
    <w:rsid w:val="6A535578"/>
    <w:rsid w:val="6AE34B4E"/>
    <w:rsid w:val="6BBB1173"/>
    <w:rsid w:val="6C487AFD"/>
    <w:rsid w:val="6C8664BC"/>
    <w:rsid w:val="6CB24363"/>
    <w:rsid w:val="6D3E7C18"/>
    <w:rsid w:val="6DBB3A8B"/>
    <w:rsid w:val="6DE573D0"/>
    <w:rsid w:val="6E721F63"/>
    <w:rsid w:val="6EA93466"/>
    <w:rsid w:val="6EBE56B6"/>
    <w:rsid w:val="6EFF37D8"/>
    <w:rsid w:val="6F146151"/>
    <w:rsid w:val="6F276F27"/>
    <w:rsid w:val="6F7D4948"/>
    <w:rsid w:val="6F960C48"/>
    <w:rsid w:val="6FCF0795"/>
    <w:rsid w:val="6FE70C3C"/>
    <w:rsid w:val="700560CB"/>
    <w:rsid w:val="70643A4D"/>
    <w:rsid w:val="70C90342"/>
    <w:rsid w:val="70F10A19"/>
    <w:rsid w:val="71381023"/>
    <w:rsid w:val="7252741C"/>
    <w:rsid w:val="732B6917"/>
    <w:rsid w:val="735465E8"/>
    <w:rsid w:val="73714961"/>
    <w:rsid w:val="74060F7A"/>
    <w:rsid w:val="74D27DA9"/>
    <w:rsid w:val="74D925D0"/>
    <w:rsid w:val="754825D6"/>
    <w:rsid w:val="754D1D92"/>
    <w:rsid w:val="75676A2A"/>
    <w:rsid w:val="758350A9"/>
    <w:rsid w:val="75AB44BA"/>
    <w:rsid w:val="75DE488F"/>
    <w:rsid w:val="7626068B"/>
    <w:rsid w:val="76EE55AC"/>
    <w:rsid w:val="772B3B04"/>
    <w:rsid w:val="773521BD"/>
    <w:rsid w:val="775F0433"/>
    <w:rsid w:val="77BE6726"/>
    <w:rsid w:val="77EE068E"/>
    <w:rsid w:val="78412EB3"/>
    <w:rsid w:val="788B412F"/>
    <w:rsid w:val="78AA2807"/>
    <w:rsid w:val="79345C92"/>
    <w:rsid w:val="79687E1D"/>
    <w:rsid w:val="7B560FD7"/>
    <w:rsid w:val="7B5F74F8"/>
    <w:rsid w:val="7B690630"/>
    <w:rsid w:val="7BC01667"/>
    <w:rsid w:val="7BD0027A"/>
    <w:rsid w:val="7C5123F4"/>
    <w:rsid w:val="7C7E6FA2"/>
    <w:rsid w:val="7C91652D"/>
    <w:rsid w:val="7CF77FE5"/>
    <w:rsid w:val="7D040AB6"/>
    <w:rsid w:val="7D1F3B45"/>
    <w:rsid w:val="7D23174B"/>
    <w:rsid w:val="7D4119E6"/>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1286</Words>
  <Characters>1353</Characters>
  <Lines>72</Lines>
  <Paragraphs>20</Paragraphs>
  <TotalTime>23</TotalTime>
  <ScaleCrop>false</ScaleCrop>
  <LinksUpToDate>false</LinksUpToDate>
  <CharactersWithSpaces>1406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2026-10-26T08:32:30Z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