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四川省人民医院存储维保采购项目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62832406"/>
      <w:bookmarkStart w:id="1" w:name="_Toc471310326"/>
      <w:bookmarkStart w:id="2" w:name="_Toc21919"/>
      <w:bookmarkStart w:id="3" w:name="_Toc3240"/>
      <w:bookmarkStart w:id="4" w:name="_Toc1907"/>
      <w:bookmarkStart w:id="5" w:name="_Toc20358"/>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四川省人民医院存储维保采购项目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仿宋" w:hAnsi="仿宋" w:eastAsia="仿宋" w:cs="仿宋"/>
                <w:b w:val="0"/>
                <w:bCs w:val="0"/>
                <w:sz w:val="22"/>
                <w:lang w:eastAsia="zh-CN"/>
              </w:rPr>
              <w:t>CGZX-YXX20260567</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u w:val="none"/>
              </w:rPr>
              <w:t>人民币314700元</w:t>
            </w:r>
            <w:r>
              <w:rPr>
                <w:rFonts w:hint="eastAsia" w:ascii="仿宋" w:hAnsi="仿宋" w:eastAsia="仿宋" w:cs="仿宋"/>
                <w:sz w:val="22"/>
                <w:u w:val="none"/>
                <w:lang w:eastAsia="zh-CN"/>
              </w:rPr>
              <w:t>。限高单价</w:t>
            </w:r>
            <w:r>
              <w:rPr>
                <w:rFonts w:hint="eastAsia" w:ascii="仿宋" w:hAnsi="仿宋" w:eastAsia="仿宋" w:cs="仿宋"/>
                <w:sz w:val="22"/>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u w:val="single"/>
                <w:lang w:val="zh-CN"/>
              </w:rPr>
              <w:t>XXX</w:t>
            </w:r>
            <w:r>
              <w:rPr>
                <w:rFonts w:ascii="Times New Roman" w:hAnsi="Times New Roman" w:eastAsia="仿宋" w:cs="Times New Roman"/>
                <w:sz w:val="22"/>
                <w:szCs w:val="22"/>
                <w:u w:val="single"/>
                <w:lang w:val="zh-CN"/>
              </w:rPr>
              <w:t>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u w:val="none"/>
              </w:rPr>
            </w:pPr>
            <w:r>
              <w:rPr>
                <w:rFonts w:hint="eastAsia" w:ascii="仿宋" w:hAnsi="仿宋" w:eastAsia="仿宋" w:cs="仿宋"/>
                <w:sz w:val="22"/>
                <w:szCs w:val="22"/>
                <w:u w:val="none"/>
              </w:rPr>
              <w:t>（2）归口部门：</w:t>
            </w:r>
            <w:r>
              <w:rPr>
                <w:rFonts w:hint="eastAsia" w:ascii="仿宋" w:hAnsi="仿宋" w:eastAsia="仿宋" w:cs="仿宋"/>
                <w:sz w:val="22"/>
                <w:szCs w:val="22"/>
                <w:u w:val="none"/>
                <w:lang w:val="en-US" w:eastAsia="zh-CN"/>
              </w:rPr>
              <w:t>医学信息中心</w:t>
            </w:r>
          </w:p>
          <w:p w14:paraId="677B508E">
            <w:pPr>
              <w:shd w:val="clear"/>
              <w:spacing w:line="360" w:lineRule="auto"/>
              <w:ind w:left="210" w:leftChars="100"/>
              <w:rPr>
                <w:rFonts w:hint="eastAsia" w:ascii="仿宋" w:hAnsi="仿宋" w:eastAsia="仿宋" w:cs="仿宋"/>
                <w:color w:val="auto"/>
                <w:sz w:val="22"/>
                <w:szCs w:val="22"/>
                <w:highlight w:val="none"/>
                <w:u w:val="none"/>
                <w:lang w:val="en-US" w:eastAsia="zh-CN"/>
              </w:rPr>
            </w:pPr>
            <w:r>
              <w:rPr>
                <w:rFonts w:hint="eastAsia" w:ascii="仿宋" w:hAnsi="仿宋" w:eastAsia="仿宋" w:cs="仿宋"/>
                <w:sz w:val="22"/>
                <w:szCs w:val="22"/>
                <w:u w:val="none"/>
              </w:rPr>
              <w:t>联系方式</w:t>
            </w:r>
            <w:r>
              <w:rPr>
                <w:rFonts w:hint="eastAsia" w:ascii="仿宋" w:hAnsi="仿宋" w:eastAsia="仿宋" w:cs="仿宋"/>
                <w:color w:val="auto"/>
                <w:sz w:val="22"/>
                <w:szCs w:val="22"/>
                <w:highlight w:val="none"/>
                <w:u w:val="none"/>
              </w:rPr>
              <w:t>：</w:t>
            </w:r>
            <w:r>
              <w:rPr>
                <w:rFonts w:hint="eastAsia" w:ascii="仿宋" w:hAnsi="仿宋" w:eastAsia="仿宋" w:cs="仿宋"/>
                <w:color w:val="auto"/>
                <w:sz w:val="22"/>
                <w:szCs w:val="22"/>
                <w:highlight w:val="none"/>
                <w:u w:val="none"/>
                <w:lang w:val="en-US" w:eastAsia="zh-CN"/>
              </w:rPr>
              <w:t>林</w:t>
            </w:r>
            <w:r>
              <w:rPr>
                <w:rFonts w:hint="eastAsia" w:ascii="仿宋" w:hAnsi="仿宋" w:eastAsia="仿宋" w:cs="仿宋"/>
                <w:color w:val="auto"/>
                <w:sz w:val="22"/>
                <w:szCs w:val="22"/>
                <w:highlight w:val="none"/>
                <w:u w:val="none"/>
              </w:rPr>
              <w:t>老师</w:t>
            </w:r>
            <w:r>
              <w:rPr>
                <w:rFonts w:hint="eastAsia" w:ascii="仿宋" w:hAnsi="仿宋" w:eastAsia="仿宋" w:cs="仿宋"/>
                <w:color w:val="auto"/>
                <w:sz w:val="22"/>
                <w:szCs w:val="22"/>
                <w:highlight w:val="none"/>
                <w:u w:val="none"/>
                <w:lang w:val="en-US" w:eastAsia="zh-CN"/>
              </w:rPr>
              <w:t xml:space="preserve"> </w:t>
            </w:r>
            <w:r>
              <w:rPr>
                <w:rFonts w:hint="eastAsia" w:ascii="仿宋" w:hAnsi="仿宋" w:eastAsia="仿宋" w:cs="仿宋"/>
                <w:color w:val="auto"/>
                <w:sz w:val="22"/>
                <w:szCs w:val="22"/>
                <w:highlight w:val="none"/>
                <w:u w:val="none"/>
              </w:rPr>
              <w:t>028-</w:t>
            </w:r>
            <w:r>
              <w:rPr>
                <w:rFonts w:hint="eastAsia" w:ascii="仿宋" w:hAnsi="仿宋" w:eastAsia="仿宋" w:cs="仿宋"/>
                <w:color w:val="auto"/>
                <w:sz w:val="22"/>
                <w:szCs w:val="22"/>
                <w:highlight w:val="none"/>
                <w:u w:val="none"/>
                <w:lang w:val="en-US" w:eastAsia="zh-CN"/>
              </w:rPr>
              <w:t>87393250</w:t>
            </w:r>
          </w:p>
          <w:p w14:paraId="4C76527E">
            <w:pPr>
              <w:shd w:val="clear"/>
              <w:spacing w:line="360" w:lineRule="auto"/>
              <w:ind w:left="210" w:leftChars="100"/>
              <w:rPr>
                <w:rFonts w:hint="eastAsia" w:ascii="仿宋" w:hAnsi="仿宋" w:eastAsia="仿宋" w:cs="仿宋"/>
                <w:sz w:val="22"/>
                <w:szCs w:val="22"/>
              </w:rPr>
            </w:pPr>
            <w:r>
              <w:rPr>
                <w:rFonts w:hint="eastAsia" w:ascii="仿宋" w:hAnsi="仿宋" w:eastAsia="仿宋" w:cs="仿宋"/>
                <w:color w:val="auto"/>
                <w:sz w:val="22"/>
                <w:szCs w:val="22"/>
                <w:highlight w:val="none"/>
              </w:rPr>
              <w:t>（3）监督部门：</w:t>
            </w:r>
            <w:r>
              <w:rPr>
                <w:rFonts w:hint="eastAsia" w:ascii="仿宋" w:hAnsi="仿宋" w:eastAsia="仿宋" w:cs="仿宋"/>
                <w:sz w:val="22"/>
                <w:szCs w:val="22"/>
              </w:rPr>
              <w:t>审计部</w:t>
            </w:r>
          </w:p>
          <w:p w14:paraId="3C2EDCE7">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4154"/>
      <w:bookmarkStart w:id="7" w:name="_Toc22329"/>
      <w:bookmarkStart w:id="8" w:name="_Toc14460"/>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28050"/>
      <w:bookmarkStart w:id="10" w:name="_Toc19400"/>
      <w:bookmarkStart w:id="11" w:name="_Toc32181"/>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val="en-US" w:eastAsia="zh-CN"/>
              </w:rPr>
              <w:t xml:space="preserve">无 </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16403"/>
      <w:bookmarkStart w:id="13" w:name="_Toc3988"/>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本项目拟确定一名供应商为四川省人民医院提供存储维保服务。</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b w:val="0"/>
          <w:bCs/>
          <w:kern w:val="2"/>
          <w:sz w:val="24"/>
          <w:szCs w:val="24"/>
        </w:rPr>
        <w:t>★</w:t>
      </w:r>
      <w:r>
        <w:rPr>
          <w:rFonts w:hint="eastAsia" w:ascii="仿宋" w:hAnsi="仿宋" w:eastAsia="仿宋" w:cs="仿宋"/>
          <w:kern w:val="2"/>
          <w:sz w:val="24"/>
          <w:szCs w:val="24"/>
          <w:lang w:val="en-US" w:eastAsia="zh-CN" w:bidi="ar-SA"/>
        </w:rPr>
        <w:t>二、</w:t>
      </w:r>
      <w:r>
        <w:rPr>
          <w:rFonts w:hint="eastAsia" w:ascii="仿宋" w:hAnsi="仿宋" w:cs="仿宋"/>
          <w:kern w:val="2"/>
          <w:sz w:val="24"/>
          <w:szCs w:val="24"/>
          <w:lang w:val="en-US" w:eastAsia="zh-CN" w:bidi="ar-SA"/>
        </w:rPr>
        <w:t>维保设备</w:t>
      </w:r>
      <w:r>
        <w:rPr>
          <w:rFonts w:hint="eastAsia" w:ascii="仿宋" w:hAnsi="仿宋" w:eastAsia="仿宋" w:cs="仿宋"/>
          <w:kern w:val="2"/>
          <w:sz w:val="24"/>
          <w:szCs w:val="24"/>
        </w:rPr>
        <w:t>清单</w:t>
      </w:r>
    </w:p>
    <w:tbl>
      <w:tblPr>
        <w:tblStyle w:val="18"/>
        <w:tblW w:w="499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23"/>
        <w:gridCol w:w="2312"/>
        <w:gridCol w:w="1324"/>
        <w:gridCol w:w="1275"/>
        <w:gridCol w:w="1104"/>
        <w:gridCol w:w="1549"/>
        <w:gridCol w:w="1451"/>
      </w:tblGrid>
      <w:tr w14:paraId="3EF3D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5" w:hRule="atLeast"/>
          <w:jc w:val="center"/>
        </w:trPr>
        <w:tc>
          <w:tcPr>
            <w:tcW w:w="824" w:type="dxa"/>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center"/>
          </w:tcPr>
          <w:p w14:paraId="56F0516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center"/>
              <w:textAlignment w:val="center"/>
              <w:rPr>
                <w:rFonts w:hint="eastAsia" w:ascii="仿宋" w:hAnsi="仿宋" w:eastAsia="仿宋" w:cs="仿宋"/>
                <w:sz w:val="24"/>
                <w:szCs w:val="24"/>
              </w:rPr>
            </w:pPr>
            <w:r>
              <w:rPr>
                <w:rStyle w:val="21"/>
                <w:rFonts w:hint="eastAsia" w:ascii="仿宋" w:hAnsi="仿宋" w:eastAsia="仿宋" w:cs="仿宋"/>
                <w:color w:val="000000"/>
                <w:sz w:val="24"/>
                <w:szCs w:val="24"/>
              </w:rPr>
              <w:t>序号</w:t>
            </w:r>
          </w:p>
        </w:tc>
        <w:tc>
          <w:tcPr>
            <w:tcW w:w="2313"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1499D20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center"/>
              <w:textAlignment w:val="center"/>
              <w:rPr>
                <w:rFonts w:hint="eastAsia" w:ascii="仿宋" w:hAnsi="仿宋" w:eastAsia="仿宋" w:cs="仿宋"/>
                <w:sz w:val="24"/>
                <w:szCs w:val="24"/>
              </w:rPr>
            </w:pPr>
            <w:r>
              <w:rPr>
                <w:rStyle w:val="21"/>
                <w:rFonts w:hint="eastAsia" w:ascii="仿宋" w:hAnsi="仿宋" w:eastAsia="仿宋" w:cs="仿宋"/>
                <w:color w:val="000000"/>
                <w:sz w:val="24"/>
                <w:szCs w:val="24"/>
              </w:rPr>
              <w:t>名称</w:t>
            </w:r>
          </w:p>
        </w:tc>
        <w:tc>
          <w:tcPr>
            <w:tcW w:w="1324"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5557664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center"/>
              <w:textAlignment w:val="center"/>
              <w:rPr>
                <w:rFonts w:hint="eastAsia" w:ascii="仿宋" w:hAnsi="仿宋" w:eastAsia="仿宋" w:cs="仿宋"/>
                <w:sz w:val="24"/>
                <w:szCs w:val="24"/>
              </w:rPr>
            </w:pPr>
            <w:r>
              <w:rPr>
                <w:rStyle w:val="21"/>
                <w:rFonts w:hint="eastAsia" w:ascii="仿宋" w:hAnsi="仿宋" w:eastAsia="仿宋" w:cs="仿宋"/>
                <w:color w:val="000000"/>
                <w:sz w:val="24"/>
                <w:szCs w:val="24"/>
              </w:rPr>
              <w:t>类型</w:t>
            </w:r>
          </w:p>
        </w:tc>
        <w:tc>
          <w:tcPr>
            <w:tcW w:w="1275"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3B117B7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center"/>
              <w:textAlignment w:val="center"/>
              <w:rPr>
                <w:rFonts w:hint="eastAsia" w:ascii="仿宋" w:hAnsi="仿宋" w:eastAsia="仿宋" w:cs="仿宋"/>
                <w:sz w:val="24"/>
                <w:szCs w:val="24"/>
              </w:rPr>
            </w:pPr>
            <w:r>
              <w:rPr>
                <w:rStyle w:val="21"/>
                <w:rFonts w:hint="eastAsia" w:ascii="仿宋" w:hAnsi="仿宋" w:eastAsia="仿宋" w:cs="仿宋"/>
                <w:color w:val="000000"/>
                <w:sz w:val="24"/>
                <w:szCs w:val="24"/>
              </w:rPr>
              <w:t>数量</w:t>
            </w:r>
          </w:p>
        </w:tc>
        <w:tc>
          <w:tcPr>
            <w:tcW w:w="1104"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6861FA4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center"/>
              <w:textAlignment w:val="center"/>
              <w:rPr>
                <w:rStyle w:val="21"/>
                <w:rFonts w:hint="eastAsia" w:ascii="仿宋" w:hAnsi="仿宋" w:eastAsia="仿宋" w:cs="仿宋"/>
                <w:color w:val="000000"/>
                <w:sz w:val="24"/>
                <w:szCs w:val="24"/>
                <w:lang w:val="en-US" w:eastAsia="zh-CN"/>
              </w:rPr>
            </w:pPr>
            <w:r>
              <w:rPr>
                <w:rStyle w:val="21"/>
                <w:rFonts w:hint="eastAsia" w:ascii="仿宋" w:hAnsi="仿宋" w:eastAsia="仿宋" w:cs="仿宋"/>
                <w:color w:val="000000"/>
                <w:sz w:val="24"/>
                <w:szCs w:val="24"/>
                <w:lang w:val="en-US" w:eastAsia="zh-CN"/>
              </w:rPr>
              <w:t>单位</w:t>
            </w:r>
          </w:p>
        </w:tc>
        <w:tc>
          <w:tcPr>
            <w:tcW w:w="1549"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1632C77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both"/>
              <w:textAlignment w:val="center"/>
              <w:rPr>
                <w:rFonts w:hint="eastAsia" w:ascii="仿宋" w:hAnsi="仿宋" w:eastAsia="仿宋" w:cs="仿宋"/>
                <w:sz w:val="24"/>
                <w:szCs w:val="24"/>
              </w:rPr>
            </w:pPr>
            <w:r>
              <w:rPr>
                <w:rStyle w:val="21"/>
                <w:rFonts w:hint="eastAsia" w:ascii="仿宋" w:hAnsi="仿宋" w:eastAsia="仿宋" w:cs="仿宋"/>
                <w:color w:val="000000"/>
                <w:sz w:val="24"/>
                <w:szCs w:val="24"/>
              </w:rPr>
              <w:t>限高单价（元）</w:t>
            </w:r>
          </w:p>
        </w:tc>
        <w:tc>
          <w:tcPr>
            <w:tcW w:w="1451"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3A35C82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both"/>
              <w:textAlignment w:val="center"/>
              <w:rPr>
                <w:rFonts w:hint="eastAsia" w:ascii="仿宋" w:hAnsi="仿宋" w:eastAsia="仿宋" w:cs="仿宋"/>
                <w:sz w:val="24"/>
                <w:szCs w:val="24"/>
              </w:rPr>
            </w:pPr>
            <w:r>
              <w:rPr>
                <w:rStyle w:val="21"/>
                <w:rFonts w:hint="eastAsia" w:ascii="仿宋" w:hAnsi="仿宋" w:eastAsia="仿宋" w:cs="仿宋"/>
                <w:color w:val="000000"/>
                <w:sz w:val="24"/>
                <w:szCs w:val="24"/>
                <w:lang w:val="en-US" w:eastAsia="zh-CN"/>
              </w:rPr>
              <w:t>分项</w:t>
            </w:r>
            <w:r>
              <w:rPr>
                <w:rStyle w:val="21"/>
                <w:rFonts w:hint="eastAsia" w:ascii="仿宋" w:hAnsi="仿宋" w:eastAsia="仿宋" w:cs="仿宋"/>
                <w:color w:val="000000"/>
                <w:sz w:val="24"/>
                <w:szCs w:val="24"/>
              </w:rPr>
              <w:t>限高总价（元）</w:t>
            </w:r>
          </w:p>
        </w:tc>
      </w:tr>
      <w:tr w14:paraId="2B3D0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86036B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129D90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Dell EMC XT480F</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D616E1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69B4DF7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406E65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286F089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4D561A6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20FCB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2F824F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55F688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DELLEMC PowerScale</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29E6CB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5F12724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A1E7D3A">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318072C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392305D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3500</w:t>
            </w:r>
          </w:p>
        </w:tc>
      </w:tr>
      <w:tr w14:paraId="4F72B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1"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20F41D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512CA4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EMC PowerStore 1000T（双活）</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445528B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BECCCD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D8989C4">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1FFF6A9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68C7BA1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3500</w:t>
            </w:r>
          </w:p>
        </w:tc>
      </w:tr>
      <w:tr w14:paraId="26D7D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1E68D9E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4</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4A2D26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EMC Unity XT380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291AB0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7FEC97D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AC834EB">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3F066CE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5072988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225FE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EE6DD4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5</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AEDB15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EMC Unity XT480F（双活）</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4DA577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1B25EFC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0DBCD6A">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3C32974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0B7DCB8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3500</w:t>
            </w:r>
          </w:p>
        </w:tc>
      </w:tr>
      <w:tr w14:paraId="2457E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0E92A1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6</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22229F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EMC VPLEX（双活）</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F7E542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CF0FD8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7B3E3361">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721F7E5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7FAF9E4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3500</w:t>
            </w:r>
          </w:p>
        </w:tc>
      </w:tr>
      <w:tr w14:paraId="23802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E82919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7</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C40C64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HP 3PAR StoreServ 7400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AB6467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1C05A02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DBE22CD">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077811C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2C9CA3E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45A3A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36FF5E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8</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0FA628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华为 Oceanstor 5110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7419DB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6A7AC8D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24D7EF2">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52B2B0B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664147F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458C9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479E68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9</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C9B6AF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IBM Storwize V3700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9695D1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2292B55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572E0C2">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418A486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574C88D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3500</w:t>
            </w:r>
          </w:p>
        </w:tc>
      </w:tr>
      <w:tr w14:paraId="6C023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6932642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10</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839244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Lenovo EMC VNX5400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4D05731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7B9A6E7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7D9BD65A">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162FD37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5842687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305B7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0D7D1F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11</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FDDA1C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Lenovo V3700 V2</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1F7FB1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B8CEB8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227F216">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73ABAB5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01DD5B5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76996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399A5B6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12</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EF835F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MD1400（直连）</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8A0F0D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10FEDEF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00A53E6">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4CFF048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4C598A6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7872C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50E31F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13</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E10A7D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华为5300V5</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1E39E2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9E63F7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90AED94">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2ABA20B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0F277E7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6B6C2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69D3BDD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14</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806AF0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华为OceanStor 5110 V5</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A08F73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13B59EF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5</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77CFE0B8">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0A44B8A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5530E83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8750</w:t>
            </w:r>
          </w:p>
        </w:tc>
      </w:tr>
      <w:tr w14:paraId="006B7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33F6095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15</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7B5E9A6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华为 OceanStor 5510F V5（双活）</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38BF86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5139A2C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F5E2D7C">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1875846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7B3F336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3500</w:t>
            </w:r>
          </w:p>
        </w:tc>
      </w:tr>
      <w:tr w14:paraId="286B0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0BB52A0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16</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796BEFB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华为存储 OceanStor 2600 V3</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01E4E6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5E9C818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9D283BD">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0380F52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2A1359D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0B079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03E5581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E0B4E5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EMC Unity XT380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41826C7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存储扩展柜</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6AF8844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5</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E598B7C">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155555F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06714A2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8750</w:t>
            </w:r>
          </w:p>
        </w:tc>
      </w:tr>
      <w:tr w14:paraId="10098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71661F4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18</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3DA798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EMC Unity XT480F</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A0DEB4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存储扩展柜</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14B946C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C9E996C">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5A74DBC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3F2188B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3500</w:t>
            </w:r>
          </w:p>
        </w:tc>
      </w:tr>
      <w:tr w14:paraId="0FDE4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7E7670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19</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1F42BA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HP 3PAR StoreServ 7400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C293DF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存储扩展柜</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72806B7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B9BCFA5">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22969E3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0EBE1A8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44D31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60FFB0C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20</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B1E3EF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Lenovo V3700 V2</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2AA3A4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存储扩展柜</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03F409B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4B7D05E4">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4DCCBD5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0FC40E4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40F21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D50174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21</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7DD70C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VNX5400存储扩展柜</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BFF8C6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存储扩展柜</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4DE48B6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4</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2BF6C7D">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3DAB354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6A984DE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7000</w:t>
            </w:r>
          </w:p>
        </w:tc>
      </w:tr>
      <w:tr w14:paraId="43F07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F94386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22</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39B1E0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华为5300V5</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3BCB31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存储扩展柜</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A42AC3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FAAD2D3">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623125D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3798995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3DD8B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FF8EFF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23</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76C11F9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Brocade 6505</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C976C7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7F1823D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9416930">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38C6C8E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5F5EA79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3500</w:t>
            </w:r>
          </w:p>
        </w:tc>
      </w:tr>
      <w:tr w14:paraId="4F5F4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6654BA2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24</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B846BD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Brocade 6510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38E1EE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174CB11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4</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A21998A">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2EFC3C6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0C89521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7000</w:t>
            </w:r>
          </w:p>
        </w:tc>
      </w:tr>
      <w:tr w14:paraId="6DCEF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1649608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25</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582F1E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DELL EMC IB交换机</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2347C1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5B0D98D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719CDD10">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633D4C8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12E0D32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3500</w:t>
            </w:r>
          </w:p>
        </w:tc>
      </w:tr>
      <w:tr w14:paraId="45FF6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32F5695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26</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F203B3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HP StorageWorks 8/8</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47425E2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17E6C1E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3817AFD">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1CB0477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6584BE9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r>
      <w:tr w14:paraId="37D3F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15DE89A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27</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24C04E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Inspur 6500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1D768A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65AFFD4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5D31E1E">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682B6FC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3A940ED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3500</w:t>
            </w:r>
          </w:p>
        </w:tc>
      </w:tr>
      <w:tr w14:paraId="6C208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997136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28</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4B1286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Lenovo 6510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86B791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453900D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4</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7D2BC26">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56E5850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2A45CEE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7000</w:t>
            </w:r>
          </w:p>
        </w:tc>
      </w:tr>
      <w:tr w14:paraId="1E955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7CDB42F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29</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2172CB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华为SNS2624</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4CEA888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049AE78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9B47477">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72A8BCE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400D100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3500</w:t>
            </w:r>
          </w:p>
        </w:tc>
      </w:tr>
      <w:tr w14:paraId="33D6D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38C985E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30</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52DA44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博科300 SAN交换机</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7BB73B5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7DB7F3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6</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805C480">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7138E22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1750</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2F44CE9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rPr>
            </w:pPr>
            <w:r>
              <w:rPr>
                <w:rFonts w:hint="eastAsia" w:ascii="仿宋" w:hAnsi="仿宋" w:eastAsia="仿宋" w:cs="仿宋"/>
                <w:color w:val="000000"/>
                <w:sz w:val="24"/>
                <w:szCs w:val="24"/>
              </w:rPr>
              <w:t>10500</w:t>
            </w:r>
          </w:p>
        </w:tc>
      </w:tr>
      <w:tr w14:paraId="756BF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4461" w:type="dxa"/>
            <w:gridSpan w:val="3"/>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3452ACB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合计</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544A712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rPr>
              <w:t>6</w:t>
            </w:r>
            <w:r>
              <w:rPr>
                <w:rFonts w:hint="eastAsia" w:ascii="仿宋" w:hAnsi="仿宋" w:eastAsia="仿宋" w:cs="仿宋"/>
                <w:color w:val="000000"/>
                <w:sz w:val="24"/>
                <w:szCs w:val="24"/>
                <w:highlight w:val="none"/>
                <w:lang w:val="en-US" w:eastAsia="zh-CN"/>
              </w:rPr>
              <w:t>3</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F8C5EF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7C63DA21">
            <w:pPr>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left"/>
              <w:rPr>
                <w:rFonts w:hint="eastAsia" w:ascii="仿宋" w:hAnsi="仿宋" w:eastAsia="仿宋" w:cs="仿宋"/>
                <w:sz w:val="24"/>
                <w:szCs w:val="24"/>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679D20C4">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default" w:ascii="仿宋" w:hAnsi="仿宋" w:eastAsia="仿宋" w:cs="仿宋"/>
                <w:sz w:val="24"/>
                <w:szCs w:val="24"/>
                <w:lang w:val="en-US"/>
              </w:rPr>
            </w:pPr>
            <w:r>
              <w:rPr>
                <w:rFonts w:hint="eastAsia" w:ascii="仿宋" w:hAnsi="仿宋" w:eastAsia="仿宋" w:cs="仿宋"/>
                <w:color w:val="000000"/>
                <w:sz w:val="24"/>
                <w:szCs w:val="24"/>
                <w:lang w:val="en-US" w:eastAsia="zh-CN"/>
              </w:rPr>
              <w:t>110250</w:t>
            </w:r>
          </w:p>
        </w:tc>
      </w:tr>
    </w:tbl>
    <w:p w14:paraId="65C91AC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left"/>
        <w:textAlignment w:val="auto"/>
        <w:rPr>
          <w:rFonts w:hint="eastAsia" w:ascii="仿宋" w:hAnsi="仿宋" w:eastAsia="仿宋" w:cs="仿宋"/>
          <w:sz w:val="24"/>
          <w:szCs w:val="24"/>
        </w:rPr>
      </w:pPr>
      <w:r>
        <w:rPr>
          <w:rFonts w:hint="eastAsia" w:ascii="仿宋" w:hAnsi="仿宋" w:eastAsia="仿宋" w:cs="仿宋"/>
          <w:kern w:val="0"/>
          <w:sz w:val="24"/>
          <w:szCs w:val="24"/>
          <w:lang w:val="en-US" w:eastAsia="zh-CN" w:bidi="ar"/>
        </w:rPr>
        <w:t>三、</w:t>
      </w:r>
      <w:r>
        <w:rPr>
          <w:rFonts w:hint="eastAsia" w:ascii="仿宋" w:hAnsi="仿宋" w:eastAsia="仿宋" w:cs="仿宋"/>
          <w:b/>
          <w:bCs/>
          <w:sz w:val="24"/>
          <w:szCs w:val="24"/>
        </w:rPr>
        <w:t>服务</w:t>
      </w:r>
      <w:r>
        <w:rPr>
          <w:rFonts w:hint="eastAsia" w:ascii="仿宋" w:hAnsi="仿宋" w:eastAsia="仿宋" w:cs="仿宋"/>
          <w:b/>
          <w:bCs/>
          <w:sz w:val="24"/>
          <w:szCs w:val="24"/>
          <w:lang w:val="en-US" w:eastAsia="zh-CN"/>
        </w:rPr>
        <w:t>内容及</w:t>
      </w:r>
      <w:r>
        <w:rPr>
          <w:rFonts w:hint="eastAsia" w:ascii="仿宋" w:hAnsi="仿宋" w:eastAsia="仿宋" w:cs="仿宋"/>
          <w:b/>
          <w:bCs/>
          <w:sz w:val="24"/>
          <w:szCs w:val="24"/>
        </w:rPr>
        <w:t>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lang w:val="en-US" w:eastAsia="zh-CN"/>
        </w:rPr>
        <w:t>1.</w:t>
      </w:r>
      <w:r>
        <w:rPr>
          <w:rFonts w:hint="eastAsia" w:ascii="仿宋" w:hAnsi="仿宋" w:eastAsia="仿宋" w:cs="仿宋"/>
          <w:color w:val="000000"/>
          <w:kern w:val="2"/>
          <w:sz w:val="24"/>
          <w:szCs w:val="24"/>
        </w:rPr>
        <w:t>服务</w:t>
      </w:r>
      <w:r>
        <w:rPr>
          <w:rFonts w:hint="eastAsia" w:ascii="仿宋" w:hAnsi="仿宋" w:eastAsia="仿宋" w:cs="仿宋"/>
          <w:color w:val="000000"/>
          <w:kern w:val="2"/>
          <w:sz w:val="24"/>
          <w:szCs w:val="24"/>
          <w:lang w:val="en-US" w:eastAsia="zh-CN"/>
        </w:rPr>
        <w:t>内容</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392"/>
        <w:gridCol w:w="1987"/>
        <w:gridCol w:w="6469"/>
      </w:tblGrid>
      <w:tr w14:paraId="3EAC3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single" w:color="auto" w:sz="6" w:space="0"/>
              <w:left w:val="single" w:color="auto" w:sz="6" w:space="0"/>
              <w:bottom w:val="single" w:color="auto" w:sz="6" w:space="0"/>
              <w:right w:val="single" w:color="auto" w:sz="6" w:space="0"/>
            </w:tcBorders>
            <w:shd w:val="clear" w:color="auto" w:fill="E5E5E5"/>
            <w:tcMar>
              <w:left w:w="105" w:type="dxa"/>
              <w:right w:w="105" w:type="dxa"/>
            </w:tcMar>
            <w:vAlign w:val="center"/>
          </w:tcPr>
          <w:p w14:paraId="4E4652E0">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color w:val="000000"/>
                <w:sz w:val="24"/>
                <w:szCs w:val="24"/>
              </w:rPr>
              <w:t>序号</w:t>
            </w:r>
          </w:p>
        </w:tc>
        <w:tc>
          <w:tcPr>
            <w:tcW w:w="1987" w:type="dxa"/>
            <w:tcBorders>
              <w:top w:val="single" w:color="auto" w:sz="6" w:space="0"/>
              <w:left w:val="nil"/>
              <w:bottom w:val="single" w:color="auto" w:sz="6" w:space="0"/>
              <w:right w:val="single" w:color="auto" w:sz="6" w:space="0"/>
            </w:tcBorders>
            <w:shd w:val="clear" w:color="auto" w:fill="E5E5E5"/>
            <w:tcMar>
              <w:left w:w="105" w:type="dxa"/>
              <w:right w:w="105" w:type="dxa"/>
            </w:tcMar>
            <w:vAlign w:val="center"/>
          </w:tcPr>
          <w:p w14:paraId="0FB952C0">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color w:val="000000"/>
                <w:sz w:val="24"/>
                <w:szCs w:val="24"/>
              </w:rPr>
              <w:t>类别</w:t>
            </w:r>
          </w:p>
        </w:tc>
        <w:tc>
          <w:tcPr>
            <w:tcW w:w="6469" w:type="dxa"/>
            <w:tcBorders>
              <w:top w:val="single" w:color="auto" w:sz="6" w:space="0"/>
              <w:left w:val="nil"/>
              <w:bottom w:val="single" w:color="auto" w:sz="6" w:space="0"/>
              <w:right w:val="single" w:color="auto" w:sz="6" w:space="0"/>
            </w:tcBorders>
            <w:shd w:val="clear" w:color="auto" w:fill="E5E5E5"/>
            <w:tcMar>
              <w:left w:w="105" w:type="dxa"/>
              <w:right w:w="105" w:type="dxa"/>
            </w:tcMar>
            <w:vAlign w:val="center"/>
          </w:tcPr>
          <w:p w14:paraId="3BACDF26">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color w:val="000000"/>
                <w:sz w:val="24"/>
                <w:szCs w:val="24"/>
              </w:rPr>
              <w:t>服务内容</w:t>
            </w:r>
          </w:p>
        </w:tc>
      </w:tr>
      <w:tr w14:paraId="6730D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A9CF2B4">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1.▲</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38AEB45B">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存储监控</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6FC51DF4">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对服务器设备的健康程度及容量进行监控，对光纤交换机流量，端口状况等进行监控。</w:t>
            </w:r>
          </w:p>
        </w:tc>
      </w:tr>
      <w:tr w14:paraId="15E63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2618404">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2.★</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553E464D">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设备上下架</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6335DE21">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根据变更需求，对光纤交换机，存储机头、存储柜、磁盘进行上下架及配置。</w:t>
            </w:r>
          </w:p>
        </w:tc>
      </w:tr>
      <w:tr w14:paraId="2A099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6A9162C">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3.★</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791139F5">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设备巡检</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6FC2FD26">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设备清洁，以及重大事项和法定节假日的保障巡检。</w:t>
            </w:r>
          </w:p>
        </w:tc>
      </w:tr>
      <w:tr w14:paraId="656E6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E7CE82E">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4.★</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41C9391E">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故障排查</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053814B9">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分析并处理服务器运行过程中发生的问题。</w:t>
            </w:r>
          </w:p>
        </w:tc>
      </w:tr>
      <w:tr w14:paraId="4FEE9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383059D">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5.★</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562FDBD8">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配置调整</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522BBED8">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根据变更需求，对存储硬件（电源，机头，磁盘，阵列柜）及存储网络的配置进行调整和优化，并按需对主机固件进行升级。</w:t>
            </w:r>
          </w:p>
        </w:tc>
      </w:tr>
      <w:tr w14:paraId="05FE0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1C157C8">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6.▲</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209E76CC">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配置管理</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0122438F">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对存储及存储网络的配置进行管理，存储相关管理软件及多路径软件管理及配置。</w:t>
            </w:r>
          </w:p>
        </w:tc>
      </w:tr>
      <w:tr w14:paraId="5A3F4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C5213C0">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7.▲</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2AD58A8A">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存储安全管理</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4D2F4937">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对存储访问账号做安全管理，硬件固件升级管理，确保数据安全可靠。</w:t>
            </w:r>
          </w:p>
        </w:tc>
      </w:tr>
      <w:tr w14:paraId="10F75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4815C6D">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8.▲</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588E8036">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全生命周期管理</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6522B692">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对存储从上架，运行，故障部件更换到设备回收的全生命周期管理。</w:t>
            </w:r>
          </w:p>
        </w:tc>
      </w:tr>
      <w:tr w14:paraId="4705A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5316A45">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9.▲</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7D4AD81B">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虚拟化监控</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7D64AB3F">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对虚拟化环境的健康程度及存储容量进行监控。</w:t>
            </w:r>
          </w:p>
        </w:tc>
      </w:tr>
      <w:tr w14:paraId="4A101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ED3640A">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10.★</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23B4720F">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虚拟机备份</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5736A29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定期（每周一次）对虚拟化环境中的虚拟机进行备份检查。</w:t>
            </w:r>
          </w:p>
        </w:tc>
      </w:tr>
      <w:tr w14:paraId="25F16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13386C1">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11.★</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7151BD0E">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故障排查</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0A84E92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分析并处理虚拟化环境中发生的问题。</w:t>
            </w:r>
          </w:p>
        </w:tc>
      </w:tr>
      <w:tr w14:paraId="6105B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6A31418">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12.★</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68FB4944">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配置调整</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6DF19E1F">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根据变更需求，对虚拟化环境及虚拟机的配置进行调整。</w:t>
            </w:r>
          </w:p>
        </w:tc>
      </w:tr>
      <w:tr w14:paraId="5F6B2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3464B19">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13.★</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2488DE1E">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配置管理</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5978BD44">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对虚拟化环境及虚拟机的配置进行管理（虚拟化网络，虚拟机，集群，资源池，迁移，高可用等）。</w:t>
            </w:r>
          </w:p>
        </w:tc>
      </w:tr>
      <w:tr w14:paraId="18CB7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899DD7E">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14.★</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3F8FBAD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虚拟机迁移</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5C2BEB67">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对虚拟化环境中的虚拟机进行迁移支持（PTV、VTP，VTV）。</w:t>
            </w:r>
          </w:p>
        </w:tc>
      </w:tr>
      <w:tr w14:paraId="2252C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454CD92">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15.★</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2B50CFEA">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资源负载均衡</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101D7836">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通过配置虚拟化平台自动负载及手动负载迁移保证虚拟机在物理节点中的资源使用负载均衡，配置虚拟机高可用，保证虚拟化平台运行稳定。</w:t>
            </w:r>
          </w:p>
        </w:tc>
      </w:tr>
      <w:tr w14:paraId="2953A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91"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170449F">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16.★</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4D2C7E9A">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虚拟化升级服务</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4960DF7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对服务器虚拟化平台进行每月一次定期版本检查和升级操作。</w:t>
            </w:r>
          </w:p>
        </w:tc>
      </w:tr>
      <w:tr w14:paraId="33F9B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B8BF33E">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17.★</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0737A0C2">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数据备份</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22B63E67">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配置备份任务，执行数据备份，对备份结果进行验证，确保数据备份成功。</w:t>
            </w:r>
          </w:p>
        </w:tc>
      </w:tr>
      <w:tr w14:paraId="5FF15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11CD040">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18.★</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463A534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数据恢复</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1B3A9162">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制定灾备演练计划，制定业务系统恢复计划，灾难发生时，对发生故障的业务系统进行数据恢复。</w:t>
            </w:r>
          </w:p>
        </w:tc>
      </w:tr>
      <w:tr w14:paraId="5627B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C200850">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19.★</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1FF567DA">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备份检查</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19AD3848">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服务台每天1次巡检，检查备份作业运行情况，一旦发生故障，启动SLA，同时进行手动备份任务。</w:t>
            </w:r>
          </w:p>
        </w:tc>
      </w:tr>
      <w:tr w14:paraId="66DA6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50A5305">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20.★</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1CA2AAB4">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维保支持</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4B7868D2">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当检测到故障，协调软、硬件的维修、更换工作，确保设备及时维修，并对维修工作进行记录和追踪。</w:t>
            </w:r>
          </w:p>
        </w:tc>
      </w:tr>
      <w:tr w14:paraId="122C2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5640833">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21.★</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60D071A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Vplex运维</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1BAE616C">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对vplex容灾系统进行日常运维配置，上下线和优化，制定灾备演练计划，制定业务系统恢复计划，每年至少进行一次的灾难演练。</w:t>
            </w:r>
          </w:p>
        </w:tc>
      </w:tr>
      <w:tr w14:paraId="48DE3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1F1A41B">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22.★</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63901F37">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建设及迁移项目支持</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576B64E1">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供应商在合同期间应完成采购人提出的改造、迁移等建设需求。</w:t>
            </w:r>
          </w:p>
        </w:tc>
      </w:tr>
      <w:tr w14:paraId="2C4FE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1152685">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23.▲</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3915718E">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账号管理及权限管理</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0878A12F">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xml:space="preserve">账户管理和访问权限管理，包含权限添加，删除，修改和查询； </w:t>
            </w:r>
          </w:p>
        </w:tc>
      </w:tr>
      <w:tr w14:paraId="0F8D9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7A6D658">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24.▲</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70C6D385">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资产盘点</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1DFF7098">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遵循采购人的资产管理条例，定期配合进行IT硬件资产的盘点和核对；</w:t>
            </w:r>
          </w:p>
        </w:tc>
      </w:tr>
      <w:tr w14:paraId="1CE1B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803C9EA">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25.★</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0E2D8DBE">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服务方式</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32F36831">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可由远程或现场进行管理，针对数据中心基础架构提供部件级资产管理并提供机柜部署规划；</w:t>
            </w:r>
          </w:p>
        </w:tc>
      </w:tr>
      <w:tr w14:paraId="6D2C2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0156322">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26.▲</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78D37D16">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设备管理服务</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4DF564CD">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提供设备上架、下架、更换安装位置、线路整理服务、老旧设备搬运。</w:t>
            </w:r>
          </w:p>
        </w:tc>
      </w:tr>
      <w:tr w14:paraId="5A678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trPr>
        <w:tc>
          <w:tcPr>
            <w:tcW w:w="1392"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9A86715">
            <w:pPr>
              <w:pStyle w:val="14"/>
              <w:keepNext w:val="0"/>
              <w:keepLines w:val="0"/>
              <w:widowControl/>
              <w:suppressLineNumbers w:val="0"/>
              <w:spacing w:before="0" w:beforeAutospacing="1" w:after="0" w:afterAutospacing="1"/>
              <w:ind w:left="420" w:right="0"/>
              <w:jc w:val="center"/>
              <w:rPr>
                <w:rFonts w:hint="eastAsia" w:ascii="仿宋" w:hAnsi="仿宋" w:eastAsia="仿宋" w:cs="仿宋"/>
                <w:sz w:val="24"/>
                <w:szCs w:val="24"/>
              </w:rPr>
            </w:pPr>
            <w:r>
              <w:rPr>
                <w:rFonts w:hint="eastAsia" w:ascii="仿宋" w:hAnsi="仿宋" w:eastAsia="仿宋" w:cs="仿宋"/>
                <w:sz w:val="24"/>
                <w:szCs w:val="24"/>
              </w:rPr>
              <w:t>27.▲</w:t>
            </w:r>
          </w:p>
        </w:tc>
        <w:tc>
          <w:tcPr>
            <w:tcW w:w="1987" w:type="dxa"/>
            <w:tcBorders>
              <w:top w:val="nil"/>
              <w:left w:val="nil"/>
              <w:bottom w:val="single" w:color="auto" w:sz="6" w:space="0"/>
              <w:right w:val="single" w:color="auto" w:sz="6" w:space="0"/>
            </w:tcBorders>
            <w:shd w:val="clear" w:color="auto" w:fill="auto"/>
            <w:tcMar>
              <w:left w:w="105" w:type="dxa"/>
              <w:right w:w="105" w:type="dxa"/>
            </w:tcMar>
            <w:vAlign w:val="center"/>
          </w:tcPr>
          <w:p w14:paraId="6B8952AA">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培训服务</w:t>
            </w:r>
          </w:p>
        </w:tc>
        <w:tc>
          <w:tcPr>
            <w:tcW w:w="6469" w:type="dxa"/>
            <w:tcBorders>
              <w:top w:val="nil"/>
              <w:left w:val="nil"/>
              <w:bottom w:val="single" w:color="auto" w:sz="6" w:space="0"/>
              <w:right w:val="single" w:color="auto" w:sz="6" w:space="0"/>
            </w:tcBorders>
            <w:shd w:val="clear" w:color="auto" w:fill="auto"/>
            <w:tcMar>
              <w:left w:w="105" w:type="dxa"/>
              <w:right w:w="105" w:type="dxa"/>
            </w:tcMar>
            <w:vAlign w:val="center"/>
          </w:tcPr>
          <w:p w14:paraId="31381F01">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提供正规化的、具有专业水准的技术培训服务，以确保用户方的维护管理人员达到独立操作、独立进行管理、故障处理、日常维护测试等工作，使相关设备及应用能够正常运行。</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930"/>
        <w:gridCol w:w="134"/>
        <w:gridCol w:w="1833"/>
        <w:gridCol w:w="6951"/>
      </w:tblGrid>
      <w:tr w14:paraId="1715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375" w:hRule="atLeast"/>
        </w:trPr>
        <w:tc>
          <w:tcPr>
            <w:tcW w:w="930" w:type="dxa"/>
            <w:shd w:val="clear" w:color="auto" w:fill="E5E5E5"/>
            <w:tcMar>
              <w:left w:w="105" w:type="dxa"/>
              <w:right w:w="105" w:type="dxa"/>
            </w:tcMar>
            <w:vAlign w:val="center"/>
          </w:tcPr>
          <w:p w14:paraId="512B5FD2">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color w:val="000000"/>
                <w:sz w:val="24"/>
                <w:szCs w:val="24"/>
              </w:rPr>
              <w:t>序号</w:t>
            </w:r>
          </w:p>
        </w:tc>
        <w:tc>
          <w:tcPr>
            <w:tcW w:w="1967" w:type="dxa"/>
            <w:gridSpan w:val="2"/>
            <w:shd w:val="clear" w:color="auto" w:fill="E5E5E5"/>
            <w:tcMar>
              <w:left w:w="105" w:type="dxa"/>
              <w:right w:w="105" w:type="dxa"/>
            </w:tcMar>
            <w:vAlign w:val="center"/>
          </w:tcPr>
          <w:p w14:paraId="080BCCE4">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color w:val="000000"/>
                <w:sz w:val="24"/>
                <w:szCs w:val="24"/>
              </w:rPr>
              <w:t>类别</w:t>
            </w:r>
          </w:p>
        </w:tc>
        <w:tc>
          <w:tcPr>
            <w:tcW w:w="6951" w:type="dxa"/>
            <w:shd w:val="clear" w:color="auto" w:fill="E5E5E5"/>
            <w:tcMar>
              <w:left w:w="105" w:type="dxa"/>
              <w:right w:w="105" w:type="dxa"/>
            </w:tcMar>
            <w:vAlign w:val="center"/>
          </w:tcPr>
          <w:p w14:paraId="1B8FDF24">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color w:val="000000"/>
                <w:sz w:val="24"/>
                <w:szCs w:val="24"/>
              </w:rPr>
              <w:t>服务内容</w:t>
            </w:r>
          </w:p>
        </w:tc>
      </w:tr>
      <w:tr w14:paraId="3A2E5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5" w:hRule="atLeast"/>
        </w:trPr>
        <w:tc>
          <w:tcPr>
            <w:tcW w:w="1064" w:type="dxa"/>
            <w:gridSpan w:val="2"/>
            <w:shd w:val="clear" w:color="auto" w:fill="auto"/>
            <w:tcMar>
              <w:left w:w="105" w:type="dxa"/>
              <w:right w:w="105" w:type="dxa"/>
            </w:tcMar>
            <w:vAlign w:val="center"/>
          </w:tcPr>
          <w:p w14:paraId="67D4A285">
            <w:pPr>
              <w:pStyle w:val="14"/>
              <w:keepNext w:val="0"/>
              <w:keepLines w:val="0"/>
              <w:widowControl/>
              <w:suppressLineNumbers w:val="0"/>
              <w:spacing w:before="0" w:beforeAutospacing="1" w:after="0" w:afterAutospacing="1"/>
              <w:ind w:left="420" w:right="0"/>
              <w:jc w:val="both"/>
              <w:rPr>
                <w:rFonts w:hint="eastAsia" w:ascii="仿宋" w:hAnsi="仿宋" w:eastAsia="仿宋" w:cs="仿宋"/>
                <w:sz w:val="24"/>
                <w:szCs w:val="24"/>
              </w:rPr>
            </w:pPr>
            <w:r>
              <w:rPr>
                <w:rFonts w:hint="eastAsia" w:ascii="仿宋" w:hAnsi="仿宋" w:eastAsia="仿宋" w:cs="仿宋"/>
                <w:sz w:val="24"/>
                <w:szCs w:val="24"/>
              </w:rPr>
              <w:t>1.</w:t>
            </w:r>
          </w:p>
        </w:tc>
        <w:tc>
          <w:tcPr>
            <w:tcW w:w="1833" w:type="dxa"/>
            <w:shd w:val="clear" w:color="auto" w:fill="auto"/>
            <w:tcMar>
              <w:left w:w="105" w:type="dxa"/>
              <w:right w:w="105" w:type="dxa"/>
            </w:tcMar>
            <w:vAlign w:val="center"/>
          </w:tcPr>
          <w:p w14:paraId="244590C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驻场服务</w:t>
            </w:r>
          </w:p>
          <w:p w14:paraId="7A5888DE">
            <w:pPr>
              <w:pStyle w:val="14"/>
              <w:keepNext w:val="0"/>
              <w:keepLines w:val="0"/>
              <w:widowControl/>
              <w:suppressLineNumbers w:val="0"/>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含临时委派</w:t>
            </w:r>
            <w:r>
              <w:rPr>
                <w:rFonts w:hint="eastAsia" w:ascii="仿宋" w:hAnsi="仿宋" w:eastAsia="仿宋" w:cs="仿宋"/>
                <w:sz w:val="24"/>
                <w:szCs w:val="24"/>
                <w:lang w:eastAsia="zh-CN"/>
              </w:rPr>
              <w:t>）</w:t>
            </w:r>
          </w:p>
        </w:tc>
        <w:tc>
          <w:tcPr>
            <w:tcW w:w="6951" w:type="dxa"/>
            <w:shd w:val="clear" w:color="auto" w:fill="auto"/>
            <w:tcMar>
              <w:left w:w="105" w:type="dxa"/>
              <w:right w:w="105" w:type="dxa"/>
            </w:tcMar>
            <w:vAlign w:val="center"/>
          </w:tcPr>
          <w:p w14:paraId="396DEF0E">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供应商须配备不少于1人的驻场人员</w:t>
            </w:r>
            <w:r>
              <w:rPr>
                <w:rFonts w:hint="eastAsia" w:ascii="仿宋" w:hAnsi="仿宋" w:eastAsia="仿宋" w:cs="仿宋"/>
                <w:sz w:val="24"/>
                <w:szCs w:val="24"/>
                <w:lang w:eastAsia="zh-CN"/>
              </w:rPr>
              <w:t>，</w:t>
            </w:r>
            <w:r>
              <w:rPr>
                <w:rFonts w:hint="eastAsia" w:ascii="仿宋" w:hAnsi="仿宋" w:eastAsia="仿宋" w:cs="仿宋"/>
                <w:sz w:val="24"/>
                <w:szCs w:val="24"/>
              </w:rPr>
              <w:t>提交不少于3人的驻场人员名单，驻场人员每月轮换，保证至少2人知晓维护业务，提供项目对接服务和</w:t>
            </w:r>
            <w:r>
              <w:rPr>
                <w:rFonts w:hint="eastAsia" w:ascii="仿宋" w:hAnsi="仿宋" w:eastAsia="仿宋" w:cs="仿宋"/>
                <w:sz w:val="24"/>
                <w:szCs w:val="24"/>
                <w:lang w:eastAsia="zh-CN"/>
              </w:rPr>
              <w:t>采购人</w:t>
            </w:r>
            <w:r>
              <w:rPr>
                <w:rFonts w:hint="eastAsia" w:ascii="仿宋" w:hAnsi="仿宋" w:eastAsia="仿宋" w:cs="仿宋"/>
                <w:sz w:val="24"/>
                <w:szCs w:val="24"/>
              </w:rPr>
              <w:t>日常现场维护工作，充分保障系统正常运行，如轮转驻场人员不符合人员资质要求，采购方有权要求</w:t>
            </w:r>
            <w:r>
              <w:rPr>
                <w:rFonts w:hint="eastAsia" w:ascii="仿宋" w:hAnsi="仿宋" w:eastAsia="仿宋" w:cs="仿宋"/>
                <w:sz w:val="24"/>
                <w:szCs w:val="24"/>
                <w:lang w:eastAsia="zh-CN"/>
              </w:rPr>
              <w:t>成交</w:t>
            </w:r>
            <w:r>
              <w:rPr>
                <w:rFonts w:hint="eastAsia" w:ascii="仿宋" w:hAnsi="仿宋" w:eastAsia="仿宋" w:cs="仿宋"/>
                <w:sz w:val="24"/>
                <w:szCs w:val="24"/>
              </w:rPr>
              <w:t>方进行合同</w:t>
            </w:r>
            <w:r>
              <w:rPr>
                <w:rFonts w:hint="eastAsia" w:ascii="仿宋" w:hAnsi="仿宋" w:eastAsia="仿宋" w:cs="仿宋"/>
                <w:sz w:val="24"/>
                <w:szCs w:val="24"/>
                <w:lang w:eastAsia="zh-CN"/>
              </w:rPr>
              <w:t>成交</w:t>
            </w:r>
            <w:r>
              <w:rPr>
                <w:rFonts w:hint="eastAsia" w:ascii="仿宋" w:hAnsi="仿宋" w:eastAsia="仿宋" w:cs="仿宋"/>
                <w:sz w:val="24"/>
                <w:szCs w:val="24"/>
              </w:rPr>
              <w:t>金额的三倍赔偿。驻场人员接受采购人临时打扫机房清洁、固定资产统计、考核评级职称等此类委派工作。</w:t>
            </w:r>
          </w:p>
        </w:tc>
      </w:tr>
      <w:tr w14:paraId="58E6E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5" w:hRule="atLeast"/>
        </w:trPr>
        <w:tc>
          <w:tcPr>
            <w:tcW w:w="1064" w:type="dxa"/>
            <w:gridSpan w:val="2"/>
            <w:shd w:val="clear" w:color="auto" w:fill="auto"/>
            <w:tcMar>
              <w:left w:w="105" w:type="dxa"/>
              <w:right w:w="105" w:type="dxa"/>
            </w:tcMar>
            <w:vAlign w:val="center"/>
          </w:tcPr>
          <w:p w14:paraId="5E81D436">
            <w:pPr>
              <w:pStyle w:val="14"/>
              <w:keepNext w:val="0"/>
              <w:keepLines w:val="0"/>
              <w:widowControl/>
              <w:suppressLineNumbers w:val="0"/>
              <w:spacing w:before="0" w:beforeAutospacing="1" w:after="0" w:afterAutospacing="1"/>
              <w:ind w:left="420" w:right="0"/>
              <w:jc w:val="both"/>
              <w:rPr>
                <w:rFonts w:hint="eastAsia" w:ascii="仿宋" w:hAnsi="仿宋" w:eastAsia="仿宋" w:cs="仿宋"/>
                <w:sz w:val="24"/>
                <w:szCs w:val="24"/>
              </w:rPr>
            </w:pPr>
            <w:r>
              <w:rPr>
                <w:rFonts w:hint="eastAsia" w:ascii="仿宋" w:hAnsi="仿宋" w:eastAsia="仿宋" w:cs="仿宋"/>
                <w:sz w:val="24"/>
                <w:szCs w:val="24"/>
              </w:rPr>
              <w:t>2.</w:t>
            </w:r>
          </w:p>
        </w:tc>
        <w:tc>
          <w:tcPr>
            <w:tcW w:w="1833" w:type="dxa"/>
            <w:shd w:val="clear" w:color="auto" w:fill="auto"/>
            <w:tcMar>
              <w:left w:w="105" w:type="dxa"/>
              <w:right w:w="105" w:type="dxa"/>
            </w:tcMar>
            <w:vAlign w:val="center"/>
          </w:tcPr>
          <w:p w14:paraId="3D6EE6A5">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时间安排</w:t>
            </w:r>
          </w:p>
        </w:tc>
        <w:tc>
          <w:tcPr>
            <w:tcW w:w="6951" w:type="dxa"/>
            <w:shd w:val="clear" w:color="auto" w:fill="auto"/>
            <w:tcMar>
              <w:left w:w="105" w:type="dxa"/>
              <w:right w:w="105" w:type="dxa"/>
            </w:tcMar>
            <w:vAlign w:val="center"/>
          </w:tcPr>
          <w:p w14:paraId="71AF75D0">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驻场时间工作日8:00-17:30，法定节假日按照</w:t>
            </w:r>
            <w:r>
              <w:rPr>
                <w:rFonts w:hint="eastAsia" w:ascii="仿宋" w:hAnsi="仿宋" w:eastAsia="仿宋" w:cs="仿宋"/>
                <w:sz w:val="24"/>
                <w:szCs w:val="24"/>
                <w:lang w:eastAsia="zh-CN"/>
              </w:rPr>
              <w:t>采购人</w:t>
            </w:r>
            <w:r>
              <w:rPr>
                <w:rFonts w:hint="eastAsia" w:ascii="仿宋" w:hAnsi="仿宋" w:eastAsia="仿宋" w:cs="仿宋"/>
                <w:sz w:val="24"/>
                <w:szCs w:val="24"/>
              </w:rPr>
              <w:t>统一放假时间，节假日及非工作时间期间安排人员值班，人员轮转、变动须提前通知采购人。</w:t>
            </w:r>
          </w:p>
        </w:tc>
      </w:tr>
      <w:tr w14:paraId="45A30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5" w:hRule="atLeast"/>
        </w:trPr>
        <w:tc>
          <w:tcPr>
            <w:tcW w:w="1064" w:type="dxa"/>
            <w:gridSpan w:val="2"/>
            <w:shd w:val="clear" w:color="auto" w:fill="auto"/>
            <w:tcMar>
              <w:left w:w="105" w:type="dxa"/>
              <w:right w:w="105" w:type="dxa"/>
            </w:tcMar>
            <w:vAlign w:val="center"/>
          </w:tcPr>
          <w:p w14:paraId="0BE8E369">
            <w:pPr>
              <w:pStyle w:val="14"/>
              <w:keepNext w:val="0"/>
              <w:keepLines w:val="0"/>
              <w:widowControl/>
              <w:suppressLineNumbers w:val="0"/>
              <w:spacing w:before="0" w:beforeAutospacing="1" w:after="0" w:afterAutospacing="1"/>
              <w:ind w:left="420" w:right="0"/>
              <w:jc w:val="both"/>
              <w:rPr>
                <w:rFonts w:hint="eastAsia" w:ascii="仿宋" w:hAnsi="仿宋" w:eastAsia="仿宋" w:cs="仿宋"/>
                <w:sz w:val="24"/>
                <w:szCs w:val="24"/>
              </w:rPr>
            </w:pPr>
            <w:r>
              <w:rPr>
                <w:rFonts w:hint="eastAsia" w:ascii="仿宋" w:hAnsi="仿宋" w:eastAsia="仿宋" w:cs="仿宋"/>
                <w:sz w:val="24"/>
                <w:szCs w:val="24"/>
              </w:rPr>
              <w:t>3.</w:t>
            </w:r>
          </w:p>
        </w:tc>
        <w:tc>
          <w:tcPr>
            <w:tcW w:w="1833" w:type="dxa"/>
            <w:shd w:val="clear" w:color="auto" w:fill="auto"/>
            <w:tcMar>
              <w:left w:w="105" w:type="dxa"/>
              <w:right w:w="105" w:type="dxa"/>
            </w:tcMar>
            <w:vAlign w:val="center"/>
          </w:tcPr>
          <w:p w14:paraId="0C893B6A">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运维支持</w:t>
            </w:r>
          </w:p>
        </w:tc>
        <w:tc>
          <w:tcPr>
            <w:tcW w:w="6951" w:type="dxa"/>
            <w:shd w:val="clear" w:color="auto" w:fill="auto"/>
            <w:tcMar>
              <w:left w:w="105" w:type="dxa"/>
              <w:right w:w="105" w:type="dxa"/>
            </w:tcMar>
            <w:vAlign w:val="center"/>
          </w:tcPr>
          <w:p w14:paraId="410D0A88">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提供7*24小时</w:t>
            </w:r>
            <w:r>
              <w:rPr>
                <w:rFonts w:hint="eastAsia" w:ascii="仿宋" w:hAnsi="仿宋" w:eastAsia="仿宋" w:cs="仿宋"/>
                <w:sz w:val="24"/>
                <w:szCs w:val="24"/>
                <w:lang w:eastAsia="zh-CN"/>
              </w:rPr>
              <w:t>采购人</w:t>
            </w:r>
            <w:r>
              <w:rPr>
                <w:rFonts w:hint="eastAsia" w:ascii="仿宋" w:hAnsi="仿宋" w:eastAsia="仿宋" w:cs="仿宋"/>
                <w:sz w:val="24"/>
                <w:szCs w:val="24"/>
              </w:rPr>
              <w:t>现场维护工作，包括即时咨询、现场服务和故障部件更换，确保5分钟内响应，工作时间内15分钟到场，非工作时间1小时内到场，2小时内解决故障。</w:t>
            </w:r>
          </w:p>
        </w:tc>
      </w:tr>
      <w:tr w14:paraId="6B523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375" w:hRule="atLeast"/>
        </w:trPr>
        <w:tc>
          <w:tcPr>
            <w:tcW w:w="1064" w:type="dxa"/>
            <w:gridSpan w:val="2"/>
            <w:shd w:val="clear" w:color="auto" w:fill="auto"/>
            <w:tcMar>
              <w:left w:w="105" w:type="dxa"/>
              <w:right w:w="105" w:type="dxa"/>
            </w:tcMar>
            <w:vAlign w:val="center"/>
          </w:tcPr>
          <w:p w14:paraId="11DB3DED">
            <w:pPr>
              <w:pStyle w:val="14"/>
              <w:keepNext w:val="0"/>
              <w:keepLines w:val="0"/>
              <w:widowControl/>
              <w:suppressLineNumbers w:val="0"/>
              <w:spacing w:before="0" w:beforeAutospacing="1" w:after="0" w:afterAutospacing="1"/>
              <w:ind w:left="420" w:right="0"/>
              <w:jc w:val="both"/>
              <w:rPr>
                <w:rFonts w:hint="eastAsia" w:ascii="仿宋" w:hAnsi="仿宋" w:eastAsia="仿宋" w:cs="仿宋"/>
                <w:sz w:val="24"/>
                <w:szCs w:val="24"/>
              </w:rPr>
            </w:pPr>
            <w:r>
              <w:rPr>
                <w:rFonts w:hint="eastAsia" w:ascii="仿宋" w:hAnsi="仿宋" w:eastAsia="仿宋" w:cs="仿宋"/>
                <w:sz w:val="24"/>
                <w:szCs w:val="24"/>
              </w:rPr>
              <w:t>4.</w:t>
            </w:r>
          </w:p>
        </w:tc>
        <w:tc>
          <w:tcPr>
            <w:tcW w:w="1833" w:type="dxa"/>
            <w:shd w:val="clear" w:color="auto" w:fill="auto"/>
            <w:tcMar>
              <w:left w:w="105" w:type="dxa"/>
              <w:right w:w="105" w:type="dxa"/>
            </w:tcMar>
            <w:vAlign w:val="center"/>
          </w:tcPr>
          <w:p w14:paraId="4CC6ADA4">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环境控制</w:t>
            </w:r>
          </w:p>
        </w:tc>
        <w:tc>
          <w:tcPr>
            <w:tcW w:w="6951" w:type="dxa"/>
            <w:shd w:val="clear" w:color="auto" w:fill="auto"/>
            <w:tcMar>
              <w:left w:w="105" w:type="dxa"/>
              <w:right w:w="105" w:type="dxa"/>
            </w:tcMar>
            <w:vAlign w:val="center"/>
          </w:tcPr>
          <w:p w14:paraId="404623E9">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供应商每周打扫机房清洁卫生不少于两次。</w:t>
            </w:r>
          </w:p>
        </w:tc>
      </w:tr>
      <w:tr w14:paraId="7A11D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375" w:hRule="atLeast"/>
        </w:trPr>
        <w:tc>
          <w:tcPr>
            <w:tcW w:w="1064" w:type="dxa"/>
            <w:gridSpan w:val="2"/>
            <w:shd w:val="clear" w:color="auto" w:fill="auto"/>
            <w:tcMar>
              <w:left w:w="105" w:type="dxa"/>
              <w:right w:w="105" w:type="dxa"/>
            </w:tcMar>
            <w:vAlign w:val="center"/>
          </w:tcPr>
          <w:p w14:paraId="7855DFE8">
            <w:pPr>
              <w:pStyle w:val="14"/>
              <w:keepNext w:val="0"/>
              <w:keepLines w:val="0"/>
              <w:widowControl/>
              <w:suppressLineNumbers w:val="0"/>
              <w:spacing w:before="0" w:beforeAutospacing="1" w:after="0" w:afterAutospacing="1"/>
              <w:ind w:left="420" w:right="0"/>
              <w:jc w:val="both"/>
              <w:rPr>
                <w:rFonts w:hint="eastAsia" w:ascii="仿宋" w:hAnsi="仿宋" w:eastAsia="仿宋" w:cs="仿宋"/>
                <w:sz w:val="24"/>
                <w:szCs w:val="24"/>
              </w:rPr>
            </w:pPr>
            <w:r>
              <w:rPr>
                <w:rFonts w:hint="eastAsia" w:ascii="仿宋" w:hAnsi="仿宋" w:eastAsia="仿宋" w:cs="仿宋"/>
                <w:sz w:val="24"/>
                <w:szCs w:val="24"/>
              </w:rPr>
              <w:t>5.</w:t>
            </w:r>
          </w:p>
        </w:tc>
        <w:tc>
          <w:tcPr>
            <w:tcW w:w="1833" w:type="dxa"/>
            <w:shd w:val="clear" w:color="auto" w:fill="auto"/>
            <w:tcMar>
              <w:left w:w="105" w:type="dxa"/>
              <w:right w:w="105" w:type="dxa"/>
            </w:tcMar>
            <w:vAlign w:val="center"/>
          </w:tcPr>
          <w:p w14:paraId="2A81D69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架构优化</w:t>
            </w:r>
          </w:p>
        </w:tc>
        <w:tc>
          <w:tcPr>
            <w:tcW w:w="6951" w:type="dxa"/>
            <w:shd w:val="clear" w:color="auto" w:fill="auto"/>
            <w:tcMar>
              <w:left w:w="105" w:type="dxa"/>
              <w:right w:w="105" w:type="dxa"/>
            </w:tcMar>
            <w:vAlign w:val="center"/>
          </w:tcPr>
          <w:p w14:paraId="2D017109">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提供预防性巡检，每月至少一次定期优化采购人生产系统基础环境，每月一次定期向采购人提供巡检内容并提供巡检报告，巡检报告包括：服务器运行状态、虚拟机运行状态、光纤交换机运行状态、存储及虚拟化平台运行状态，以及数据中心内其他相关设备及环境运行状态，内容须经采购人书面认可，以书面形式记录并签字后交予采购人。</w:t>
            </w:r>
          </w:p>
        </w:tc>
      </w:tr>
      <w:tr w14:paraId="5B70F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375" w:hRule="atLeast"/>
        </w:trPr>
        <w:tc>
          <w:tcPr>
            <w:tcW w:w="1064" w:type="dxa"/>
            <w:gridSpan w:val="2"/>
            <w:shd w:val="clear" w:color="auto" w:fill="auto"/>
            <w:tcMar>
              <w:left w:w="105" w:type="dxa"/>
              <w:right w:w="105" w:type="dxa"/>
            </w:tcMar>
            <w:vAlign w:val="center"/>
          </w:tcPr>
          <w:p w14:paraId="48BCB2B2">
            <w:pPr>
              <w:pStyle w:val="14"/>
              <w:keepNext w:val="0"/>
              <w:keepLines w:val="0"/>
              <w:widowControl/>
              <w:suppressLineNumbers w:val="0"/>
              <w:spacing w:before="0" w:beforeAutospacing="1" w:after="0" w:afterAutospacing="1"/>
              <w:ind w:left="420" w:right="0"/>
              <w:jc w:val="both"/>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w:t>
            </w:r>
          </w:p>
        </w:tc>
        <w:tc>
          <w:tcPr>
            <w:tcW w:w="1833" w:type="dxa"/>
            <w:shd w:val="clear" w:color="auto" w:fill="auto"/>
            <w:tcMar>
              <w:left w:w="105" w:type="dxa"/>
              <w:right w:w="105" w:type="dxa"/>
            </w:tcMar>
            <w:vAlign w:val="center"/>
          </w:tcPr>
          <w:p w14:paraId="1AB7D6CD">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备用设备</w:t>
            </w:r>
          </w:p>
        </w:tc>
        <w:tc>
          <w:tcPr>
            <w:tcW w:w="6951" w:type="dxa"/>
            <w:shd w:val="clear" w:color="auto" w:fill="auto"/>
            <w:tcMar>
              <w:left w:w="105" w:type="dxa"/>
              <w:right w:w="105" w:type="dxa"/>
            </w:tcMar>
            <w:vAlign w:val="center"/>
          </w:tcPr>
          <w:p w14:paraId="0FFF5D97">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现场无法修复或评估维修时间可能超过24小时的，供应商在故障发生后24小时内提供备机。</w:t>
            </w:r>
          </w:p>
        </w:tc>
      </w:tr>
      <w:tr w14:paraId="18FBE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375" w:hRule="atLeast"/>
        </w:trPr>
        <w:tc>
          <w:tcPr>
            <w:tcW w:w="1064" w:type="dxa"/>
            <w:gridSpan w:val="2"/>
            <w:shd w:val="clear" w:color="auto" w:fill="auto"/>
            <w:tcMar>
              <w:left w:w="105" w:type="dxa"/>
              <w:right w:w="105" w:type="dxa"/>
            </w:tcMar>
            <w:vAlign w:val="center"/>
          </w:tcPr>
          <w:p w14:paraId="570A16E6">
            <w:pPr>
              <w:pStyle w:val="14"/>
              <w:keepNext w:val="0"/>
              <w:keepLines w:val="0"/>
              <w:widowControl/>
              <w:suppressLineNumbers w:val="0"/>
              <w:spacing w:before="0" w:beforeAutospacing="1" w:after="0" w:afterAutospacing="1"/>
              <w:ind w:left="420" w:right="0"/>
              <w:jc w:val="both"/>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w:t>
            </w:r>
          </w:p>
        </w:tc>
        <w:tc>
          <w:tcPr>
            <w:tcW w:w="1833" w:type="dxa"/>
            <w:shd w:val="clear" w:color="auto" w:fill="auto"/>
            <w:tcMar>
              <w:left w:w="105" w:type="dxa"/>
              <w:right w:w="105" w:type="dxa"/>
            </w:tcMar>
            <w:vAlign w:val="center"/>
          </w:tcPr>
          <w:p w14:paraId="4AB97563">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运维协同</w:t>
            </w:r>
          </w:p>
        </w:tc>
        <w:tc>
          <w:tcPr>
            <w:tcW w:w="6951" w:type="dxa"/>
            <w:shd w:val="clear" w:color="auto" w:fill="auto"/>
            <w:tcMar>
              <w:left w:w="105" w:type="dxa"/>
              <w:right w:w="105" w:type="dxa"/>
            </w:tcMar>
            <w:vAlign w:val="center"/>
          </w:tcPr>
          <w:p w14:paraId="36A28614">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供应商应与本项目相关的第三方（如涉及）保持有效沟通，明确项目的具体要求和功能等方面的细节。采购人负责组织、监督和验收。</w:t>
            </w:r>
          </w:p>
        </w:tc>
      </w:tr>
      <w:tr w14:paraId="621A8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375" w:hRule="atLeast"/>
        </w:trPr>
        <w:tc>
          <w:tcPr>
            <w:tcW w:w="1064" w:type="dxa"/>
            <w:gridSpan w:val="2"/>
            <w:shd w:val="clear" w:color="auto" w:fill="auto"/>
            <w:tcMar>
              <w:left w:w="105" w:type="dxa"/>
              <w:right w:w="105" w:type="dxa"/>
            </w:tcMar>
            <w:vAlign w:val="center"/>
          </w:tcPr>
          <w:p w14:paraId="19368276">
            <w:pPr>
              <w:pStyle w:val="14"/>
              <w:keepNext w:val="0"/>
              <w:keepLines w:val="0"/>
              <w:widowControl/>
              <w:suppressLineNumbers w:val="0"/>
              <w:spacing w:before="0" w:beforeAutospacing="1" w:after="0" w:afterAutospacing="1"/>
              <w:ind w:left="420" w:right="0"/>
              <w:jc w:val="both"/>
              <w:rPr>
                <w:rFonts w:hint="eastAsia"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w:t>
            </w:r>
          </w:p>
        </w:tc>
        <w:tc>
          <w:tcPr>
            <w:tcW w:w="1833" w:type="dxa"/>
            <w:shd w:val="clear" w:color="auto" w:fill="auto"/>
            <w:tcMar>
              <w:left w:w="105" w:type="dxa"/>
              <w:right w:w="105" w:type="dxa"/>
            </w:tcMar>
            <w:vAlign w:val="center"/>
          </w:tcPr>
          <w:p w14:paraId="52C61DEB">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技能培训</w:t>
            </w:r>
          </w:p>
        </w:tc>
        <w:tc>
          <w:tcPr>
            <w:tcW w:w="6951" w:type="dxa"/>
            <w:shd w:val="clear" w:color="auto" w:fill="auto"/>
            <w:tcMar>
              <w:left w:w="105" w:type="dxa"/>
              <w:right w:w="105" w:type="dxa"/>
            </w:tcMar>
            <w:vAlign w:val="center"/>
          </w:tcPr>
          <w:p w14:paraId="08A8CF02">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供应商需派专业技术人员对</w:t>
            </w:r>
            <w:r>
              <w:rPr>
                <w:rFonts w:hint="eastAsia" w:ascii="仿宋" w:hAnsi="仿宋" w:eastAsia="仿宋" w:cs="仿宋"/>
                <w:sz w:val="24"/>
                <w:szCs w:val="24"/>
                <w:lang w:eastAsia="zh-CN"/>
              </w:rPr>
              <w:t>采购人</w:t>
            </w:r>
            <w:r>
              <w:rPr>
                <w:rFonts w:hint="eastAsia" w:ascii="仿宋" w:hAnsi="仿宋" w:eastAsia="仿宋" w:cs="仿宋"/>
                <w:sz w:val="24"/>
                <w:szCs w:val="24"/>
              </w:rPr>
              <w:t>相关人员进行使用操作、设备维修、保养等技术的培训（每年不少于2次），并提供培训方案和培训签到表。</w:t>
            </w:r>
          </w:p>
        </w:tc>
      </w:tr>
      <w:tr w14:paraId="0D570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5" w:hRule="atLeast"/>
        </w:trPr>
        <w:tc>
          <w:tcPr>
            <w:tcW w:w="1064" w:type="dxa"/>
            <w:gridSpan w:val="2"/>
            <w:shd w:val="clear" w:color="auto" w:fill="auto"/>
            <w:tcMar>
              <w:left w:w="105" w:type="dxa"/>
              <w:right w:w="105" w:type="dxa"/>
            </w:tcMar>
            <w:vAlign w:val="center"/>
          </w:tcPr>
          <w:p w14:paraId="13C24E91">
            <w:pPr>
              <w:pStyle w:val="14"/>
              <w:keepNext w:val="0"/>
              <w:keepLines w:val="0"/>
              <w:widowControl/>
              <w:suppressLineNumbers w:val="0"/>
              <w:spacing w:before="0" w:beforeAutospacing="1" w:after="0" w:afterAutospacing="1"/>
              <w:ind w:left="420" w:right="0"/>
              <w:jc w:val="both"/>
              <w:rPr>
                <w:rFonts w:hint="eastAsia" w:ascii="仿宋" w:hAnsi="仿宋" w:eastAsia="仿宋" w:cs="仿宋"/>
                <w:sz w:val="24"/>
                <w:szCs w:val="24"/>
              </w:rPr>
            </w:pPr>
            <w:r>
              <w:rPr>
                <w:rFonts w:hint="eastAsia" w:ascii="仿宋" w:hAnsi="仿宋" w:eastAsia="仿宋" w:cs="仿宋"/>
                <w:sz w:val="24"/>
                <w:szCs w:val="24"/>
                <w:lang w:val="en-US" w:eastAsia="zh-CN"/>
              </w:rPr>
              <w:t>9</w:t>
            </w:r>
            <w:r>
              <w:rPr>
                <w:rFonts w:hint="eastAsia" w:ascii="仿宋" w:hAnsi="仿宋" w:eastAsia="仿宋" w:cs="仿宋"/>
                <w:sz w:val="24"/>
                <w:szCs w:val="24"/>
              </w:rPr>
              <w:t>.</w:t>
            </w:r>
          </w:p>
        </w:tc>
        <w:tc>
          <w:tcPr>
            <w:tcW w:w="1833" w:type="dxa"/>
            <w:shd w:val="clear" w:color="auto" w:fill="auto"/>
            <w:tcMar>
              <w:left w:w="105" w:type="dxa"/>
              <w:right w:w="105" w:type="dxa"/>
            </w:tcMar>
            <w:vAlign w:val="center"/>
          </w:tcPr>
          <w:p w14:paraId="2496BED7">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质保服务</w:t>
            </w:r>
          </w:p>
        </w:tc>
        <w:tc>
          <w:tcPr>
            <w:tcW w:w="6951" w:type="dxa"/>
            <w:shd w:val="clear" w:color="auto" w:fill="auto"/>
            <w:tcMar>
              <w:left w:w="105" w:type="dxa"/>
              <w:right w:w="105" w:type="dxa"/>
            </w:tcMar>
            <w:vAlign w:val="center"/>
          </w:tcPr>
          <w:p w14:paraId="65A18FB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本项目所包含硬件提供保修服务，保证软硬件功能正常运行，保修过程中产生的所有费用由供应商承担。</w:t>
            </w:r>
          </w:p>
        </w:tc>
      </w:tr>
      <w:tr w14:paraId="3E8D7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151" w:hRule="atLeast"/>
        </w:trPr>
        <w:tc>
          <w:tcPr>
            <w:tcW w:w="1064" w:type="dxa"/>
            <w:gridSpan w:val="2"/>
            <w:shd w:val="clear" w:color="auto" w:fill="auto"/>
            <w:tcMar>
              <w:left w:w="105" w:type="dxa"/>
              <w:right w:w="105" w:type="dxa"/>
            </w:tcMar>
            <w:vAlign w:val="center"/>
          </w:tcPr>
          <w:p w14:paraId="43ED3AAD">
            <w:pPr>
              <w:pStyle w:val="14"/>
              <w:keepNext w:val="0"/>
              <w:keepLines w:val="0"/>
              <w:widowControl/>
              <w:suppressLineNumbers w:val="0"/>
              <w:spacing w:before="0" w:beforeAutospacing="1" w:after="0" w:afterAutospacing="1"/>
              <w:ind w:left="420" w:right="0"/>
              <w:jc w:val="both"/>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0</w:t>
            </w:r>
            <w:r>
              <w:rPr>
                <w:rFonts w:hint="eastAsia" w:ascii="仿宋" w:hAnsi="仿宋" w:eastAsia="仿宋" w:cs="仿宋"/>
                <w:sz w:val="24"/>
                <w:szCs w:val="24"/>
              </w:rPr>
              <w:t>.</w:t>
            </w:r>
          </w:p>
        </w:tc>
        <w:tc>
          <w:tcPr>
            <w:tcW w:w="1833" w:type="dxa"/>
            <w:shd w:val="clear" w:color="auto" w:fill="auto"/>
            <w:tcMar>
              <w:left w:w="105" w:type="dxa"/>
              <w:right w:w="105" w:type="dxa"/>
            </w:tcMar>
            <w:vAlign w:val="center"/>
          </w:tcPr>
          <w:p w14:paraId="3D9A7D96">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文档归档</w:t>
            </w:r>
          </w:p>
        </w:tc>
        <w:tc>
          <w:tcPr>
            <w:tcW w:w="6951" w:type="dxa"/>
            <w:shd w:val="clear" w:color="auto" w:fill="auto"/>
            <w:tcMar>
              <w:left w:w="105" w:type="dxa"/>
              <w:right w:w="105" w:type="dxa"/>
            </w:tcMar>
            <w:vAlign w:val="center"/>
          </w:tcPr>
          <w:p w14:paraId="2BD8EDEF">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验收合格之日起提交本次采购货物的操作手册、服务器信息，若采购货物的相关文档发生变化，需在30日内提供最新文档。</w:t>
            </w:r>
          </w:p>
        </w:tc>
      </w:tr>
      <w:tr w14:paraId="1C0C9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151" w:hRule="atLeast"/>
        </w:trPr>
        <w:tc>
          <w:tcPr>
            <w:tcW w:w="1064" w:type="dxa"/>
            <w:gridSpan w:val="2"/>
            <w:shd w:val="clear" w:color="auto" w:fill="auto"/>
            <w:tcMar>
              <w:left w:w="105" w:type="dxa"/>
              <w:right w:w="105" w:type="dxa"/>
            </w:tcMar>
            <w:vAlign w:val="center"/>
          </w:tcPr>
          <w:p w14:paraId="33509587">
            <w:pPr>
              <w:pStyle w:val="14"/>
              <w:keepNext w:val="0"/>
              <w:keepLines w:val="0"/>
              <w:widowControl/>
              <w:suppressLineNumbers w:val="0"/>
              <w:spacing w:before="0" w:beforeAutospacing="1" w:after="0" w:afterAutospacing="1"/>
              <w:ind w:left="420" w:right="0"/>
              <w:jc w:val="both"/>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1</w:t>
            </w:r>
            <w:r>
              <w:rPr>
                <w:rFonts w:hint="eastAsia" w:ascii="仿宋" w:hAnsi="仿宋" w:eastAsia="仿宋" w:cs="仿宋"/>
                <w:sz w:val="24"/>
                <w:szCs w:val="24"/>
              </w:rPr>
              <w:t>.</w:t>
            </w:r>
          </w:p>
        </w:tc>
        <w:tc>
          <w:tcPr>
            <w:tcW w:w="1833" w:type="dxa"/>
            <w:shd w:val="clear" w:color="auto" w:fill="auto"/>
            <w:tcMar>
              <w:left w:w="105" w:type="dxa"/>
              <w:right w:w="105" w:type="dxa"/>
            </w:tcMar>
            <w:vAlign w:val="center"/>
          </w:tcPr>
          <w:p w14:paraId="70262DC0">
            <w:pPr>
              <w:pStyle w:val="14"/>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数据安全</w:t>
            </w:r>
          </w:p>
        </w:tc>
        <w:tc>
          <w:tcPr>
            <w:tcW w:w="6951" w:type="dxa"/>
            <w:shd w:val="clear" w:color="auto" w:fill="auto"/>
            <w:tcMar>
              <w:left w:w="105" w:type="dxa"/>
              <w:right w:w="105" w:type="dxa"/>
            </w:tcMar>
            <w:vAlign w:val="center"/>
          </w:tcPr>
          <w:p w14:paraId="47EBEE35">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供应商入场后应对采购人的所有数据保密，并签署保密协议。</w:t>
            </w:r>
          </w:p>
        </w:tc>
      </w:tr>
    </w:tbl>
    <w:p w14:paraId="286FE936">
      <w:pPr>
        <w:pStyle w:val="3"/>
        <w:keepNext w:val="0"/>
        <w:keepLines w:val="0"/>
        <w:widowControl/>
        <w:numPr>
          <w:ilvl w:val="0"/>
          <w:numId w:val="0"/>
        </w:numPr>
        <w:suppressLineNumbers w:val="0"/>
        <w:spacing w:line="240" w:lineRule="auto"/>
        <w:ind w:left="0" w:leftChars="0" w:firstLine="0" w:firstLineChars="0"/>
        <w:jc w:val="both"/>
        <w:rPr>
          <w:rFonts w:hint="eastAsia" w:ascii="仿宋" w:hAnsi="仿宋" w:eastAsia="仿宋" w:cs="仿宋"/>
          <w:b w:val="0"/>
          <w:bCs/>
          <w:sz w:val="24"/>
          <w:szCs w:val="24"/>
        </w:rPr>
      </w:pPr>
      <w:r>
        <w:rPr>
          <w:rFonts w:hint="eastAsia" w:ascii="仿宋" w:hAnsi="仿宋" w:eastAsia="仿宋" w:cs="仿宋"/>
          <w:b w:val="0"/>
          <w:bCs/>
          <w:kern w:val="2"/>
          <w:sz w:val="24"/>
          <w:szCs w:val="24"/>
        </w:rPr>
        <w:t>★</w:t>
      </w:r>
      <w:r>
        <w:rPr>
          <w:rFonts w:hint="eastAsia" w:ascii="仿宋" w:hAnsi="仿宋" w:eastAsia="仿宋" w:cs="仿宋"/>
          <w:b w:val="0"/>
          <w:bCs/>
          <w:kern w:val="2"/>
          <w:sz w:val="24"/>
          <w:szCs w:val="24"/>
          <w:lang w:val="en-US" w:eastAsia="zh-CN" w:bidi="ar-SA"/>
        </w:rPr>
        <w:t>3.</w:t>
      </w:r>
      <w:r>
        <w:rPr>
          <w:rFonts w:hint="eastAsia" w:ascii="仿宋" w:hAnsi="仿宋" w:eastAsia="仿宋" w:cs="仿宋"/>
          <w:b w:val="0"/>
          <w:bCs/>
          <w:kern w:val="2"/>
          <w:sz w:val="24"/>
          <w:szCs w:val="24"/>
        </w:rPr>
        <w:t>驻场人员</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443"/>
        <w:gridCol w:w="1104"/>
        <w:gridCol w:w="1460"/>
        <w:gridCol w:w="5841"/>
      </w:tblGrid>
      <w:tr w14:paraId="38E82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420" w:hRule="atLeast"/>
        </w:trPr>
        <w:tc>
          <w:tcPr>
            <w:tcW w:w="1275" w:type="dxa"/>
            <w:tcBorders>
              <w:top w:val="single" w:color="auto" w:sz="6" w:space="0"/>
              <w:left w:val="single" w:color="auto" w:sz="6" w:space="0"/>
              <w:bottom w:val="single" w:color="auto" w:sz="6" w:space="0"/>
              <w:right w:val="single" w:color="auto" w:sz="6" w:space="0"/>
            </w:tcBorders>
            <w:shd w:val="clear" w:color="auto" w:fill="E5E5E5"/>
            <w:tcMar>
              <w:left w:w="105" w:type="dxa"/>
              <w:right w:w="105" w:type="dxa"/>
            </w:tcMar>
            <w:vAlign w:val="center"/>
          </w:tcPr>
          <w:p w14:paraId="11AE74D2">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名称</w:t>
            </w:r>
          </w:p>
        </w:tc>
        <w:tc>
          <w:tcPr>
            <w:tcW w:w="975" w:type="dxa"/>
            <w:tcBorders>
              <w:top w:val="single" w:color="auto" w:sz="6" w:space="0"/>
              <w:left w:val="nil"/>
              <w:bottom w:val="single" w:color="auto" w:sz="6" w:space="0"/>
              <w:right w:val="single" w:color="auto" w:sz="6" w:space="0"/>
            </w:tcBorders>
            <w:shd w:val="clear" w:color="auto" w:fill="E5E5E5"/>
            <w:tcMar>
              <w:left w:w="105" w:type="dxa"/>
              <w:right w:w="105" w:type="dxa"/>
            </w:tcMar>
            <w:vAlign w:val="center"/>
          </w:tcPr>
          <w:p w14:paraId="6BC43F34">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位置</w:t>
            </w:r>
          </w:p>
        </w:tc>
        <w:tc>
          <w:tcPr>
            <w:tcW w:w="1275" w:type="dxa"/>
            <w:tcBorders>
              <w:top w:val="single" w:color="auto" w:sz="6" w:space="0"/>
              <w:left w:val="nil"/>
              <w:bottom w:val="single" w:color="auto" w:sz="6" w:space="0"/>
              <w:right w:val="single" w:color="auto" w:sz="6" w:space="0"/>
            </w:tcBorders>
            <w:shd w:val="clear" w:color="auto" w:fill="E5E5E5"/>
            <w:tcMar>
              <w:left w:w="105" w:type="dxa"/>
              <w:right w:w="105" w:type="dxa"/>
            </w:tcMar>
            <w:vAlign w:val="center"/>
          </w:tcPr>
          <w:p w14:paraId="6178D982">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限高价（元）</w:t>
            </w:r>
          </w:p>
        </w:tc>
        <w:tc>
          <w:tcPr>
            <w:tcW w:w="5160" w:type="dxa"/>
            <w:tcBorders>
              <w:top w:val="single" w:color="auto" w:sz="6" w:space="0"/>
              <w:left w:val="nil"/>
              <w:bottom w:val="single" w:color="auto" w:sz="6" w:space="0"/>
              <w:right w:val="single" w:color="auto" w:sz="6" w:space="0"/>
            </w:tcBorders>
            <w:shd w:val="clear" w:color="auto" w:fill="E5E5E5"/>
            <w:tcMar>
              <w:left w:w="105" w:type="dxa"/>
              <w:right w:w="105" w:type="dxa"/>
            </w:tcMar>
            <w:vAlign w:val="center"/>
          </w:tcPr>
          <w:p w14:paraId="04F51DF6">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资质要求</w:t>
            </w:r>
          </w:p>
        </w:tc>
      </w:tr>
      <w:tr w14:paraId="37A59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Pr>
        <w:tc>
          <w:tcPr>
            <w:tcW w:w="1275"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4BCC760">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高级存储工程师</w:t>
            </w:r>
          </w:p>
        </w:tc>
        <w:tc>
          <w:tcPr>
            <w:tcW w:w="975" w:type="dxa"/>
            <w:tcBorders>
              <w:top w:val="nil"/>
              <w:left w:val="nil"/>
              <w:bottom w:val="single" w:color="auto" w:sz="6" w:space="0"/>
              <w:right w:val="single" w:color="auto" w:sz="6" w:space="0"/>
            </w:tcBorders>
            <w:shd w:val="clear" w:color="auto" w:fill="auto"/>
            <w:tcMar>
              <w:left w:w="105" w:type="dxa"/>
              <w:right w:w="105" w:type="dxa"/>
            </w:tcMar>
            <w:vAlign w:val="center"/>
          </w:tcPr>
          <w:p w14:paraId="6C5CEE3B">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驻场</w:t>
            </w:r>
          </w:p>
        </w:tc>
        <w:tc>
          <w:tcPr>
            <w:tcW w:w="1275" w:type="dxa"/>
            <w:tcBorders>
              <w:top w:val="nil"/>
              <w:left w:val="nil"/>
              <w:bottom w:val="single" w:color="auto" w:sz="6" w:space="0"/>
              <w:right w:val="single" w:color="auto" w:sz="6" w:space="0"/>
            </w:tcBorders>
            <w:shd w:val="clear" w:color="auto" w:fill="auto"/>
            <w:tcMar>
              <w:left w:w="105" w:type="dxa"/>
              <w:right w:w="105" w:type="dxa"/>
            </w:tcMar>
            <w:vAlign w:val="center"/>
          </w:tcPr>
          <w:p w14:paraId="3852CE34">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204450.00</w:t>
            </w:r>
          </w:p>
        </w:tc>
        <w:tc>
          <w:tcPr>
            <w:tcW w:w="5160" w:type="dxa"/>
            <w:tcBorders>
              <w:top w:val="nil"/>
              <w:left w:val="nil"/>
              <w:bottom w:val="single" w:color="auto" w:sz="6" w:space="0"/>
              <w:right w:val="single" w:color="auto" w:sz="6" w:space="0"/>
            </w:tcBorders>
            <w:shd w:val="clear" w:color="auto" w:fill="auto"/>
            <w:tcMar>
              <w:left w:w="105" w:type="dxa"/>
              <w:right w:w="105" w:type="dxa"/>
            </w:tcMar>
            <w:vAlign w:val="center"/>
          </w:tcPr>
          <w:p w14:paraId="06A3A236">
            <w:pPr>
              <w:pStyle w:val="14"/>
              <w:keepNext w:val="0"/>
              <w:keepLines w:val="0"/>
              <w:widowControl/>
              <w:suppressLineNumbers w:val="0"/>
              <w:spacing w:line="360" w:lineRule="auto"/>
              <w:jc w:val="left"/>
              <w:rPr>
                <w:rFonts w:hint="eastAsia" w:ascii="仿宋" w:hAnsi="仿宋" w:eastAsia="仿宋" w:cs="仿宋"/>
                <w:sz w:val="24"/>
                <w:szCs w:val="24"/>
              </w:rPr>
            </w:pPr>
            <w:r>
              <w:rPr>
                <w:rFonts w:hint="eastAsia" w:ascii="仿宋" w:hAnsi="仿宋" w:eastAsia="仿宋" w:cs="仿宋"/>
                <w:sz w:val="24"/>
                <w:szCs w:val="24"/>
              </w:rPr>
              <w:t>驻场人员具备存储类高级工程师认证、具备数据库中级认证或虚拟化系统中级认证、Oracle数据库中级认证，报到时出示证书（需在有效期内）。</w:t>
            </w:r>
          </w:p>
        </w:tc>
      </w:tr>
    </w:tbl>
    <w:p w14:paraId="506B3B7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482" w:leftChars="0" w:hanging="482" w:hangingChars="200"/>
        <w:textAlignment w:val="auto"/>
        <w:rPr>
          <w:rFonts w:hint="eastAsia" w:ascii="仿宋" w:hAnsi="仿宋" w:eastAsia="仿宋" w:cs="仿宋"/>
          <w:b/>
          <w:bCs w:val="0"/>
          <w:sz w:val="24"/>
          <w:szCs w:val="24"/>
        </w:rPr>
      </w:pPr>
      <w:r>
        <w:rPr>
          <w:rFonts w:hint="eastAsia" w:ascii="仿宋" w:hAnsi="仿宋" w:eastAsia="仿宋" w:cs="仿宋"/>
          <w:b/>
          <w:bCs w:val="0"/>
          <w:kern w:val="2"/>
          <w:sz w:val="24"/>
          <w:szCs w:val="24"/>
        </w:rPr>
        <w:t>★</w:t>
      </w:r>
      <w:r>
        <w:rPr>
          <w:rFonts w:hint="eastAsia" w:ascii="仿宋" w:hAnsi="仿宋" w:eastAsia="仿宋" w:cs="仿宋"/>
          <w:b/>
          <w:bCs w:val="0"/>
          <w:kern w:val="2"/>
          <w:sz w:val="24"/>
          <w:szCs w:val="24"/>
          <w:lang w:val="en-US" w:eastAsia="zh-CN" w:bidi="ar-SA"/>
        </w:rPr>
        <w:t>四、</w:t>
      </w:r>
      <w:r>
        <w:rPr>
          <w:rFonts w:hint="eastAsia" w:ascii="仿宋" w:hAnsi="仿宋" w:eastAsia="仿宋" w:cs="仿宋"/>
          <w:b/>
          <w:bCs w:val="0"/>
          <w:sz w:val="24"/>
          <w:szCs w:val="24"/>
        </w:rPr>
        <w:t>商务要求</w:t>
      </w:r>
      <w:bookmarkStart w:id="102" w:name="_GoBack"/>
      <w:bookmarkEnd w:id="102"/>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须于2026年6月23日前至采购人单位与采购人信息管理部门面谈沟通，如未按上述时限到场沟通，视为供应商违约并自动放弃该项目，采购人有权终止合同，合同所有款项将不予支付(如有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2.服务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四川省人民医院（包括所有院区）</w:t>
      </w:r>
      <w:r>
        <w:rPr>
          <w:rFonts w:hint="eastAsia" w:ascii="仿宋" w:hAnsi="仿宋" w:eastAsia="仿宋" w:cs="仿宋"/>
          <w:sz w:val="24"/>
          <w:szCs w:val="24"/>
          <w:highlight w:val="none"/>
        </w:rPr>
        <w:t>。</w:t>
      </w:r>
    </w:p>
    <w:p w14:paraId="39A51F5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服务期：2026年6月27日至2027年8月26日（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rPr>
      </w:pPr>
      <w:bookmarkStart w:id="15" w:name="_Toc153964904"/>
      <w:bookmarkEnd w:id="15"/>
      <w:bookmarkStart w:id="16" w:name="_Toc18622"/>
      <w:bookmarkEnd w:id="16"/>
      <w:r>
        <w:rPr>
          <w:rFonts w:hint="eastAsia" w:ascii="仿宋" w:hAnsi="仿宋" w:eastAsia="仿宋" w:cs="仿宋"/>
          <w:sz w:val="24"/>
          <w:szCs w:val="24"/>
          <w:lang w:val="en-US" w:eastAsia="zh-CN"/>
        </w:rPr>
        <w:t>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（6）履约验收时间：服务期满且供应商完成所有服务内容后5日内通知采购人验收，采购人接到供应商通知后10日内组织验收。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C116C8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BECA04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（12）履约验收其它事项：无。</w:t>
      </w:r>
    </w:p>
    <w:p w14:paraId="22B9956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12" w:lineRule="auto"/>
        <w:ind w:left="0" w:leftChars="0" w:firstLine="0" w:firstLineChars="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4A1E1F2C">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12"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1.供应商综合实力</w:t>
      </w:r>
    </w:p>
    <w:p w14:paraId="0CF734BA">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12"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供应商具有质量管理体系认证证书、信息安全管理体系认证证书、IT服务管理体系证书。注:以上需提供有效期内证书复印件并加盖供应商公章(证书原件备查)。</w:t>
      </w:r>
    </w:p>
    <w:p w14:paraId="433309D6">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12"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2.业绩</w:t>
      </w:r>
    </w:p>
    <w:p w14:paraId="5014D632">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12"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供应商提供2023年1月1日(含)以来类似存储运维服务项目的业绩证明。注:(1)以合同签订时间为准;(2)提供采购合同关键页(合同首页、建设内容、金额、签字盖章页)材料复印件，并加盖供应商公章。</w:t>
      </w: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99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80"/>
        <w:gridCol w:w="1600"/>
        <w:gridCol w:w="44"/>
        <w:gridCol w:w="6474"/>
        <w:gridCol w:w="90"/>
        <w:gridCol w:w="660"/>
        <w:gridCol w:w="90"/>
      </w:tblGrid>
      <w:tr w14:paraId="4D55D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gridSpan w:val="6"/>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top"/>
          </w:tcPr>
          <w:p w14:paraId="272B692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四川省人民医院供应商考核</w:t>
            </w:r>
          </w:p>
        </w:tc>
      </w:tr>
      <w:tr w14:paraId="1664B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90" w:type="dxa"/>
        </w:trPr>
        <w:tc>
          <w:tcPr>
            <w:tcW w:w="0" w:type="auto"/>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BB0FBF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both"/>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供应商</w:t>
            </w:r>
          </w:p>
        </w:tc>
        <w:tc>
          <w:tcPr>
            <w:tcW w:w="0" w:type="auto"/>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51E2AF0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198CB4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合同名</w:t>
            </w:r>
          </w:p>
        </w:tc>
        <w:tc>
          <w:tcPr>
            <w:tcW w:w="0" w:type="auto"/>
            <w:gridSpan w:val="2"/>
            <w:tcBorders>
              <w:top w:val="nil"/>
              <w:left w:val="nil"/>
              <w:bottom w:val="single" w:color="auto" w:sz="6" w:space="0"/>
              <w:right w:val="single" w:color="auto" w:sz="6" w:space="0"/>
            </w:tcBorders>
            <w:shd w:val="clear" w:color="auto" w:fill="auto"/>
            <w:tcMar>
              <w:left w:w="105" w:type="dxa"/>
              <w:right w:w="105" w:type="dxa"/>
            </w:tcMar>
            <w:vAlign w:val="top"/>
          </w:tcPr>
          <w:p w14:paraId="1ADB959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2F18D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Height w:val="450" w:hRule="atLeast"/>
        </w:trPr>
        <w:tc>
          <w:tcPr>
            <w:tcW w:w="0" w:type="auto"/>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D26529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指标类别</w:t>
            </w: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500D47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指标</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301FA46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考核内容</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37226C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扣分</w:t>
            </w:r>
          </w:p>
        </w:tc>
      </w:tr>
      <w:tr w14:paraId="416B5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90" w:type="dxa"/>
        </w:trPr>
        <w:tc>
          <w:tcPr>
            <w:tcW w:w="0" w:type="auto"/>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8AA72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性能质</w:t>
            </w:r>
          </w:p>
          <w:p w14:paraId="305E65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量评价</w:t>
            </w:r>
          </w:p>
          <w:p w14:paraId="465A7E3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 </w:t>
            </w: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03E980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稳定性</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D844C2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07295A0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1EDCD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CC98A98">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768D09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安全性</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0DA145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露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5738A25A">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3F1E3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9171A6E">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1D1B27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用户满意度</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1023AA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263BF2D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6E1F0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Height w:val="675" w:hRule="atLeast"/>
        </w:trPr>
        <w:tc>
          <w:tcPr>
            <w:tcW w:w="0" w:type="auto"/>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634B90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使用支</w:t>
            </w:r>
          </w:p>
          <w:p w14:paraId="7E53BD7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7B154C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考勤</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B81AA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3204626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51467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0293531">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021F50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响应速度</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6A7EA5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0E7EAE7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42954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4646716">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2FD6EF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备件供应</w:t>
            </w:r>
          </w:p>
          <w:p w14:paraId="728C3C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（本项仅涉</w:t>
            </w:r>
          </w:p>
          <w:p w14:paraId="4611FE4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及提供硬件</w:t>
            </w:r>
          </w:p>
          <w:p w14:paraId="06549F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的供应商）</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5E29F1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31D3D5E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1656D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76F758B">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5845C0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定期巡检</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CA9353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58DE1B4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6DCD9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E8E2652">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559AD71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培训服务</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6E745AD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2201B2D0">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41A98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363706B">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581A84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技术文档</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6EAAD6F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66CB9EC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018A3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90" w:type="dxa"/>
          <w:trHeight w:val="870" w:hRule="atLeast"/>
        </w:trPr>
        <w:tc>
          <w:tcPr>
            <w:tcW w:w="0" w:type="auto"/>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E4C7D1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违规违</w:t>
            </w:r>
          </w:p>
          <w:p w14:paraId="706A73F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5FCC47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廉洁从业</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F186B8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3FEF36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一票否决</w:t>
            </w:r>
          </w:p>
        </w:tc>
      </w:tr>
      <w:tr w14:paraId="04349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8761E3A">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3507D0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安全规范</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4B4D3A7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45CA6D2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192B1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1CEFFCB">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2BCE8D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其他违纪违规</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5085D0A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其他不利于医院信息化建设相关行为，视情节严重程度，经采购人讨论酌情扣分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B16C97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4E822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90" w:type="dxa"/>
        </w:trPr>
        <w:tc>
          <w:tcPr>
            <w:tcW w:w="0" w:type="auto"/>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AC43E0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扣分合计</w:t>
            </w:r>
          </w:p>
        </w:tc>
        <w:tc>
          <w:tcPr>
            <w:tcW w:w="0" w:type="auto"/>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63B139B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58ED4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90" w:type="dxa"/>
        </w:trPr>
        <w:tc>
          <w:tcPr>
            <w:tcW w:w="0" w:type="auto"/>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1167E3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0" w:type="auto"/>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089F271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p w14:paraId="486E750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color w:val="000000"/>
                <w:sz w:val="24"/>
                <w:szCs w:val="24"/>
              </w:rPr>
              <w:t>                                                                 年    月    日</w:t>
            </w:r>
          </w:p>
        </w:tc>
      </w:tr>
      <w:tr w14:paraId="277D1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rPr>
        <w:tc>
          <w:tcPr>
            <w:tcW w:w="0" w:type="auto"/>
            <w:tcBorders>
              <w:top w:val="nil"/>
              <w:left w:val="nil"/>
              <w:bottom w:val="nil"/>
              <w:right w:val="nil"/>
            </w:tcBorders>
            <w:shd w:val="clear" w:color="auto" w:fill="auto"/>
            <w:vAlign w:val="center"/>
          </w:tcPr>
          <w:p w14:paraId="6F246BC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0" w:type="auto"/>
            <w:tcBorders>
              <w:top w:val="nil"/>
              <w:left w:val="nil"/>
              <w:bottom w:val="nil"/>
              <w:right w:val="nil"/>
            </w:tcBorders>
            <w:shd w:val="clear" w:color="auto" w:fill="auto"/>
            <w:vAlign w:val="center"/>
          </w:tcPr>
          <w:p w14:paraId="54A5C5E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0" w:type="auto"/>
            <w:tcBorders>
              <w:top w:val="nil"/>
              <w:left w:val="nil"/>
              <w:bottom w:val="nil"/>
              <w:right w:val="nil"/>
            </w:tcBorders>
            <w:shd w:val="clear" w:color="auto" w:fill="auto"/>
            <w:vAlign w:val="center"/>
          </w:tcPr>
          <w:p w14:paraId="095A966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0" w:type="auto"/>
            <w:tcBorders>
              <w:top w:val="nil"/>
              <w:left w:val="nil"/>
              <w:bottom w:val="nil"/>
              <w:right w:val="nil"/>
            </w:tcBorders>
            <w:shd w:val="clear" w:color="auto" w:fill="auto"/>
            <w:vAlign w:val="center"/>
          </w:tcPr>
          <w:p w14:paraId="767D37C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90" w:type="dxa"/>
            <w:tcBorders>
              <w:top w:val="nil"/>
              <w:left w:val="nil"/>
              <w:bottom w:val="nil"/>
              <w:right w:val="nil"/>
            </w:tcBorders>
            <w:shd w:val="clear" w:color="auto" w:fill="auto"/>
            <w:vAlign w:val="center"/>
          </w:tcPr>
          <w:p w14:paraId="04B2AD5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750" w:type="dxa"/>
            <w:gridSpan w:val="2"/>
            <w:tcBorders>
              <w:top w:val="nil"/>
              <w:left w:val="nil"/>
              <w:bottom w:val="nil"/>
              <w:right w:val="nil"/>
            </w:tcBorders>
            <w:shd w:val="clear" w:color="auto" w:fill="auto"/>
            <w:vAlign w:val="center"/>
          </w:tcPr>
          <w:p w14:paraId="4616905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bl>
    <w:p w14:paraId="2B23D4E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jc w:val="left"/>
        <w:textAlignment w:val="auto"/>
        <w:rPr>
          <w:rFonts w:hint="eastAsia" w:ascii="仿宋" w:hAnsi="仿宋" w:eastAsia="仿宋" w:cs="仿宋"/>
          <w:sz w:val="24"/>
          <w:szCs w:val="24"/>
        </w:rPr>
      </w:pPr>
      <w:r>
        <w:rPr>
          <w:rStyle w:val="21"/>
          <w:rFonts w:hint="eastAsia" w:ascii="仿宋" w:hAnsi="仿宋" w:eastAsia="仿宋" w:cs="仿宋"/>
          <w:color w:val="000000"/>
          <w:kern w:val="2"/>
          <w:sz w:val="24"/>
          <w:szCs w:val="24"/>
        </w:rPr>
        <w:t>备注：</w:t>
      </w:r>
    </w:p>
    <w:p w14:paraId="3B4C3F0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2"/>
          <w:sz w:val="24"/>
          <w:szCs w:val="24"/>
        </w:rPr>
        <w:t>1.服务期内，采购人可按照本项目采购需求内容对应的考核指标对供应商进行考核，具体指标以采购人要求为准；</w:t>
      </w:r>
    </w:p>
    <w:p w14:paraId="1716CFA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2"/>
          <w:sz w:val="24"/>
          <w:szCs w:val="24"/>
        </w:rPr>
        <w:t>2.考核关联最终付款金额，具体计算规则如下：</w:t>
      </w:r>
    </w:p>
    <w:p w14:paraId="5FEEF85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lang w:eastAsia="zh-CN"/>
        </w:rPr>
      </w:pPr>
      <w:r>
        <w:rPr>
          <w:rStyle w:val="21"/>
          <w:rFonts w:hint="eastAsia" w:ascii="仿宋" w:hAnsi="仿宋" w:eastAsia="仿宋" w:cs="仿宋"/>
          <w:b w:val="0"/>
          <w:bCs/>
          <w:color w:val="000000"/>
          <w:kern w:val="2"/>
          <w:sz w:val="24"/>
          <w:szCs w:val="24"/>
          <w:lang w:val="en-US" w:eastAsia="zh-CN"/>
        </w:rPr>
        <w:t>1）</w:t>
      </w:r>
      <w:r>
        <w:rPr>
          <w:rStyle w:val="21"/>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=服务期汇总考核扣分之和÷服务期内考核次数</w:t>
      </w:r>
      <w:r>
        <w:rPr>
          <w:rFonts w:hint="eastAsia" w:ascii="仿宋" w:hAnsi="仿宋" w:eastAsia="仿宋" w:cs="仿宋"/>
          <w:color w:val="000000"/>
          <w:kern w:val="2"/>
          <w:sz w:val="24"/>
          <w:szCs w:val="24"/>
          <w:lang w:eastAsia="zh-CN"/>
        </w:rPr>
        <w:t>；</w:t>
      </w:r>
    </w:p>
    <w:p w14:paraId="6D5D015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rPr>
        <w:t>2）0分&lt;</w:t>
      </w:r>
      <w:r>
        <w:rPr>
          <w:rStyle w:val="21"/>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≤3</w:t>
      </w:r>
      <w:r>
        <w:rPr>
          <w:rFonts w:hint="eastAsia" w:ascii="仿宋" w:hAnsi="仿宋" w:eastAsia="仿宋" w:cs="仿宋"/>
          <w:color w:val="000000"/>
          <w:kern w:val="2"/>
          <w:sz w:val="24"/>
          <w:szCs w:val="24"/>
          <w:u w:val="none"/>
        </w:rPr>
        <w:t>分，将对供应商进行诫勉谈话；</w:t>
      </w:r>
    </w:p>
    <w:p w14:paraId="30E621E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3）3分&lt;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≤5分，对供应商提出警告，</w:t>
      </w:r>
      <w:r>
        <w:rPr>
          <w:rFonts w:hint="eastAsia" w:ascii="仿宋" w:hAnsi="仿宋" w:eastAsia="仿宋" w:cs="仿宋"/>
          <w:kern w:val="2"/>
          <w:sz w:val="24"/>
          <w:szCs w:val="24"/>
          <w:u w:val="none"/>
        </w:rPr>
        <w:t>从合同待支付金额中</w:t>
      </w:r>
      <w:r>
        <w:rPr>
          <w:rFonts w:hint="eastAsia" w:ascii="仿宋" w:hAnsi="仿宋" w:eastAsia="仿宋" w:cs="仿宋"/>
          <w:color w:val="000000"/>
          <w:kern w:val="2"/>
          <w:sz w:val="24"/>
          <w:szCs w:val="24"/>
          <w:u w:val="none"/>
        </w:rPr>
        <w:t>扣除合同</w:t>
      </w:r>
      <w:r>
        <w:rPr>
          <w:rFonts w:hint="eastAsia" w:ascii="仿宋" w:hAnsi="仿宋" w:eastAsia="仿宋" w:cs="仿宋"/>
          <w:color w:val="000000"/>
          <w:kern w:val="2"/>
          <w:sz w:val="24"/>
          <w:szCs w:val="24"/>
          <w:u w:val="none"/>
          <w:lang w:val="en-US" w:eastAsia="zh-CN"/>
        </w:rPr>
        <w:t>总</w:t>
      </w:r>
      <w:r>
        <w:rPr>
          <w:rFonts w:hint="eastAsia" w:ascii="仿宋" w:hAnsi="仿宋" w:eastAsia="仿宋" w:cs="仿宋"/>
          <w:color w:val="000000"/>
          <w:kern w:val="2"/>
          <w:sz w:val="24"/>
          <w:szCs w:val="24"/>
          <w:u w:val="none"/>
        </w:rPr>
        <w:t>金额5%费用，扣完为止；</w:t>
      </w:r>
    </w:p>
    <w:p w14:paraId="7F512BD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4）5分&lt;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≤10分，对供应商提出严重警告，</w:t>
      </w:r>
      <w:r>
        <w:rPr>
          <w:rFonts w:hint="eastAsia" w:ascii="仿宋" w:hAnsi="仿宋" w:eastAsia="仿宋" w:cs="仿宋"/>
          <w:kern w:val="2"/>
          <w:sz w:val="24"/>
          <w:szCs w:val="24"/>
          <w:u w:val="none"/>
        </w:rPr>
        <w:t>从合同待支付金额中</w:t>
      </w:r>
      <w:r>
        <w:rPr>
          <w:rFonts w:hint="eastAsia" w:ascii="仿宋" w:hAnsi="仿宋" w:eastAsia="仿宋" w:cs="仿宋"/>
          <w:color w:val="000000"/>
          <w:kern w:val="2"/>
          <w:sz w:val="24"/>
          <w:szCs w:val="24"/>
          <w:u w:val="none"/>
        </w:rPr>
        <w:t>扣除合同</w:t>
      </w:r>
      <w:r>
        <w:rPr>
          <w:rFonts w:hint="eastAsia" w:ascii="仿宋" w:hAnsi="仿宋" w:eastAsia="仿宋" w:cs="仿宋"/>
          <w:color w:val="000000"/>
          <w:kern w:val="2"/>
          <w:sz w:val="24"/>
          <w:szCs w:val="24"/>
          <w:u w:val="none"/>
          <w:lang w:val="en-US" w:eastAsia="zh-CN"/>
        </w:rPr>
        <w:t>总</w:t>
      </w:r>
      <w:r>
        <w:rPr>
          <w:rFonts w:hint="eastAsia" w:ascii="仿宋" w:hAnsi="仿宋" w:eastAsia="仿宋" w:cs="仿宋"/>
          <w:color w:val="000000"/>
          <w:kern w:val="2"/>
          <w:sz w:val="24"/>
          <w:szCs w:val="24"/>
          <w:u w:val="none"/>
        </w:rPr>
        <w:t>金额10%费用，扣完为止；</w:t>
      </w:r>
    </w:p>
    <w:p w14:paraId="07B35E0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2"/>
          <w:sz w:val="24"/>
          <w:szCs w:val="24"/>
          <w:lang w:val="en-US" w:eastAsia="zh-CN"/>
        </w:rPr>
        <w:t>5</w:t>
      </w:r>
      <w:r>
        <w:rPr>
          <w:rFonts w:hint="eastAsia" w:ascii="仿宋" w:hAnsi="仿宋" w:eastAsia="仿宋" w:cs="仿宋"/>
          <w:color w:val="000000"/>
          <w:kern w:val="2"/>
          <w:sz w:val="24"/>
          <w:szCs w:val="24"/>
        </w:rPr>
        <w:t>）10分&lt;</w:t>
      </w:r>
      <w:r>
        <w:rPr>
          <w:rStyle w:val="21"/>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，视为</w:t>
      </w:r>
      <w:r>
        <w:rPr>
          <w:rStyle w:val="21"/>
          <w:rFonts w:hint="eastAsia" w:ascii="仿宋" w:hAnsi="仿宋" w:eastAsia="仿宋" w:cs="仿宋"/>
          <w:color w:val="000000"/>
          <w:kern w:val="2"/>
          <w:sz w:val="24"/>
          <w:szCs w:val="24"/>
        </w:rPr>
        <w:t>不合格</w:t>
      </w:r>
      <w:r>
        <w:rPr>
          <w:rFonts w:hint="eastAsia" w:ascii="仿宋" w:hAnsi="仿宋" w:eastAsia="仿宋" w:cs="仿宋"/>
          <w:color w:val="000000"/>
          <w:kern w:val="2"/>
          <w:sz w:val="24"/>
          <w:szCs w:val="24"/>
        </w:rPr>
        <w:t>，终止合同，合同待支付金额</w:t>
      </w:r>
      <w:r>
        <w:rPr>
          <w:rFonts w:hint="eastAsia" w:ascii="仿宋" w:hAnsi="仿宋" w:eastAsia="仿宋" w:cs="仿宋"/>
          <w:color w:val="000000"/>
          <w:kern w:val="2"/>
          <w:sz w:val="24"/>
          <w:szCs w:val="24"/>
          <w:lang w:val="en-US" w:eastAsia="zh-CN"/>
        </w:rPr>
        <w:t>不予支付，</w:t>
      </w:r>
      <w:r>
        <w:rPr>
          <w:rFonts w:hint="eastAsia" w:ascii="仿宋" w:hAnsi="仿宋" w:eastAsia="仿宋" w:cs="仿宋"/>
          <w:color w:val="000000"/>
          <w:kern w:val="2"/>
          <w:sz w:val="24"/>
          <w:szCs w:val="24"/>
        </w:rPr>
        <w:t>履约保证金（如有履约保证金）不予退还；</w:t>
      </w:r>
    </w:p>
    <w:p w14:paraId="5C45A92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2"/>
          <w:sz w:val="24"/>
          <w:szCs w:val="24"/>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585D51E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rPr>
        <w:t>4.如合同待支付金额或履约保证金中无款可扣且考核后出现扣款情况，</w:t>
      </w:r>
      <w:r>
        <w:rPr>
          <w:rFonts w:hint="eastAsia" w:ascii="仿宋" w:hAnsi="仿宋" w:eastAsia="仿宋" w:cs="仿宋"/>
          <w:kern w:val="2"/>
          <w:sz w:val="24"/>
          <w:szCs w:val="24"/>
          <w:lang w:val="en-US" w:eastAsia="zh-CN"/>
        </w:rPr>
        <w:t>供应商</w:t>
      </w:r>
      <w:r>
        <w:rPr>
          <w:rFonts w:hint="eastAsia" w:ascii="仿宋" w:hAnsi="仿宋" w:eastAsia="仿宋" w:cs="仿宋"/>
          <w:kern w:val="2"/>
          <w:sz w:val="24"/>
          <w:szCs w:val="24"/>
        </w:rPr>
        <w:t>承诺在得到</w:t>
      </w:r>
      <w:r>
        <w:rPr>
          <w:rFonts w:hint="eastAsia" w:ascii="仿宋" w:hAnsi="仿宋" w:eastAsia="仿宋" w:cs="仿宋"/>
          <w:kern w:val="2"/>
          <w:sz w:val="24"/>
          <w:szCs w:val="24"/>
          <w:lang w:val="en-US" w:eastAsia="zh-CN"/>
        </w:rPr>
        <w:t>采购人</w:t>
      </w:r>
      <w:r>
        <w:rPr>
          <w:rFonts w:hint="eastAsia" w:ascii="仿宋" w:hAnsi="仿宋" w:eastAsia="仿宋" w:cs="仿宋"/>
          <w:kern w:val="2"/>
          <w:sz w:val="24"/>
          <w:szCs w:val="24"/>
        </w:rPr>
        <w:t>考核结果后的10日内向</w:t>
      </w:r>
      <w:r>
        <w:rPr>
          <w:rFonts w:hint="eastAsia" w:ascii="仿宋" w:hAnsi="仿宋" w:eastAsia="仿宋" w:cs="仿宋"/>
          <w:kern w:val="2"/>
          <w:sz w:val="24"/>
          <w:szCs w:val="24"/>
          <w:lang w:val="en-US" w:eastAsia="zh-CN"/>
        </w:rPr>
        <w:t>采购人</w:t>
      </w:r>
      <w:r>
        <w:rPr>
          <w:rFonts w:hint="eastAsia" w:ascii="仿宋" w:hAnsi="仿宋" w:eastAsia="仿宋" w:cs="仿宋"/>
          <w:kern w:val="2"/>
          <w:sz w:val="24"/>
          <w:szCs w:val="24"/>
        </w:rPr>
        <w:t>缴纳对应的扣款金额</w:t>
      </w:r>
      <w:r>
        <w:rPr>
          <w:rFonts w:hint="eastAsia" w:ascii="仿宋" w:hAnsi="仿宋" w:eastAsia="仿宋" w:cs="仿宋"/>
          <w:b/>
          <w:bCs/>
          <w:kern w:val="2"/>
          <w:sz w:val="24"/>
          <w:szCs w:val="24"/>
          <w:lang w:eastAsia="zh-CN"/>
        </w:rPr>
        <w:t>（</w:t>
      </w:r>
      <w:r>
        <w:rPr>
          <w:rFonts w:hint="eastAsia" w:ascii="仿宋" w:hAnsi="仿宋" w:eastAsia="仿宋" w:cs="仿宋"/>
          <w:b/>
          <w:bCs/>
          <w:kern w:val="2"/>
          <w:sz w:val="24"/>
          <w:szCs w:val="24"/>
          <w:lang w:val="en-US" w:eastAsia="zh-CN"/>
        </w:rPr>
        <w:t>需提供承诺函</w:t>
      </w:r>
      <w:r>
        <w:rPr>
          <w:rFonts w:hint="eastAsia" w:ascii="仿宋" w:hAnsi="仿宋" w:eastAsia="仿宋" w:cs="仿宋"/>
          <w:b/>
          <w:bCs/>
          <w:kern w:val="2"/>
          <w:sz w:val="24"/>
          <w:szCs w:val="24"/>
          <w:lang w:eastAsia="zh-CN"/>
        </w:rPr>
        <w:t>）</w:t>
      </w:r>
      <w:r>
        <w:rPr>
          <w:rFonts w:hint="eastAsia" w:ascii="仿宋" w:hAnsi="仿宋" w:eastAsia="仿宋" w:cs="仿宋"/>
          <w:kern w:val="2"/>
          <w:sz w:val="24"/>
          <w:szCs w:val="24"/>
        </w:rPr>
        <w:t>。</w:t>
      </w:r>
    </w:p>
    <w:p w14:paraId="427DCB9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rPr>
        <w:t>5.</w:t>
      </w:r>
      <w:r>
        <w:rPr>
          <w:rFonts w:hint="eastAsia" w:ascii="仿宋" w:hAnsi="仿宋" w:eastAsia="仿宋" w:cs="仿宋"/>
          <w:color w:val="000000"/>
          <w:kern w:val="2"/>
          <w:sz w:val="24"/>
          <w:szCs w:val="24"/>
        </w:rPr>
        <w:t>本考核指标最终解释权归四川省医学科学院·四川省人民医院。</w:t>
      </w:r>
    </w:p>
    <w:p w14:paraId="279DCE1C">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596CD5C0">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198011EF">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A6A2942">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lang w:eastAsia="zh-CN"/>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r>
        <w:rPr>
          <w:rFonts w:hint="eastAsia" w:ascii="仿宋" w:hAnsi="仿宋" w:eastAsia="仿宋" w:cs="仿宋"/>
          <w:sz w:val="24"/>
          <w:szCs w:val="24"/>
          <w:lang w:eastAsia="zh-CN"/>
        </w:rPr>
        <w:t>，“▲”为代表重点参数。</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22588"/>
      <w:bookmarkStart w:id="18" w:name="_Toc28789"/>
      <w:bookmarkStart w:id="19"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590"/>
        <w:gridCol w:w="690"/>
        <w:gridCol w:w="6211"/>
        <w:gridCol w:w="691"/>
      </w:tblGrid>
      <w:tr w14:paraId="728B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2" w:type="dxa"/>
            <w:tcBorders>
              <w:top w:val="single" w:color="auto" w:sz="4" w:space="0"/>
              <w:left w:val="single" w:color="auto" w:sz="4" w:space="0"/>
              <w:bottom w:val="single" w:color="auto" w:sz="4" w:space="0"/>
              <w:right w:val="single" w:color="auto" w:sz="4" w:space="0"/>
            </w:tcBorders>
            <w:vAlign w:val="center"/>
          </w:tcPr>
          <w:p w14:paraId="1520C9AC">
            <w:pPr>
              <w:keepNext w:val="0"/>
              <w:keepLines w:val="0"/>
              <w:pageBreakBefore w:val="0"/>
              <w:widowControl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590" w:type="dxa"/>
            <w:tcBorders>
              <w:top w:val="single" w:color="auto" w:sz="4" w:space="0"/>
              <w:left w:val="single" w:color="auto" w:sz="4" w:space="0"/>
              <w:bottom w:val="single" w:color="auto" w:sz="4" w:space="0"/>
              <w:right w:val="single" w:color="auto" w:sz="4" w:space="0"/>
            </w:tcBorders>
            <w:vAlign w:val="center"/>
          </w:tcPr>
          <w:p w14:paraId="25E58807">
            <w:pPr>
              <w:keepNext w:val="0"/>
              <w:keepLines w:val="0"/>
              <w:pageBreakBefore w:val="0"/>
              <w:widowControl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评审因素</w:t>
            </w:r>
          </w:p>
        </w:tc>
        <w:tc>
          <w:tcPr>
            <w:tcW w:w="690" w:type="dxa"/>
            <w:tcBorders>
              <w:top w:val="single" w:color="auto" w:sz="4" w:space="0"/>
              <w:left w:val="single" w:color="auto" w:sz="4" w:space="0"/>
              <w:bottom w:val="single" w:color="auto" w:sz="4" w:space="0"/>
              <w:right w:val="single" w:color="auto" w:sz="4" w:space="0"/>
            </w:tcBorders>
            <w:vAlign w:val="center"/>
          </w:tcPr>
          <w:p w14:paraId="71A04563">
            <w:pPr>
              <w:keepNext w:val="0"/>
              <w:keepLines w:val="0"/>
              <w:pageBreakBefore w:val="0"/>
              <w:widowControl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分值</w:t>
            </w:r>
          </w:p>
        </w:tc>
        <w:tc>
          <w:tcPr>
            <w:tcW w:w="6211" w:type="dxa"/>
            <w:tcBorders>
              <w:top w:val="single" w:color="auto" w:sz="4" w:space="0"/>
              <w:left w:val="single" w:color="auto" w:sz="4" w:space="0"/>
              <w:bottom w:val="single" w:color="auto" w:sz="4" w:space="0"/>
              <w:right w:val="single" w:color="auto" w:sz="4" w:space="0"/>
            </w:tcBorders>
            <w:vAlign w:val="center"/>
          </w:tcPr>
          <w:p w14:paraId="2C92E6CB">
            <w:pPr>
              <w:keepNext w:val="0"/>
              <w:keepLines w:val="0"/>
              <w:pageBreakBefore w:val="0"/>
              <w:widowControl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评分标准</w:t>
            </w:r>
          </w:p>
        </w:tc>
        <w:tc>
          <w:tcPr>
            <w:tcW w:w="691" w:type="dxa"/>
            <w:tcBorders>
              <w:top w:val="single" w:color="auto" w:sz="4" w:space="0"/>
              <w:left w:val="single" w:color="auto" w:sz="4" w:space="0"/>
              <w:bottom w:val="single" w:color="auto" w:sz="4" w:space="0"/>
              <w:right w:val="single" w:color="auto" w:sz="4" w:space="0"/>
            </w:tcBorders>
            <w:vAlign w:val="center"/>
          </w:tcPr>
          <w:p w14:paraId="1AACCEF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说明</w:t>
            </w:r>
          </w:p>
        </w:tc>
      </w:tr>
      <w:tr w14:paraId="0E43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72" w:type="dxa"/>
            <w:tcBorders>
              <w:top w:val="single" w:color="auto" w:sz="4" w:space="0"/>
              <w:left w:val="single" w:color="auto" w:sz="4" w:space="0"/>
              <w:bottom w:val="single" w:color="auto" w:sz="4" w:space="0"/>
              <w:right w:val="single" w:color="auto" w:sz="4" w:space="0"/>
            </w:tcBorders>
            <w:vAlign w:val="center"/>
          </w:tcPr>
          <w:p w14:paraId="7598C66C">
            <w:pPr>
              <w:keepNext w:val="0"/>
              <w:keepLines w:val="0"/>
              <w:pageBreakBefore w:val="0"/>
              <w:widowControl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590" w:type="dxa"/>
            <w:tcBorders>
              <w:top w:val="single" w:color="auto" w:sz="4" w:space="0"/>
              <w:left w:val="single" w:color="auto" w:sz="4" w:space="0"/>
              <w:bottom w:val="single" w:color="auto" w:sz="4" w:space="0"/>
              <w:right w:val="single" w:color="auto" w:sz="4" w:space="0"/>
            </w:tcBorders>
            <w:vAlign w:val="center"/>
          </w:tcPr>
          <w:p w14:paraId="0101210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报价30%</w:t>
            </w:r>
          </w:p>
        </w:tc>
        <w:tc>
          <w:tcPr>
            <w:tcW w:w="690" w:type="dxa"/>
            <w:tcBorders>
              <w:top w:val="single" w:color="auto" w:sz="4" w:space="0"/>
              <w:left w:val="single" w:color="auto" w:sz="4" w:space="0"/>
              <w:bottom w:val="single" w:color="auto" w:sz="4" w:space="0"/>
              <w:right w:val="single" w:color="auto" w:sz="4" w:space="0"/>
            </w:tcBorders>
            <w:vAlign w:val="center"/>
          </w:tcPr>
          <w:p w14:paraId="235D1D3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30分</w:t>
            </w:r>
          </w:p>
        </w:tc>
        <w:tc>
          <w:tcPr>
            <w:tcW w:w="6211" w:type="dxa"/>
            <w:tcBorders>
              <w:top w:val="single" w:color="auto" w:sz="4" w:space="0"/>
              <w:left w:val="single" w:color="auto" w:sz="4" w:space="0"/>
              <w:bottom w:val="single" w:color="auto" w:sz="4" w:space="0"/>
              <w:right w:val="single" w:color="auto" w:sz="4" w:space="0"/>
            </w:tcBorders>
            <w:vAlign w:val="center"/>
          </w:tcPr>
          <w:p w14:paraId="4637146F">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以本次最低有效</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报价为基准价，其价格分为满分，</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报价得分=(基准价／</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报价) *30</w:t>
            </w:r>
          </w:p>
        </w:tc>
        <w:tc>
          <w:tcPr>
            <w:tcW w:w="691" w:type="dxa"/>
            <w:tcBorders>
              <w:top w:val="single" w:color="auto" w:sz="4" w:space="0"/>
              <w:left w:val="single" w:color="auto" w:sz="4" w:space="0"/>
              <w:bottom w:val="single" w:color="auto" w:sz="4" w:space="0"/>
              <w:right w:val="single" w:color="auto" w:sz="4" w:space="0"/>
            </w:tcBorders>
            <w:vAlign w:val="center"/>
          </w:tcPr>
          <w:p w14:paraId="4A17CDE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highlight w:val="none"/>
              </w:rPr>
            </w:pPr>
          </w:p>
        </w:tc>
      </w:tr>
      <w:tr w14:paraId="5C76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72" w:type="dxa"/>
            <w:tcBorders>
              <w:top w:val="single" w:color="auto" w:sz="4" w:space="0"/>
              <w:left w:val="single" w:color="auto" w:sz="4" w:space="0"/>
              <w:right w:val="single" w:color="auto" w:sz="4" w:space="0"/>
            </w:tcBorders>
            <w:vAlign w:val="center"/>
          </w:tcPr>
          <w:p w14:paraId="4829C6B9">
            <w:pPr>
              <w:keepNext w:val="0"/>
              <w:keepLines w:val="0"/>
              <w:pageBreakBefore w:val="0"/>
              <w:widowControl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590" w:type="dxa"/>
            <w:tcBorders>
              <w:top w:val="single" w:color="auto" w:sz="4" w:space="0"/>
              <w:left w:val="single" w:color="auto" w:sz="4" w:space="0"/>
              <w:right w:val="single" w:color="auto" w:sz="4" w:space="0"/>
            </w:tcBorders>
            <w:vAlign w:val="center"/>
          </w:tcPr>
          <w:p w14:paraId="05B97E9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服务</w:t>
            </w:r>
            <w:r>
              <w:rPr>
                <w:rFonts w:hint="eastAsia" w:ascii="仿宋" w:hAnsi="仿宋" w:eastAsia="仿宋" w:cs="仿宋"/>
                <w:sz w:val="24"/>
                <w:szCs w:val="24"/>
                <w:highlight w:val="none"/>
                <w:lang w:val="en-US" w:eastAsia="zh-CN"/>
              </w:rPr>
              <w:t>内容50</w:t>
            </w:r>
            <w:r>
              <w:rPr>
                <w:rFonts w:hint="eastAsia" w:ascii="仿宋" w:hAnsi="仿宋" w:eastAsia="仿宋" w:cs="仿宋"/>
                <w:sz w:val="24"/>
                <w:szCs w:val="24"/>
                <w:highlight w:val="none"/>
              </w:rPr>
              <w:t>%</w:t>
            </w:r>
          </w:p>
        </w:tc>
        <w:tc>
          <w:tcPr>
            <w:tcW w:w="690" w:type="dxa"/>
            <w:tcBorders>
              <w:top w:val="single" w:color="auto" w:sz="4" w:space="0"/>
              <w:left w:val="single" w:color="auto" w:sz="4" w:space="0"/>
              <w:bottom w:val="single" w:color="auto" w:sz="4" w:space="0"/>
              <w:right w:val="single" w:color="auto" w:sz="4" w:space="0"/>
            </w:tcBorders>
            <w:vAlign w:val="center"/>
          </w:tcPr>
          <w:p w14:paraId="38399F4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highlight w:val="none"/>
                <w:lang w:val="en-US"/>
              </w:rPr>
            </w:pPr>
            <w:r>
              <w:rPr>
                <w:rFonts w:hint="eastAsia" w:ascii="仿宋" w:hAnsi="仿宋" w:eastAsia="仿宋" w:cs="仿宋"/>
                <w:sz w:val="24"/>
                <w:szCs w:val="24"/>
                <w:highlight w:val="none"/>
                <w:lang w:val="en-US" w:eastAsia="zh-CN"/>
              </w:rPr>
              <w:t>50分</w:t>
            </w:r>
          </w:p>
        </w:tc>
        <w:tc>
          <w:tcPr>
            <w:tcW w:w="6211" w:type="dxa"/>
            <w:tcBorders>
              <w:top w:val="single" w:color="auto" w:sz="4" w:space="0"/>
              <w:left w:val="single" w:color="auto" w:sz="4" w:space="0"/>
              <w:bottom w:val="single" w:color="auto" w:sz="4" w:space="0"/>
              <w:right w:val="single" w:color="auto" w:sz="4" w:space="0"/>
            </w:tcBorders>
            <w:vAlign w:val="center"/>
          </w:tcPr>
          <w:p w14:paraId="0B6F371C">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供应商响应文件完全符合谈判文件第四章 采购需求 三、服务内容及要求：1.服务内容的得50分。</w:t>
            </w:r>
          </w:p>
          <w:p w14:paraId="2B6FB4D6">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带“★”的为实质性要求，不允许有负偏离，不作为评审要求；带“▲”的为重要技术参数条款，作为重要评分因素，非“★”“▲”的为一般技术参数条款，作为一般评分因素。</w:t>
            </w:r>
          </w:p>
          <w:p w14:paraId="7788F60C">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技术参数条款的响应得分规则如下：</w:t>
            </w:r>
          </w:p>
          <w:p w14:paraId="68CDBE68">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（1）重要技术参数条款响应得分=（供应商满足重要技术参数条款的数量÷ 重要技术参数条款的总数量）×50分</w:t>
            </w:r>
          </w:p>
          <w:p w14:paraId="2B9962CC">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注：①得分保留小数点后两位小数，四舍五入。</w:t>
            </w:r>
          </w:p>
          <w:p w14:paraId="5F1D8712">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②以项数以不能再拆分的最小项为一项。</w:t>
            </w:r>
          </w:p>
          <w:p w14:paraId="71CB5C33">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③若采购文件技术参数中明确需提供相应的证明材料进行佐证的，供应商应按要求提供；否则视为负偏离。</w:t>
            </w:r>
          </w:p>
        </w:tc>
        <w:tc>
          <w:tcPr>
            <w:tcW w:w="691" w:type="dxa"/>
            <w:tcBorders>
              <w:top w:val="single" w:color="auto" w:sz="4" w:space="0"/>
              <w:left w:val="single" w:color="auto" w:sz="4" w:space="0"/>
              <w:bottom w:val="single" w:color="auto" w:sz="4" w:space="0"/>
              <w:right w:val="single" w:color="auto" w:sz="4" w:space="0"/>
            </w:tcBorders>
            <w:vAlign w:val="center"/>
          </w:tcPr>
          <w:p w14:paraId="5FABCA2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highlight w:val="none"/>
              </w:rPr>
            </w:pPr>
          </w:p>
        </w:tc>
      </w:tr>
      <w:tr w14:paraId="0C0FC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72" w:type="dxa"/>
            <w:tcBorders>
              <w:left w:val="single" w:color="auto" w:sz="4" w:space="0"/>
              <w:bottom w:val="single" w:color="auto" w:sz="4" w:space="0"/>
              <w:right w:val="single" w:color="auto" w:sz="4" w:space="0"/>
            </w:tcBorders>
            <w:vAlign w:val="center"/>
          </w:tcPr>
          <w:p w14:paraId="0995E29E">
            <w:pPr>
              <w:keepNext w:val="0"/>
              <w:keepLines w:val="0"/>
              <w:pageBreakBefore w:val="0"/>
              <w:widowControl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1590" w:type="dxa"/>
            <w:tcBorders>
              <w:left w:val="single" w:color="auto" w:sz="4" w:space="0"/>
              <w:bottom w:val="single" w:color="auto" w:sz="4" w:space="0"/>
              <w:right w:val="single" w:color="auto" w:sz="4" w:space="0"/>
            </w:tcBorders>
            <w:vAlign w:val="center"/>
          </w:tcPr>
          <w:p w14:paraId="56238DC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综合实力</w:t>
            </w:r>
            <w:r>
              <w:rPr>
                <w:rFonts w:hint="eastAsia" w:ascii="仿宋" w:hAnsi="仿宋" w:eastAsia="仿宋" w:cs="仿宋"/>
                <w:sz w:val="24"/>
                <w:szCs w:val="24"/>
                <w:highlight w:val="none"/>
                <w:lang w:val="en-US" w:eastAsia="zh-CN"/>
              </w:rPr>
              <w:t>6%</w:t>
            </w:r>
          </w:p>
        </w:tc>
        <w:tc>
          <w:tcPr>
            <w:tcW w:w="690" w:type="dxa"/>
            <w:tcBorders>
              <w:top w:val="single" w:color="auto" w:sz="4" w:space="0"/>
              <w:left w:val="single" w:color="auto" w:sz="4" w:space="0"/>
              <w:bottom w:val="single" w:color="auto" w:sz="4" w:space="0"/>
              <w:right w:val="single" w:color="auto" w:sz="4" w:space="0"/>
            </w:tcBorders>
            <w:vAlign w:val="center"/>
          </w:tcPr>
          <w:p w14:paraId="2D02147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highlight w:val="none"/>
                <w:lang w:val="en-US"/>
              </w:rPr>
            </w:pPr>
            <w:r>
              <w:rPr>
                <w:rFonts w:hint="eastAsia" w:ascii="仿宋" w:hAnsi="仿宋" w:eastAsia="仿宋" w:cs="仿宋"/>
                <w:sz w:val="24"/>
                <w:szCs w:val="24"/>
                <w:highlight w:val="none"/>
                <w:lang w:val="en-US" w:eastAsia="zh-CN"/>
              </w:rPr>
              <w:t>6分</w:t>
            </w:r>
          </w:p>
        </w:tc>
        <w:tc>
          <w:tcPr>
            <w:tcW w:w="6211" w:type="dxa"/>
            <w:tcBorders>
              <w:top w:val="single" w:color="auto" w:sz="4" w:space="0"/>
              <w:left w:val="single" w:color="auto" w:sz="4" w:space="0"/>
              <w:bottom w:val="single" w:color="auto" w:sz="4" w:space="0"/>
              <w:right w:val="single" w:color="auto" w:sz="4" w:space="0"/>
            </w:tcBorders>
            <w:vAlign w:val="center"/>
          </w:tcPr>
          <w:p w14:paraId="03CE29B6">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供应商具有质量管理体系认证证书、信息安全管理体系认证证书、IT服务管理体系证书，</w:t>
            </w:r>
            <w:r>
              <w:rPr>
                <w:rFonts w:hint="eastAsia" w:ascii="仿宋" w:hAnsi="仿宋" w:eastAsia="仿宋" w:cs="仿宋"/>
                <w:sz w:val="24"/>
                <w:szCs w:val="24"/>
                <w:highlight w:val="none"/>
              </w:rPr>
              <w:t>每提供一个证书得</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分，全部满足得</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43D7A332">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w:t>
            </w:r>
            <w:r>
              <w:rPr>
                <w:rFonts w:hint="eastAsia" w:ascii="仿宋" w:hAnsi="仿宋" w:eastAsia="仿宋" w:cs="仿宋"/>
                <w:sz w:val="24"/>
                <w:szCs w:val="24"/>
                <w:highlight w:val="none"/>
                <w:lang w:val="en-US" w:eastAsia="zh-CN"/>
              </w:rPr>
              <w:t>以上需</w:t>
            </w:r>
            <w:r>
              <w:rPr>
                <w:rFonts w:hint="eastAsia" w:ascii="仿宋" w:hAnsi="仿宋" w:eastAsia="仿宋" w:cs="仿宋"/>
                <w:sz w:val="24"/>
                <w:szCs w:val="24"/>
                <w:highlight w:val="none"/>
              </w:rPr>
              <w:t>提供</w:t>
            </w:r>
            <w:r>
              <w:rPr>
                <w:rFonts w:hint="eastAsia" w:ascii="仿宋" w:hAnsi="仿宋" w:eastAsia="仿宋" w:cs="仿宋"/>
                <w:sz w:val="24"/>
                <w:szCs w:val="24"/>
                <w:highlight w:val="none"/>
                <w:lang w:val="en-US" w:eastAsia="zh-CN"/>
              </w:rPr>
              <w:t>有效期内</w:t>
            </w:r>
            <w:r>
              <w:rPr>
                <w:rFonts w:hint="eastAsia" w:ascii="仿宋" w:hAnsi="仿宋" w:eastAsia="仿宋" w:cs="仿宋"/>
                <w:sz w:val="24"/>
                <w:szCs w:val="24"/>
                <w:highlight w:val="none"/>
              </w:rPr>
              <w:t>证书复印件</w:t>
            </w:r>
            <w:r>
              <w:rPr>
                <w:rFonts w:hint="eastAsia" w:ascii="仿宋" w:hAnsi="仿宋" w:eastAsia="仿宋" w:cs="仿宋"/>
                <w:sz w:val="24"/>
                <w:szCs w:val="24"/>
                <w:highlight w:val="none"/>
                <w:lang w:val="en-US" w:eastAsia="zh-CN"/>
              </w:rPr>
              <w:t>并</w:t>
            </w:r>
            <w:r>
              <w:rPr>
                <w:rFonts w:hint="eastAsia" w:ascii="仿宋" w:hAnsi="仿宋" w:eastAsia="仿宋" w:cs="仿宋"/>
                <w:sz w:val="24"/>
                <w:szCs w:val="24"/>
                <w:highlight w:val="none"/>
              </w:rPr>
              <w:t>加盖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公章</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未提供不得分（证书原件备查）。</w:t>
            </w:r>
          </w:p>
        </w:tc>
        <w:tc>
          <w:tcPr>
            <w:tcW w:w="691" w:type="dxa"/>
            <w:tcBorders>
              <w:top w:val="single" w:color="auto" w:sz="4" w:space="0"/>
              <w:left w:val="single" w:color="auto" w:sz="4" w:space="0"/>
              <w:bottom w:val="single" w:color="auto" w:sz="4" w:space="0"/>
              <w:right w:val="single" w:color="auto" w:sz="4" w:space="0"/>
            </w:tcBorders>
            <w:vAlign w:val="center"/>
          </w:tcPr>
          <w:p w14:paraId="429C951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highlight w:val="none"/>
              </w:rPr>
            </w:pPr>
          </w:p>
        </w:tc>
      </w:tr>
      <w:tr w14:paraId="0A5E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72" w:type="dxa"/>
            <w:tcBorders>
              <w:top w:val="single" w:color="auto" w:sz="4" w:space="0"/>
              <w:left w:val="single" w:color="auto" w:sz="4" w:space="0"/>
              <w:bottom w:val="single" w:color="auto" w:sz="4" w:space="0"/>
              <w:right w:val="single" w:color="auto" w:sz="4" w:space="0"/>
            </w:tcBorders>
            <w:vAlign w:val="center"/>
          </w:tcPr>
          <w:p w14:paraId="535B12CD">
            <w:pPr>
              <w:keepNext w:val="0"/>
              <w:keepLines w:val="0"/>
              <w:pageBreakBefore w:val="0"/>
              <w:widowControl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1590" w:type="dxa"/>
            <w:tcBorders>
              <w:top w:val="single" w:color="auto" w:sz="4" w:space="0"/>
              <w:left w:val="single" w:color="auto" w:sz="4" w:space="0"/>
              <w:bottom w:val="single" w:color="auto" w:sz="4" w:space="0"/>
              <w:right w:val="single" w:color="auto" w:sz="4" w:space="0"/>
            </w:tcBorders>
            <w:vAlign w:val="center"/>
          </w:tcPr>
          <w:p w14:paraId="67ED2F0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业绩</w:t>
            </w:r>
            <w:r>
              <w:rPr>
                <w:rFonts w:hint="eastAsia" w:ascii="仿宋" w:hAnsi="仿宋" w:eastAsia="仿宋" w:cs="仿宋"/>
                <w:sz w:val="24"/>
                <w:szCs w:val="24"/>
                <w:highlight w:val="none"/>
                <w:lang w:val="en-US" w:eastAsia="zh-CN"/>
              </w:rPr>
              <w:t>14%</w:t>
            </w:r>
          </w:p>
        </w:tc>
        <w:tc>
          <w:tcPr>
            <w:tcW w:w="690" w:type="dxa"/>
            <w:tcBorders>
              <w:top w:val="single" w:color="auto" w:sz="4" w:space="0"/>
              <w:left w:val="single" w:color="auto" w:sz="4" w:space="0"/>
              <w:bottom w:val="single" w:color="auto" w:sz="4" w:space="0"/>
              <w:right w:val="single" w:color="auto" w:sz="4" w:space="0"/>
            </w:tcBorders>
            <w:vAlign w:val="center"/>
          </w:tcPr>
          <w:p w14:paraId="11329A6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highlight w:val="none"/>
                <w:lang w:val="en-US"/>
              </w:rPr>
            </w:pPr>
            <w:r>
              <w:rPr>
                <w:rFonts w:hint="eastAsia" w:ascii="仿宋" w:hAnsi="仿宋" w:eastAsia="仿宋" w:cs="仿宋"/>
                <w:sz w:val="24"/>
                <w:szCs w:val="24"/>
                <w:highlight w:val="none"/>
                <w:lang w:val="en-US" w:eastAsia="zh-CN"/>
              </w:rPr>
              <w:t>14分</w:t>
            </w:r>
          </w:p>
        </w:tc>
        <w:tc>
          <w:tcPr>
            <w:tcW w:w="6211" w:type="dxa"/>
            <w:tcBorders>
              <w:top w:val="single" w:color="auto" w:sz="4" w:space="0"/>
              <w:left w:val="single" w:color="auto" w:sz="4" w:space="0"/>
              <w:bottom w:val="single" w:color="auto" w:sz="4" w:space="0"/>
              <w:right w:val="single" w:color="auto" w:sz="4" w:space="0"/>
            </w:tcBorders>
            <w:vAlign w:val="center"/>
          </w:tcPr>
          <w:p w14:paraId="4F66B8EA">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供应商提供</w:t>
            </w:r>
            <w:r>
              <w:rPr>
                <w:rFonts w:hint="eastAsia" w:ascii="仿宋" w:hAnsi="仿宋" w:eastAsia="仿宋" w:cs="仿宋"/>
                <w:sz w:val="24"/>
                <w:szCs w:val="24"/>
                <w:highlight w:val="none"/>
                <w:lang w:val="en-US" w:eastAsia="zh-CN"/>
              </w:rPr>
              <w:t>2023年1月1日（含）以来</w:t>
            </w:r>
            <w:r>
              <w:rPr>
                <w:rFonts w:hint="eastAsia" w:ascii="仿宋" w:hAnsi="仿宋" w:eastAsia="仿宋" w:cs="仿宋"/>
                <w:sz w:val="24"/>
                <w:szCs w:val="24"/>
                <w:highlight w:val="none"/>
              </w:rPr>
              <w:t>类似</w:t>
            </w:r>
            <w:r>
              <w:rPr>
                <w:rFonts w:hint="eastAsia" w:ascii="仿宋" w:hAnsi="仿宋" w:eastAsia="仿宋" w:cs="仿宋"/>
                <w:sz w:val="24"/>
                <w:szCs w:val="24"/>
                <w:highlight w:val="none"/>
                <w:lang w:val="en-US" w:eastAsia="zh-CN"/>
              </w:rPr>
              <w:t>存储</w:t>
            </w:r>
            <w:r>
              <w:rPr>
                <w:rFonts w:hint="eastAsia" w:ascii="仿宋" w:hAnsi="仿宋" w:eastAsia="仿宋" w:cs="仿宋"/>
                <w:sz w:val="24"/>
                <w:szCs w:val="24"/>
                <w:highlight w:val="none"/>
              </w:rPr>
              <w:t>运维服务项目的业绩证明，</w:t>
            </w:r>
            <w:r>
              <w:rPr>
                <w:rFonts w:hint="eastAsia" w:ascii="仿宋" w:hAnsi="仿宋" w:eastAsia="仿宋" w:cs="仿宋"/>
                <w:sz w:val="24"/>
                <w:szCs w:val="24"/>
                <w:highlight w:val="none"/>
                <w:lang w:val="en-US" w:eastAsia="zh-CN"/>
              </w:rPr>
              <w:t>每</w:t>
            </w:r>
            <w:r>
              <w:rPr>
                <w:rFonts w:hint="eastAsia" w:ascii="仿宋" w:hAnsi="仿宋" w:eastAsia="仿宋" w:cs="仿宋"/>
                <w:sz w:val="24"/>
                <w:szCs w:val="24"/>
                <w:highlight w:val="none"/>
              </w:rPr>
              <w:t>提供1个</w:t>
            </w:r>
            <w:r>
              <w:rPr>
                <w:rFonts w:hint="eastAsia" w:ascii="仿宋" w:hAnsi="仿宋" w:eastAsia="仿宋" w:cs="仿宋"/>
                <w:sz w:val="24"/>
                <w:szCs w:val="24"/>
                <w:highlight w:val="none"/>
                <w:lang w:val="en-US" w:eastAsia="zh-CN"/>
              </w:rPr>
              <w:t>类似业绩</w:t>
            </w:r>
            <w:r>
              <w:rPr>
                <w:rFonts w:hint="eastAsia" w:ascii="仿宋" w:hAnsi="仿宋" w:eastAsia="仿宋" w:cs="仿宋"/>
                <w:sz w:val="24"/>
                <w:szCs w:val="24"/>
                <w:highlight w:val="none"/>
              </w:rPr>
              <w:t>得</w:t>
            </w:r>
            <w:r>
              <w:rPr>
                <w:rFonts w:hint="eastAsia" w:ascii="仿宋" w:hAnsi="仿宋" w:eastAsia="仿宋" w:cs="仿宋"/>
                <w:sz w:val="24"/>
                <w:szCs w:val="24"/>
                <w:highlight w:val="none"/>
                <w:lang w:val="en-US" w:eastAsia="zh-CN"/>
              </w:rPr>
              <w:t>2.8</w:t>
            </w:r>
            <w:r>
              <w:rPr>
                <w:rFonts w:hint="eastAsia" w:ascii="仿宋" w:hAnsi="仿宋" w:eastAsia="仿宋" w:cs="仿宋"/>
                <w:sz w:val="24"/>
                <w:szCs w:val="24"/>
                <w:highlight w:val="none"/>
              </w:rPr>
              <w:t>分，最高得</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5D5A405A">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注：(1)以合同签订时间为准;(2)提供采购合同关键页(合同首页、建设内容、金额、签字盖章页)材料复印件，并加盖供应商公章，缺项或不提供的不得分。</w:t>
            </w:r>
          </w:p>
        </w:tc>
        <w:tc>
          <w:tcPr>
            <w:tcW w:w="691" w:type="dxa"/>
            <w:tcBorders>
              <w:top w:val="single" w:color="auto" w:sz="4" w:space="0"/>
              <w:left w:val="single" w:color="auto" w:sz="4" w:space="0"/>
              <w:bottom w:val="single" w:color="auto" w:sz="4" w:space="0"/>
              <w:right w:val="single" w:color="auto" w:sz="4" w:space="0"/>
            </w:tcBorders>
            <w:vAlign w:val="center"/>
          </w:tcPr>
          <w:p w14:paraId="6A639BD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highlight w:val="none"/>
              </w:rPr>
            </w:pPr>
          </w:p>
        </w:tc>
      </w:tr>
    </w:tbl>
    <w:p w14:paraId="2B88DD90">
      <w:pPr>
        <w:spacing w:before="157" w:beforeLines="5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说明：1.评分的取值按四舍五入法，保留小数点后两位；</w:t>
      </w:r>
    </w:p>
    <w:p w14:paraId="48BFA293">
      <w:pPr>
        <w:spacing w:before="157" w:beforeLines="50" w:line="360" w:lineRule="auto"/>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2.评分标准中要求提供的证明材料须清晰可辨。</w:t>
      </w:r>
    </w:p>
    <w:p w14:paraId="3CCADD40">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22827"/>
      <w:bookmarkStart w:id="21" w:name="_Toc28171"/>
      <w:bookmarkStart w:id="22" w:name="_Toc3094"/>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5913"/>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1544"/>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24859"/>
      <w:bookmarkStart w:id="36" w:name="_Toc32749"/>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3558"/>
      <w:bookmarkStart w:id="40" w:name="_Toc24123"/>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5996"/>
      <w:bookmarkStart w:id="44" w:name="_Toc2989"/>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2031"/>
      <w:bookmarkStart w:id="48" w:name="_Toc19987"/>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3023"/>
      <w:bookmarkStart w:id="52" w:name="_Toc14829"/>
      <w:bookmarkStart w:id="53" w:name="_Toc11352"/>
      <w:bookmarkStart w:id="54" w:name="_Toc21519"/>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numPr>
          <w:ilvl w:val="0"/>
          <w:numId w:val="0"/>
        </w:numPr>
        <w:ind w:left="0" w:leftChars="0" w:firstLine="0" w:firstLineChars="0"/>
      </w:pPr>
      <w:r>
        <w:rPr>
          <w:rFonts w:hint="eastAsia" w:cs="Times New Roman"/>
          <w:b/>
          <w:kern w:val="2"/>
          <w:sz w:val="32"/>
          <w:szCs w:val="22"/>
          <w:lang w:val="en-US" w:eastAsia="zh-CN" w:bidi="ar-SA"/>
        </w:rPr>
        <w:t>一</w:t>
      </w:r>
      <w:r>
        <w:rPr>
          <w:rFonts w:hint="eastAsia" w:ascii="Times New Roman" w:hAnsi="Times New Roman" w:eastAsia="仿宋" w:cs="Times New Roman"/>
          <w:b/>
          <w:kern w:val="2"/>
          <w:sz w:val="32"/>
          <w:szCs w:val="22"/>
          <w:lang w:val="zh-CN" w:eastAsia="zh-CN" w:bidi="ar-SA"/>
        </w:rPr>
        <w:t>、</w:t>
      </w: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30971"/>
      <w:bookmarkStart w:id="58" w:name="_Toc4305"/>
      <w:bookmarkStart w:id="59" w:name="_Toc22676"/>
      <w:bookmarkStart w:id="60" w:name="_Toc17857"/>
      <w:r>
        <w:rPr>
          <w:rFonts w:ascii="Times New Roman" w:hAnsi="Times New Roman" w:cs="Times New Roman"/>
        </w:rPr>
        <w:br w:type="page"/>
      </w:r>
    </w:p>
    <w:p w14:paraId="72845348">
      <w:pPr>
        <w:pStyle w:val="3"/>
        <w:numPr>
          <w:ilvl w:val="0"/>
          <w:numId w:val="0"/>
        </w:numPr>
        <w:ind w:left="0" w:leftChars="0" w:firstLine="0" w:firstLineChars="0"/>
      </w:pPr>
      <w:r>
        <w:rPr>
          <w:rFonts w:hint="eastAsia" w:cs="Times New Roman"/>
          <w:b/>
          <w:kern w:val="2"/>
          <w:sz w:val="32"/>
          <w:szCs w:val="22"/>
          <w:lang w:val="en-US" w:eastAsia="zh-CN" w:bidi="ar-SA"/>
        </w:rPr>
        <w:t>二</w:t>
      </w:r>
      <w:r>
        <w:rPr>
          <w:rFonts w:hint="eastAsia" w:ascii="Times New Roman" w:hAnsi="Times New Roman" w:eastAsia="仿宋" w:cs="Times New Roman"/>
          <w:b/>
          <w:kern w:val="2"/>
          <w:sz w:val="32"/>
          <w:szCs w:val="22"/>
          <w:lang w:val="zh-CN" w:eastAsia="zh-CN" w:bidi="ar-SA"/>
        </w:rPr>
        <w:t>、</w:t>
      </w: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numPr>
          <w:ilvl w:val="0"/>
          <w:numId w:val="0"/>
        </w:numPr>
        <w:ind w:left="0" w:leftChars="0" w:firstLine="0" w:firstLineChars="0"/>
        <w:rPr>
          <w:rStyle w:val="32"/>
          <w:szCs w:val="28"/>
        </w:rPr>
      </w:pPr>
      <w:r>
        <w:rPr>
          <w:bCs/>
        </w:rPr>
        <w:br w:type="page"/>
      </w:r>
      <w:bookmarkStart w:id="61" w:name="_Toc27186"/>
      <w:bookmarkStart w:id="62" w:name="_Toc15613"/>
      <w:bookmarkStart w:id="63" w:name="_Toc30158"/>
      <w:r>
        <w:rPr>
          <w:rFonts w:hint="eastAsia" w:ascii="Times New Roman" w:hAnsi="Times New Roman" w:cs="Times New Roman"/>
          <w:b/>
          <w:kern w:val="2"/>
          <w:sz w:val="32"/>
          <w:szCs w:val="28"/>
          <w:lang w:val="en-US" w:eastAsia="zh-CN" w:bidi="ar-SA"/>
        </w:rPr>
        <w:t>三</w:t>
      </w:r>
      <w:r>
        <w:rPr>
          <w:rFonts w:hint="eastAsia" w:ascii="Times New Roman" w:hAnsi="Times New Roman" w:eastAsia="仿宋" w:cs="Times New Roman"/>
          <w:b/>
          <w:kern w:val="2"/>
          <w:sz w:val="32"/>
          <w:szCs w:val="28"/>
          <w:lang w:val="zh-CN" w:eastAsia="zh-CN" w:bidi="ar-SA"/>
        </w:rPr>
        <w:t>、</w:t>
      </w:r>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13706"/>
      <w:bookmarkStart w:id="66" w:name="_Toc25357"/>
    </w:p>
    <w:p w14:paraId="76B8A196">
      <w:pPr>
        <w:pStyle w:val="3"/>
        <w:numPr>
          <w:ilvl w:val="0"/>
          <w:numId w:val="0"/>
        </w:numPr>
        <w:ind w:left="0" w:leftChars="0" w:firstLine="0" w:firstLineChars="0"/>
        <w:rPr>
          <w:szCs w:val="32"/>
        </w:rPr>
      </w:pPr>
      <w:bookmarkStart w:id="67" w:name="_Toc23146"/>
      <w:bookmarkStart w:id="68" w:name="_Toc15508"/>
      <w:r>
        <w:rPr>
          <w:rFonts w:hint="eastAsia" w:cs="Times New Roman"/>
          <w:b/>
          <w:kern w:val="2"/>
          <w:sz w:val="32"/>
          <w:szCs w:val="32"/>
          <w:lang w:val="en-US" w:eastAsia="zh-CN" w:bidi="ar-SA"/>
        </w:rPr>
        <w:t>四</w:t>
      </w:r>
      <w:r>
        <w:rPr>
          <w:rFonts w:hint="eastAsia" w:ascii="Times New Roman" w:hAnsi="Times New Roman" w:eastAsia="仿宋" w:cs="Times New Roman"/>
          <w:b/>
          <w:kern w:val="2"/>
          <w:sz w:val="32"/>
          <w:szCs w:val="32"/>
          <w:lang w:val="zh-CN" w:eastAsia="zh-CN" w:bidi="ar-SA"/>
        </w:rPr>
        <w:t>、</w:t>
      </w:r>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numPr>
          <w:ilvl w:val="0"/>
          <w:numId w:val="0"/>
        </w:numPr>
        <w:ind w:left="0" w:leftChars="0" w:firstLine="0" w:firstLineChars="0"/>
        <w:rPr>
          <w:szCs w:val="32"/>
        </w:rPr>
      </w:pPr>
      <w:r>
        <w:rPr>
          <w:szCs w:val="32"/>
        </w:rPr>
        <w:br w:type="page"/>
      </w:r>
      <w:bookmarkStart w:id="69" w:name="_Toc20589"/>
      <w:bookmarkStart w:id="70" w:name="_Toc27661"/>
      <w:bookmarkStart w:id="71" w:name="_Toc12015"/>
      <w:bookmarkStart w:id="72" w:name="_Toc15526"/>
      <w:bookmarkStart w:id="73" w:name="_Toc25638"/>
      <w:bookmarkStart w:id="74" w:name="_Toc11351"/>
      <w:r>
        <w:rPr>
          <w:rFonts w:hint="eastAsia"/>
          <w:szCs w:val="32"/>
          <w:lang w:val="en-US" w:eastAsia="zh-CN"/>
        </w:rPr>
        <w:t>五</w:t>
      </w:r>
      <w:r>
        <w:rPr>
          <w:rFonts w:hint="eastAsia" w:ascii="Times New Roman" w:hAnsi="Times New Roman" w:eastAsia="仿宋" w:cs="Times New Roman"/>
          <w:b/>
          <w:kern w:val="2"/>
          <w:sz w:val="32"/>
          <w:szCs w:val="32"/>
          <w:lang w:val="zh-CN" w:eastAsia="zh-CN" w:bidi="ar-SA"/>
        </w:rPr>
        <w:t>、</w:t>
      </w:r>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numPr>
          <w:ilvl w:val="0"/>
          <w:numId w:val="0"/>
        </w:numPr>
        <w:ind w:left="0" w:leftChars="0" w:firstLine="0" w:firstLineChars="0"/>
        <w:rPr>
          <w:szCs w:val="32"/>
        </w:rPr>
      </w:pPr>
      <w:r>
        <w:rPr>
          <w:szCs w:val="32"/>
        </w:rPr>
        <w:br w:type="page"/>
      </w:r>
      <w:bookmarkStart w:id="75" w:name="_Toc26969"/>
      <w:bookmarkStart w:id="76" w:name="_Toc2041"/>
      <w:bookmarkStart w:id="77" w:name="_Toc16435"/>
      <w:bookmarkStart w:id="78" w:name="_Toc1074"/>
      <w:bookmarkStart w:id="79" w:name="_Toc12967"/>
      <w:bookmarkStart w:id="80" w:name="_Toc23967"/>
      <w:r>
        <w:rPr>
          <w:rFonts w:hint="eastAsia"/>
          <w:szCs w:val="32"/>
          <w:lang w:val="en-US" w:eastAsia="zh-CN"/>
        </w:rPr>
        <w:t>六</w:t>
      </w:r>
      <w:r>
        <w:rPr>
          <w:rFonts w:hint="eastAsia" w:ascii="Times New Roman" w:hAnsi="Times New Roman" w:eastAsia="仿宋" w:cs="Times New Roman"/>
          <w:b/>
          <w:kern w:val="2"/>
          <w:sz w:val="32"/>
          <w:szCs w:val="32"/>
          <w:lang w:val="zh-CN" w:eastAsia="zh-CN" w:bidi="ar-SA"/>
        </w:rPr>
        <w:t>、</w:t>
      </w:r>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numPr>
          <w:ilvl w:val="0"/>
          <w:numId w:val="0"/>
        </w:numPr>
        <w:ind w:left="0" w:leftChars="0" w:firstLine="0" w:firstLineChars="0"/>
        <w:rPr>
          <w:bCs/>
          <w:szCs w:val="32"/>
        </w:rPr>
      </w:pPr>
      <w:r>
        <w:rPr>
          <w:szCs w:val="32"/>
        </w:rPr>
        <w:br w:type="page"/>
      </w:r>
      <w:bookmarkStart w:id="81" w:name="_Toc21082"/>
      <w:bookmarkStart w:id="82" w:name="_Toc1369"/>
      <w:bookmarkStart w:id="83" w:name="_Toc26839"/>
      <w:bookmarkStart w:id="84" w:name="_Toc28634"/>
      <w:bookmarkStart w:id="85" w:name="_Toc24806"/>
      <w:bookmarkStart w:id="86" w:name="_Toc31686"/>
      <w:r>
        <w:rPr>
          <w:rFonts w:hint="eastAsia"/>
          <w:szCs w:val="32"/>
          <w:lang w:val="en-US" w:eastAsia="zh-CN"/>
        </w:rPr>
        <w:t>七</w:t>
      </w:r>
      <w:r>
        <w:rPr>
          <w:rFonts w:hint="eastAsia" w:ascii="Times New Roman" w:hAnsi="Times New Roman" w:eastAsia="仿宋" w:cs="Times New Roman"/>
          <w:b/>
          <w:bCs/>
          <w:kern w:val="2"/>
          <w:sz w:val="32"/>
          <w:szCs w:val="32"/>
          <w:lang w:val="zh-CN" w:eastAsia="zh-CN" w:bidi="ar-SA"/>
        </w:rPr>
        <w:t>、</w:t>
      </w:r>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numPr>
          <w:ilvl w:val="0"/>
          <w:numId w:val="0"/>
        </w:numPr>
        <w:ind w:left="0" w:leftChars="0" w:firstLine="0" w:firstLineChars="0"/>
      </w:pPr>
      <w:bookmarkStart w:id="90" w:name="_Toc15065"/>
      <w:r>
        <w:rPr>
          <w:rFonts w:hint="eastAsia" w:cs="Times New Roman"/>
          <w:b/>
          <w:kern w:val="2"/>
          <w:sz w:val="32"/>
          <w:szCs w:val="22"/>
          <w:lang w:val="en-US" w:eastAsia="zh-CN" w:bidi="ar-SA"/>
        </w:rPr>
        <w:t>八</w:t>
      </w:r>
      <w:r>
        <w:rPr>
          <w:rFonts w:hint="eastAsia" w:ascii="Times New Roman" w:hAnsi="Times New Roman" w:eastAsia="仿宋" w:cs="Times New Roman"/>
          <w:b/>
          <w:kern w:val="2"/>
          <w:sz w:val="32"/>
          <w:szCs w:val="22"/>
          <w:lang w:val="zh-CN" w:eastAsia="zh-CN" w:bidi="ar-SA"/>
        </w:rPr>
        <w:t>、</w:t>
      </w:r>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51"/>
        <w:gridCol w:w="1705"/>
        <w:gridCol w:w="2026"/>
        <w:gridCol w:w="3386"/>
        <w:gridCol w:w="1376"/>
      </w:tblGrid>
      <w:tr w14:paraId="7BD84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597" w:type="pct"/>
            <w:vAlign w:val="center"/>
          </w:tcPr>
          <w:p w14:paraId="2CF60CA8">
            <w:pPr>
              <w:spacing w:line="24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序号</w:t>
            </w:r>
          </w:p>
        </w:tc>
        <w:tc>
          <w:tcPr>
            <w:tcW w:w="1934" w:type="pct"/>
            <w:gridSpan w:val="2"/>
            <w:vAlign w:val="center"/>
          </w:tcPr>
          <w:p w14:paraId="0210D7AA">
            <w:pPr>
              <w:spacing w:line="24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采购标的名称</w:t>
            </w:r>
          </w:p>
        </w:tc>
        <w:tc>
          <w:tcPr>
            <w:tcW w:w="1755" w:type="pct"/>
            <w:vAlign w:val="center"/>
          </w:tcPr>
          <w:p w14:paraId="29D764D0">
            <w:pPr>
              <w:spacing w:line="24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报</w:t>
            </w:r>
            <w:r>
              <w:rPr>
                <w:rFonts w:ascii="Times New Roman" w:hAnsi="Times New Roman" w:eastAsia="仿宋" w:cs="Times New Roman"/>
                <w:kern w:val="0"/>
                <w:szCs w:val="21"/>
                <w:lang w:val="zh-TW" w:eastAsia="zh-TW"/>
              </w:rPr>
              <w:t>价（元）</w:t>
            </w:r>
          </w:p>
        </w:tc>
        <w:tc>
          <w:tcPr>
            <w:tcW w:w="711" w:type="pct"/>
            <w:vAlign w:val="center"/>
          </w:tcPr>
          <w:p w14:paraId="47434C70">
            <w:pPr>
              <w:spacing w:line="240" w:lineRule="auto"/>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备注</w:t>
            </w:r>
          </w:p>
        </w:tc>
      </w:tr>
      <w:tr w14:paraId="4438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597" w:type="pct"/>
            <w:vAlign w:val="center"/>
          </w:tcPr>
          <w:p w14:paraId="33FA3AA9">
            <w:pPr>
              <w:pStyle w:val="7"/>
              <w:spacing w:line="240" w:lineRule="auto"/>
              <w:jc w:val="center"/>
              <w:rPr>
                <w:rFonts w:ascii="Times New Roman" w:hAnsi="Times New Roman" w:eastAsia="仿宋" w:cs="Times New Roman"/>
                <w:szCs w:val="21"/>
              </w:rPr>
            </w:pPr>
            <w:r>
              <w:rPr>
                <w:rFonts w:ascii="Times New Roman" w:hAnsi="Times New Roman" w:eastAsia="仿宋" w:cs="Times New Roman"/>
                <w:szCs w:val="21"/>
              </w:rPr>
              <w:t>1</w:t>
            </w:r>
          </w:p>
        </w:tc>
        <w:tc>
          <w:tcPr>
            <w:tcW w:w="1934" w:type="pct"/>
            <w:gridSpan w:val="2"/>
            <w:vAlign w:val="center"/>
          </w:tcPr>
          <w:p w14:paraId="74F731F3">
            <w:pPr>
              <w:pStyle w:val="7"/>
              <w:spacing w:line="240" w:lineRule="auto"/>
              <w:jc w:val="center"/>
              <w:rPr>
                <w:rFonts w:ascii="Times New Roman" w:hAnsi="Times New Roman" w:eastAsia="仿宋" w:cs="Times New Roman"/>
                <w:szCs w:val="21"/>
              </w:rPr>
            </w:pPr>
            <w:r>
              <w:rPr>
                <w:rFonts w:hint="eastAsia" w:ascii="Times New Roman" w:hAnsi="Times New Roman" w:eastAsia="仿宋" w:cs="Times New Roman"/>
                <w:szCs w:val="21"/>
                <w:lang w:val="en-US" w:eastAsia="zh-CN"/>
              </w:rPr>
              <w:t>存储维保服务</w:t>
            </w:r>
          </w:p>
        </w:tc>
        <w:tc>
          <w:tcPr>
            <w:tcW w:w="1755" w:type="pct"/>
            <w:vAlign w:val="center"/>
          </w:tcPr>
          <w:p w14:paraId="18230512">
            <w:pPr>
              <w:pStyle w:val="7"/>
              <w:spacing w:line="240" w:lineRule="auto"/>
              <w:jc w:val="center"/>
              <w:rPr>
                <w:rFonts w:ascii="Times New Roman" w:hAnsi="Times New Roman" w:eastAsia="仿宋" w:cs="Times New Roman"/>
                <w:szCs w:val="21"/>
              </w:rPr>
            </w:pPr>
          </w:p>
        </w:tc>
        <w:tc>
          <w:tcPr>
            <w:tcW w:w="711" w:type="pct"/>
            <w:vAlign w:val="center"/>
          </w:tcPr>
          <w:p w14:paraId="12864601">
            <w:pPr>
              <w:pStyle w:val="7"/>
              <w:spacing w:line="240" w:lineRule="auto"/>
              <w:jc w:val="center"/>
              <w:rPr>
                <w:rFonts w:ascii="Times New Roman" w:hAnsi="Times New Roman" w:eastAsia="仿宋" w:cs="Times New Roman"/>
                <w:szCs w:val="21"/>
              </w:rPr>
            </w:pPr>
          </w:p>
        </w:tc>
      </w:tr>
      <w:tr w14:paraId="61EAA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597" w:type="pct"/>
            <w:vAlign w:val="center"/>
          </w:tcPr>
          <w:p w14:paraId="2BEE1E50">
            <w:pPr>
              <w:pStyle w:val="7"/>
              <w:spacing w:line="240" w:lineRule="auto"/>
              <w:jc w:val="center"/>
              <w:rPr>
                <w:rFonts w:hint="eastAsia" w:ascii="Times New Roman" w:hAnsi="Times New Roman" w:eastAsia="仿宋" w:cs="Times New Roman"/>
                <w:szCs w:val="21"/>
                <w:lang w:val="en-US" w:eastAsia="zh-CN"/>
              </w:rPr>
            </w:pPr>
            <w:r>
              <w:rPr>
                <w:rFonts w:hint="eastAsia" w:ascii="Times New Roman" w:hAnsi="Times New Roman" w:eastAsia="仿宋" w:cs="Times New Roman"/>
                <w:szCs w:val="21"/>
                <w:lang w:val="en-US" w:eastAsia="zh-CN"/>
              </w:rPr>
              <w:t>2</w:t>
            </w:r>
          </w:p>
        </w:tc>
        <w:tc>
          <w:tcPr>
            <w:tcW w:w="1934" w:type="pct"/>
            <w:gridSpan w:val="2"/>
            <w:vAlign w:val="center"/>
          </w:tcPr>
          <w:p w14:paraId="0A0DA621">
            <w:pPr>
              <w:pStyle w:val="7"/>
              <w:spacing w:line="240" w:lineRule="auto"/>
              <w:jc w:val="center"/>
              <w:rPr>
                <w:rFonts w:hint="default" w:ascii="Times New Roman" w:hAnsi="Times New Roman" w:eastAsia="仿宋" w:cs="Times New Roman"/>
                <w:szCs w:val="21"/>
                <w:lang w:val="en-US" w:eastAsia="zh-CN"/>
              </w:rPr>
            </w:pPr>
            <w:r>
              <w:rPr>
                <w:rFonts w:hint="eastAsia" w:ascii="Times New Roman" w:hAnsi="Times New Roman" w:eastAsia="仿宋" w:cs="Times New Roman"/>
                <w:szCs w:val="21"/>
                <w:lang w:val="en-US" w:eastAsia="zh-CN"/>
              </w:rPr>
              <w:t>驻场人员</w:t>
            </w:r>
          </w:p>
        </w:tc>
        <w:tc>
          <w:tcPr>
            <w:tcW w:w="1755" w:type="pct"/>
            <w:vAlign w:val="center"/>
          </w:tcPr>
          <w:p w14:paraId="0204F866">
            <w:pPr>
              <w:pStyle w:val="7"/>
              <w:spacing w:line="240" w:lineRule="auto"/>
              <w:jc w:val="center"/>
              <w:rPr>
                <w:rFonts w:ascii="Times New Roman" w:hAnsi="Times New Roman" w:eastAsia="仿宋" w:cs="Times New Roman"/>
                <w:szCs w:val="21"/>
              </w:rPr>
            </w:pPr>
          </w:p>
        </w:tc>
        <w:tc>
          <w:tcPr>
            <w:tcW w:w="711" w:type="pct"/>
            <w:vAlign w:val="center"/>
          </w:tcPr>
          <w:p w14:paraId="3EE40844">
            <w:pPr>
              <w:pStyle w:val="7"/>
              <w:spacing w:line="240" w:lineRule="auto"/>
              <w:jc w:val="center"/>
              <w:rPr>
                <w:rFonts w:ascii="Times New Roman" w:hAnsi="Times New Roman" w:eastAsia="仿宋" w:cs="Times New Roman"/>
                <w:szCs w:val="21"/>
              </w:rPr>
            </w:pPr>
          </w:p>
        </w:tc>
      </w:tr>
      <w:tr w14:paraId="35D0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481" w:type="pct"/>
            <w:gridSpan w:val="2"/>
            <w:vAlign w:val="center"/>
          </w:tcPr>
          <w:p w14:paraId="4E78903A">
            <w:pPr>
              <w:spacing w:line="24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报价合计</w:t>
            </w:r>
          </w:p>
        </w:tc>
        <w:tc>
          <w:tcPr>
            <w:tcW w:w="3518" w:type="pct"/>
            <w:gridSpan w:val="3"/>
            <w:vAlign w:val="center"/>
          </w:tcPr>
          <w:p w14:paraId="0241EA93">
            <w:pPr>
              <w:spacing w:line="240" w:lineRule="auto"/>
              <w:ind w:firstLine="105" w:firstLineChars="50"/>
              <w:jc w:val="left"/>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 xml:space="preserve">大写：       </w:t>
            </w:r>
            <w:r>
              <w:rPr>
                <w:rFonts w:hint="eastAsia" w:ascii="Times New Roman" w:hAnsi="Times New Roman" w:eastAsia="仿宋" w:cs="Times New Roman"/>
                <w:kern w:val="0"/>
                <w:szCs w:val="21"/>
                <w:lang w:val="zh-TW"/>
              </w:rPr>
              <w:t xml:space="preserve">    </w:t>
            </w:r>
            <w:r>
              <w:rPr>
                <w:rFonts w:ascii="Times New Roman" w:hAnsi="Times New Roman" w:eastAsia="仿宋" w:cs="Times New Roman"/>
                <w:kern w:val="0"/>
                <w:szCs w:val="21"/>
                <w:lang w:val="zh-TW" w:eastAsia="zh-TW"/>
              </w:rPr>
              <w:t>小写：</w:t>
            </w:r>
          </w:p>
        </w:tc>
      </w:tr>
    </w:tbl>
    <w:p w14:paraId="6A59F5E0">
      <w:pPr>
        <w:widowControl/>
        <w:jc w:val="left"/>
        <w:rPr>
          <w:rFonts w:ascii="Times New Roman" w:hAnsi="Times New Roman" w:eastAsia="仿宋" w:cs="Times New Roman"/>
          <w:szCs w:val="21"/>
          <w:lang w:val="zh-TW"/>
        </w:rPr>
      </w:pPr>
    </w:p>
    <w:p w14:paraId="5E29CF43">
      <w:pPr>
        <w:widowControl/>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2.存储维保服务分项报价</w:t>
      </w:r>
    </w:p>
    <w:tbl>
      <w:tblPr>
        <w:tblStyle w:val="18"/>
        <w:tblW w:w="499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23"/>
        <w:gridCol w:w="2312"/>
        <w:gridCol w:w="1324"/>
        <w:gridCol w:w="1275"/>
        <w:gridCol w:w="1104"/>
        <w:gridCol w:w="1549"/>
        <w:gridCol w:w="1451"/>
      </w:tblGrid>
      <w:tr w14:paraId="3AAE5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jc w:val="center"/>
        </w:trPr>
        <w:tc>
          <w:tcPr>
            <w:tcW w:w="824" w:type="dxa"/>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center"/>
          </w:tcPr>
          <w:p w14:paraId="6C5DFDB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center"/>
              <w:textAlignment w:val="center"/>
              <w:rPr>
                <w:rFonts w:hint="eastAsia" w:ascii="仿宋" w:hAnsi="仿宋" w:eastAsia="仿宋" w:cs="仿宋"/>
                <w:sz w:val="21"/>
                <w:szCs w:val="21"/>
              </w:rPr>
            </w:pPr>
            <w:r>
              <w:rPr>
                <w:rStyle w:val="21"/>
                <w:rFonts w:hint="eastAsia" w:ascii="仿宋" w:hAnsi="仿宋" w:eastAsia="仿宋" w:cs="仿宋"/>
                <w:color w:val="000000"/>
                <w:sz w:val="21"/>
                <w:szCs w:val="21"/>
              </w:rPr>
              <w:t>序号</w:t>
            </w:r>
          </w:p>
        </w:tc>
        <w:tc>
          <w:tcPr>
            <w:tcW w:w="2313"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1568729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center"/>
              <w:textAlignment w:val="center"/>
              <w:rPr>
                <w:rFonts w:hint="eastAsia" w:ascii="仿宋" w:hAnsi="仿宋" w:eastAsia="仿宋" w:cs="仿宋"/>
                <w:sz w:val="21"/>
                <w:szCs w:val="21"/>
              </w:rPr>
            </w:pPr>
            <w:r>
              <w:rPr>
                <w:rStyle w:val="21"/>
                <w:rFonts w:hint="eastAsia" w:ascii="仿宋" w:hAnsi="仿宋" w:eastAsia="仿宋" w:cs="仿宋"/>
                <w:color w:val="000000"/>
                <w:sz w:val="21"/>
                <w:szCs w:val="21"/>
              </w:rPr>
              <w:t>名称</w:t>
            </w:r>
          </w:p>
        </w:tc>
        <w:tc>
          <w:tcPr>
            <w:tcW w:w="1324"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6A93D91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center"/>
              <w:textAlignment w:val="center"/>
              <w:rPr>
                <w:rFonts w:hint="eastAsia" w:ascii="仿宋" w:hAnsi="仿宋" w:eastAsia="仿宋" w:cs="仿宋"/>
                <w:sz w:val="21"/>
                <w:szCs w:val="21"/>
              </w:rPr>
            </w:pPr>
            <w:r>
              <w:rPr>
                <w:rStyle w:val="21"/>
                <w:rFonts w:hint="eastAsia" w:ascii="仿宋" w:hAnsi="仿宋" w:eastAsia="仿宋" w:cs="仿宋"/>
                <w:color w:val="000000"/>
                <w:sz w:val="21"/>
                <w:szCs w:val="21"/>
              </w:rPr>
              <w:t>类型</w:t>
            </w:r>
          </w:p>
        </w:tc>
        <w:tc>
          <w:tcPr>
            <w:tcW w:w="1275"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4BB08BC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center"/>
              <w:textAlignment w:val="center"/>
              <w:rPr>
                <w:rFonts w:hint="eastAsia" w:ascii="仿宋" w:hAnsi="仿宋" w:eastAsia="仿宋" w:cs="仿宋"/>
                <w:sz w:val="21"/>
                <w:szCs w:val="21"/>
              </w:rPr>
            </w:pPr>
            <w:r>
              <w:rPr>
                <w:rStyle w:val="21"/>
                <w:rFonts w:hint="eastAsia" w:ascii="仿宋" w:hAnsi="仿宋" w:eastAsia="仿宋" w:cs="仿宋"/>
                <w:color w:val="000000"/>
                <w:sz w:val="21"/>
                <w:szCs w:val="21"/>
              </w:rPr>
              <w:t>数量</w:t>
            </w:r>
          </w:p>
        </w:tc>
        <w:tc>
          <w:tcPr>
            <w:tcW w:w="1104"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656DE1F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center"/>
              <w:textAlignment w:val="center"/>
              <w:rPr>
                <w:rStyle w:val="21"/>
                <w:rFonts w:hint="eastAsia" w:ascii="仿宋" w:hAnsi="仿宋" w:eastAsia="仿宋" w:cs="仿宋"/>
                <w:color w:val="000000"/>
                <w:sz w:val="21"/>
                <w:szCs w:val="21"/>
                <w:lang w:val="en-US" w:eastAsia="zh-CN"/>
              </w:rPr>
            </w:pPr>
            <w:r>
              <w:rPr>
                <w:rStyle w:val="21"/>
                <w:rFonts w:hint="eastAsia" w:ascii="仿宋" w:hAnsi="仿宋" w:eastAsia="仿宋" w:cs="仿宋"/>
                <w:color w:val="000000"/>
                <w:sz w:val="21"/>
                <w:szCs w:val="21"/>
                <w:lang w:val="en-US" w:eastAsia="zh-CN"/>
              </w:rPr>
              <w:t>单位</w:t>
            </w:r>
          </w:p>
        </w:tc>
        <w:tc>
          <w:tcPr>
            <w:tcW w:w="1549"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5E6CD0F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both"/>
              <w:textAlignment w:val="center"/>
              <w:rPr>
                <w:rFonts w:hint="eastAsia" w:ascii="仿宋" w:hAnsi="仿宋" w:eastAsia="仿宋" w:cs="仿宋"/>
                <w:sz w:val="21"/>
                <w:szCs w:val="21"/>
              </w:rPr>
            </w:pPr>
            <w:r>
              <w:rPr>
                <w:rStyle w:val="21"/>
                <w:rFonts w:hint="eastAsia" w:ascii="仿宋" w:hAnsi="仿宋" w:eastAsia="仿宋" w:cs="仿宋"/>
                <w:color w:val="000000"/>
                <w:sz w:val="21"/>
                <w:szCs w:val="21"/>
              </w:rPr>
              <w:t>单价（元）</w:t>
            </w:r>
          </w:p>
        </w:tc>
        <w:tc>
          <w:tcPr>
            <w:tcW w:w="1451"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59CDEEF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both"/>
              <w:textAlignment w:val="center"/>
              <w:rPr>
                <w:rFonts w:hint="eastAsia" w:ascii="仿宋" w:hAnsi="仿宋" w:eastAsia="仿宋" w:cs="仿宋"/>
                <w:sz w:val="21"/>
                <w:szCs w:val="21"/>
              </w:rPr>
            </w:pPr>
            <w:r>
              <w:rPr>
                <w:rStyle w:val="21"/>
                <w:rFonts w:hint="eastAsia" w:ascii="仿宋" w:hAnsi="仿宋" w:eastAsia="仿宋" w:cs="仿宋"/>
                <w:color w:val="000000"/>
                <w:sz w:val="21"/>
                <w:szCs w:val="21"/>
                <w:lang w:val="en-US" w:eastAsia="zh-CN"/>
              </w:rPr>
              <w:t>分项</w:t>
            </w:r>
            <w:r>
              <w:rPr>
                <w:rStyle w:val="21"/>
                <w:rFonts w:hint="eastAsia" w:ascii="仿宋" w:hAnsi="仿宋" w:eastAsia="仿宋" w:cs="仿宋"/>
                <w:color w:val="000000"/>
                <w:sz w:val="21"/>
                <w:szCs w:val="21"/>
              </w:rPr>
              <w:t>总价（元）</w:t>
            </w:r>
          </w:p>
        </w:tc>
      </w:tr>
      <w:tr w14:paraId="163A8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7904F4B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B63B1E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Dell EMC XT480F</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66093E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10E7231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7BE9A06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73B9C57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5C28C3E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37AE7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6C900D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D8B427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DELLEMC PowerScale</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75BB377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1C6BF84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A977014">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6F4BF11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50E9557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615C9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1"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73083F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3</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7911A81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EMC PowerStore 1000T（双活）</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3C964F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C3326B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B5A987D">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565D30A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2FAFA94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372D7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B8F5A0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4</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90ACE6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EMC Unity XT380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40E57A4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A6027E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91B5388">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6356D1A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57037FE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0FC05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3516E78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5</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2C0830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EMC Unity XT480F（双活）</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6CACD3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1DB17E8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801B8CE">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1B07795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361464B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6ED84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0B18179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6</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C29E66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EMC VPLEX（双活）</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91C81A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46C014B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CDF095B">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647F8DF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6346E8C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1AF5A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10780F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7</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55B478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HP 3PAR StoreServ 7400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2DA49D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174C586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63AD9BF">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723441B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0903466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4F7C1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282682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8</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E3DF3D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华为 Oceanstor 5110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4EBAAB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460BFE0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15F4607">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789B781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6D481FD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25D09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1F7BED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9</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300F3E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IBM Storwize V3700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E1276B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563AA7A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CD343CB">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1882D5A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39F881D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6636E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0FD4E0A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10</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726B84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Lenovo EMC VNX5400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672E77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4C8A7E1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F70F2F4">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7C1B4E8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0CE17AA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280EC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80E58D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11</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E6AD09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Lenovo V3700 V2</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7140853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619026F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423153E">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0305F11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17C43B9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178F7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1A5963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12</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B2C9A8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MD1400（直连）</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030228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BCB380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2B24B4D">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361D11B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3BF6471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14AE7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EC2CA4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13</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E6C02B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华为5300V5</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4E26AE1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2055C3A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72DDE04C">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5929144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44CE98F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30BCB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13CE514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14</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703E8A3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华为OceanStor 5110 V5</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35D172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212E4E8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5</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0E78BCC">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2EE7BD5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0A9CF54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3688E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0339043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15</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ECE3A8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华为 OceanStor 5510F V5（双活）</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453B61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0AF21B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696A999">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0760C1D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3EC19AD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1FE09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969F49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16</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7D8E09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华为存储 OceanStor 2600 V3</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D3EA4F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722244C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6D9CDAA">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0CEF467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33880A4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1689A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01DF9F3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17</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0FC1DA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EMC Unity XT380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00AFB4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存储扩展柜</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CDE43F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5</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48C1200">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4182664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7D3EEEF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1F42B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BC4CDA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18</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7782AF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EMC Unity XT480F</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27C4FC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存储扩展柜</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0D5010E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F6E1A63">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08DEAEE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3E9C089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6E4CE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133D1F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19</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27091C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HP 3PAR StoreServ 7400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C22D0A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存储扩展柜</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023AC4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F61ADBA">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178E5E7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5569387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37619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FB8189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20</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522C76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Lenovo V3700 V2</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2E3F58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存储扩展柜</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DC1D3C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A374E9D">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3C87186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43C843E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6A01B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6C7073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21</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EB453D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VNX5400存储扩展柜</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7A49488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存储扩展柜</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7508E0F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4</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3D809EA">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5517AE9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6AC7B16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5BB48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35D7BB4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22</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1FC5BB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华为5300V5</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3F4325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存储扩展柜</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AECA9B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3893A26">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79239D0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1F43E8E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058A8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1FFFF57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23</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BCF1B0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Brocade 6505</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20B658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F8982F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72FCF14E">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541D6D1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5A38032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5660D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7D6DB87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24</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7F932C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Brocade 6510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3C0A13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4BA6DD2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4</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1E21718">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40C8F6A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58BD6B9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63A1A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14DC25D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25</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203D1F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DELL EMC IB交换机</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9A5539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C4A78D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443131D2">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402C55F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4B34E26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25CC5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C91047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26</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D3A278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HP StorageWorks 8/8</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3B4AAE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317BC8B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1</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7077CEB6">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2EBE244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7C52CB2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4DDEF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F62FE2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27</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E9E872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Inspur 6500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5FA781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5C136B5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D98276E">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553234B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3735CC6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60045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AED12F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28</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C3506F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Lenovo 6510</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2463E43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2FEE42F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4</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284645C">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463F46A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78F475B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334D3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1399EB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29</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CE8910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华为SNS2624</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4A329F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7A0E399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2</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77EF608">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655737C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5489307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05879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824"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6A91D85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30</w:t>
            </w:r>
          </w:p>
        </w:tc>
        <w:tc>
          <w:tcPr>
            <w:tcW w:w="231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090348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博科300 SAN交换机</w:t>
            </w:r>
          </w:p>
        </w:tc>
        <w:tc>
          <w:tcPr>
            <w:tcW w:w="132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16EE34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存储交换机</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258B75F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r>
              <w:rPr>
                <w:rFonts w:hint="eastAsia" w:ascii="仿宋" w:hAnsi="仿宋" w:eastAsia="仿宋" w:cs="仿宋"/>
                <w:color w:val="000000"/>
                <w:sz w:val="21"/>
                <w:szCs w:val="21"/>
              </w:rPr>
              <w:t>6</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973B131">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258A20F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6F620FD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rPr>
            </w:pPr>
          </w:p>
        </w:tc>
      </w:tr>
      <w:tr w14:paraId="5AEB6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5" w:hRule="atLeast"/>
          <w:jc w:val="center"/>
        </w:trPr>
        <w:tc>
          <w:tcPr>
            <w:tcW w:w="4461" w:type="dxa"/>
            <w:gridSpan w:val="3"/>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752137B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合计</w:t>
            </w:r>
          </w:p>
        </w:tc>
        <w:tc>
          <w:tcPr>
            <w:tcW w:w="1275" w:type="dxa"/>
            <w:tcBorders>
              <w:top w:val="nil"/>
              <w:left w:val="nil"/>
              <w:bottom w:val="single" w:color="000000" w:sz="6" w:space="0"/>
              <w:right w:val="single" w:color="000000" w:sz="6" w:space="0"/>
            </w:tcBorders>
            <w:shd w:val="clear" w:color="auto" w:fill="auto"/>
            <w:tcMar>
              <w:left w:w="105" w:type="dxa"/>
              <w:right w:w="105" w:type="dxa"/>
            </w:tcMar>
            <w:vAlign w:val="center"/>
          </w:tcPr>
          <w:p w14:paraId="280A3FA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highlight w:val="none"/>
                <w:lang w:val="en-US" w:eastAsia="zh-CN"/>
              </w:rPr>
            </w:pPr>
            <w:r>
              <w:rPr>
                <w:rFonts w:hint="eastAsia" w:ascii="仿宋" w:hAnsi="仿宋" w:eastAsia="仿宋" w:cs="仿宋"/>
                <w:color w:val="000000"/>
                <w:sz w:val="21"/>
                <w:szCs w:val="21"/>
                <w:highlight w:val="none"/>
              </w:rPr>
              <w:t>6</w:t>
            </w:r>
            <w:r>
              <w:rPr>
                <w:rFonts w:hint="eastAsia" w:ascii="仿宋" w:hAnsi="仿宋" w:eastAsia="仿宋" w:cs="仿宋"/>
                <w:color w:val="000000"/>
                <w:sz w:val="21"/>
                <w:szCs w:val="21"/>
                <w:highlight w:val="none"/>
                <w:lang w:val="en-US" w:eastAsia="zh-CN"/>
              </w:rPr>
              <w:t>3</w:t>
            </w:r>
          </w:p>
        </w:tc>
        <w:tc>
          <w:tcPr>
            <w:tcW w:w="110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D824A2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台</w:t>
            </w:r>
          </w:p>
        </w:tc>
        <w:tc>
          <w:tcPr>
            <w:tcW w:w="15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787EB94B">
            <w:pPr>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1451" w:type="dxa"/>
            <w:tcBorders>
              <w:top w:val="nil"/>
              <w:left w:val="nil"/>
              <w:bottom w:val="single" w:color="000000" w:sz="6" w:space="0"/>
              <w:right w:val="single" w:color="000000" w:sz="6" w:space="0"/>
            </w:tcBorders>
            <w:shd w:val="clear" w:color="auto" w:fill="auto"/>
            <w:tcMar>
              <w:left w:w="105" w:type="dxa"/>
              <w:right w:w="105" w:type="dxa"/>
            </w:tcMar>
            <w:vAlign w:val="center"/>
          </w:tcPr>
          <w:p w14:paraId="37745868">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center"/>
              <w:textAlignment w:val="center"/>
              <w:rPr>
                <w:rFonts w:hint="eastAsia" w:ascii="仿宋" w:hAnsi="仿宋" w:eastAsia="仿宋" w:cs="仿宋"/>
                <w:sz w:val="21"/>
                <w:szCs w:val="21"/>
                <w:lang w:val="en-US"/>
              </w:rPr>
            </w:pPr>
          </w:p>
        </w:tc>
      </w:tr>
    </w:tbl>
    <w:p w14:paraId="3F05C6CF">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30002"/>
      <w:bookmarkStart w:id="92" w:name="_Toc14685"/>
      <w:bookmarkStart w:id="93"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numPr>
          <w:ilvl w:val="0"/>
          <w:numId w:val="0"/>
        </w:numPr>
        <w:ind w:left="0" w:leftChars="0" w:firstLine="0" w:firstLineChars="0"/>
      </w:pPr>
      <w:r>
        <w:rPr>
          <w:rFonts w:hint="eastAsia" w:cs="Times New Roman"/>
          <w:b/>
          <w:kern w:val="2"/>
          <w:sz w:val="32"/>
          <w:szCs w:val="22"/>
          <w:lang w:val="en-US" w:eastAsia="zh-CN" w:bidi="ar-SA"/>
        </w:rPr>
        <w:t>九</w:t>
      </w:r>
      <w:r>
        <w:rPr>
          <w:rFonts w:hint="eastAsia" w:ascii="Times New Roman" w:hAnsi="Times New Roman" w:eastAsia="仿宋" w:cs="Times New Roman"/>
          <w:b/>
          <w:kern w:val="2"/>
          <w:sz w:val="32"/>
          <w:szCs w:val="22"/>
          <w:lang w:val="zh-CN" w:eastAsia="zh-CN" w:bidi="ar-SA"/>
        </w:rPr>
        <w:t>、</w:t>
      </w: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20691"/>
      <w:bookmarkStart w:id="95" w:name="_Toc5447"/>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8D02568">
      <w:pPr>
        <w:pStyle w:val="7"/>
        <w:jc w:val="center"/>
        <w:rPr>
          <w:rFonts w:ascii="Times New Roman" w:hAnsi="Times New Roman" w:eastAsia="仿宋" w:cs="Times New Roman"/>
          <w:sz w:val="16"/>
          <w:szCs w:val="20"/>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0E6E0DEE">
      <w:pPr>
        <w:pStyle w:val="41"/>
        <w:rPr>
          <w:sz w:val="48"/>
          <w:szCs w:val="48"/>
        </w:rPr>
      </w:pPr>
      <w:r>
        <w:rPr>
          <w:sz w:val="48"/>
          <w:szCs w:val="48"/>
        </w:rPr>
        <w:t>设备维保服务合同</w:t>
      </w:r>
    </w:p>
    <w:p w14:paraId="5CC912F8">
      <w:pPr>
        <w:rPr>
          <w:sz w:val="24"/>
        </w:rPr>
        <w:sectPr>
          <w:footerReference r:id="rId6" w:type="default"/>
          <w:footerReference r:id="rId7" w:type="even"/>
          <w:pgSz w:w="11906" w:h="16838"/>
          <w:pgMar w:top="1134" w:right="1134" w:bottom="1134" w:left="1134" w:header="850" w:footer="567" w:gutter="0"/>
          <w:pgNumType w:fmt="decimal" w:start="1"/>
          <w:cols w:space="425" w:num="1"/>
          <w:docGrid w:linePitch="312" w:charSpace="0"/>
        </w:sectPr>
      </w:pPr>
    </w:p>
    <w:p w14:paraId="63B8C318">
      <w:pPr>
        <w:pStyle w:val="3"/>
        <w:numPr>
          <w:ilvl w:val="0"/>
          <w:numId w:val="0"/>
        </w:numPr>
        <w:spacing w:line="240" w:lineRule="auto"/>
        <w:jc w:val="both"/>
        <w:rPr>
          <w:rFonts w:ascii="Times New Roman" w:hAnsi="Times New Roman" w:eastAsia="宋体"/>
          <w:sz w:val="21"/>
          <w:szCs w:val="21"/>
          <w:highlight w:val="none"/>
        </w:rPr>
      </w:pPr>
    </w:p>
    <w:tbl>
      <w:tblPr>
        <w:tblStyle w:val="18"/>
        <w:tblW w:w="5000" w:type="pct"/>
        <w:jc w:val="center"/>
        <w:tblLayout w:type="autofit"/>
        <w:tblCellMar>
          <w:top w:w="0" w:type="dxa"/>
          <w:left w:w="0" w:type="dxa"/>
          <w:bottom w:w="0" w:type="dxa"/>
          <w:right w:w="0" w:type="dxa"/>
        </w:tblCellMar>
      </w:tblPr>
      <w:tblGrid>
        <w:gridCol w:w="4688"/>
        <w:gridCol w:w="4950"/>
      </w:tblGrid>
      <w:tr w14:paraId="3E98A5EC">
        <w:tblPrEx>
          <w:tblCellMar>
            <w:top w:w="0" w:type="dxa"/>
            <w:left w:w="0" w:type="dxa"/>
            <w:bottom w:w="0" w:type="dxa"/>
            <w:right w:w="0" w:type="dxa"/>
          </w:tblCellMar>
        </w:tblPrEx>
        <w:trPr>
          <w:trHeight w:val="767" w:hRule="atLeast"/>
          <w:jc w:val="center"/>
        </w:trPr>
        <w:tc>
          <w:tcPr>
            <w:tcW w:w="10204" w:type="dxa"/>
            <w:gridSpan w:val="2"/>
          </w:tcPr>
          <w:p w14:paraId="21DC8CFF">
            <w:pPr>
              <w:contextualSpacing/>
              <w:rPr>
                <w:color w:val="000000"/>
                <w:szCs w:val="21"/>
                <w:highlight w:val="none"/>
              </w:rPr>
            </w:pPr>
            <w:r>
              <w:rPr>
                <w:b/>
                <w:bCs/>
                <w:color w:val="000000"/>
                <w:szCs w:val="21"/>
                <w:highlight w:val="none"/>
              </w:rPr>
              <w:t>合同编号</w:t>
            </w:r>
            <w:r>
              <w:rPr>
                <w:color w:val="000000"/>
                <w:szCs w:val="21"/>
                <w:highlight w:val="none"/>
              </w:rPr>
              <w:t>：CGZX-***</w:t>
            </w:r>
          </w:p>
          <w:p w14:paraId="68A24AEA">
            <w:pP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0AEB253B">
        <w:tblPrEx>
          <w:tblCellMar>
            <w:top w:w="0" w:type="dxa"/>
            <w:left w:w="0" w:type="dxa"/>
            <w:bottom w:w="0" w:type="dxa"/>
            <w:right w:w="0" w:type="dxa"/>
          </w:tblCellMar>
        </w:tblPrEx>
        <w:trPr>
          <w:jc w:val="center"/>
        </w:trPr>
        <w:tc>
          <w:tcPr>
            <w:tcW w:w="4962" w:type="dxa"/>
          </w:tcPr>
          <w:p w14:paraId="0FC2F075">
            <w:pPr>
              <w:rPr>
                <w:szCs w:val="21"/>
                <w:highlight w:val="none"/>
              </w:rPr>
            </w:pPr>
            <w:r>
              <w:rPr>
                <w:b/>
                <w:bCs/>
                <w:szCs w:val="21"/>
                <w:highlight w:val="none"/>
              </w:rPr>
              <w:t>采购人（以下简称甲方）</w:t>
            </w:r>
            <w:r>
              <w:rPr>
                <w:szCs w:val="21"/>
                <w:highlight w:val="none"/>
              </w:rPr>
              <w:t>：四川省人民医院</w:t>
            </w:r>
          </w:p>
          <w:p w14:paraId="4E605A9F">
            <w:pPr>
              <w:rPr>
                <w:szCs w:val="21"/>
                <w:highlight w:val="none"/>
              </w:rPr>
            </w:pPr>
            <w:r>
              <w:rPr>
                <w:b/>
                <w:bCs/>
                <w:szCs w:val="21"/>
                <w:highlight w:val="none"/>
              </w:rPr>
              <w:t>地址</w:t>
            </w:r>
            <w:r>
              <w:rPr>
                <w:szCs w:val="21"/>
                <w:highlight w:val="none"/>
              </w:rPr>
              <w:t>：四川省成都市一环路西二段32号</w:t>
            </w:r>
          </w:p>
          <w:p w14:paraId="77DC6116">
            <w:pPr>
              <w:rPr>
                <w:highlight w:val="none"/>
              </w:rPr>
            </w:pPr>
            <w:r>
              <w:rPr>
                <w:b/>
                <w:bCs/>
                <w:highlight w:val="none"/>
              </w:rPr>
              <w:t>项目联系人</w:t>
            </w:r>
            <w:r>
              <w:rPr>
                <w:highlight w:val="none"/>
              </w:rPr>
              <w:t xml:space="preserve">：*** </w:t>
            </w:r>
            <w:r>
              <w:rPr>
                <w:b/>
                <w:bCs/>
                <w:highlight w:val="none"/>
              </w:rPr>
              <w:t>电话</w:t>
            </w:r>
            <w:r>
              <w:rPr>
                <w:highlight w:val="none"/>
              </w:rPr>
              <w:t>：***</w:t>
            </w:r>
          </w:p>
          <w:p w14:paraId="7544D7EB">
            <w:pPr>
              <w:rPr>
                <w:highlight w:val="none"/>
              </w:rPr>
            </w:pPr>
            <w:r>
              <w:rPr>
                <w:rFonts w:hint="eastAsia"/>
                <w:b/>
                <w:bCs/>
                <w:highlight w:val="none"/>
              </w:rPr>
              <w:t>电子邮件：</w:t>
            </w:r>
            <w:r>
              <w:rPr>
                <w:rFonts w:hint="eastAsia"/>
                <w:highlight w:val="none"/>
              </w:rPr>
              <w:t>*</w:t>
            </w:r>
            <w:r>
              <w:rPr>
                <w:highlight w:val="none"/>
              </w:rPr>
              <w:t>**</w:t>
            </w:r>
          </w:p>
        </w:tc>
        <w:tc>
          <w:tcPr>
            <w:tcW w:w="5242" w:type="dxa"/>
          </w:tcPr>
          <w:p w14:paraId="2379752E">
            <w:pPr>
              <w:rPr>
                <w:szCs w:val="21"/>
                <w:highlight w:val="none"/>
              </w:rPr>
            </w:pPr>
            <w:r>
              <w:rPr>
                <w:b/>
                <w:bCs/>
                <w:szCs w:val="21"/>
                <w:highlight w:val="none"/>
              </w:rPr>
              <w:t>供应商（以下简称乙方）</w:t>
            </w:r>
            <w:r>
              <w:rPr>
                <w:szCs w:val="21"/>
                <w:highlight w:val="none"/>
              </w:rPr>
              <w:t>：***</w:t>
            </w:r>
          </w:p>
          <w:p w14:paraId="69279B06">
            <w:pPr>
              <w:rPr>
                <w:szCs w:val="21"/>
                <w:highlight w:val="none"/>
              </w:rPr>
            </w:pPr>
            <w:r>
              <w:rPr>
                <w:b/>
                <w:bCs/>
                <w:szCs w:val="21"/>
                <w:highlight w:val="none"/>
              </w:rPr>
              <w:t>地址</w:t>
            </w:r>
            <w:r>
              <w:rPr>
                <w:szCs w:val="21"/>
                <w:highlight w:val="none"/>
              </w:rPr>
              <w:t>：***</w:t>
            </w:r>
          </w:p>
          <w:p w14:paraId="5B1F8559">
            <w:pPr>
              <w:rPr>
                <w:szCs w:val="21"/>
                <w:highlight w:val="none"/>
              </w:rPr>
            </w:pPr>
            <w:r>
              <w:rPr>
                <w:b/>
                <w:bCs/>
                <w:szCs w:val="21"/>
                <w:highlight w:val="none"/>
              </w:rPr>
              <w:t>移动电话</w:t>
            </w:r>
            <w:r>
              <w:rPr>
                <w:szCs w:val="21"/>
                <w:highlight w:val="none"/>
              </w:rPr>
              <w:t>：***</w:t>
            </w:r>
          </w:p>
          <w:p w14:paraId="31B2B960">
            <w:pPr>
              <w:contextualSpacing/>
              <w:rPr>
                <w:szCs w:val="21"/>
                <w:highlight w:val="none"/>
              </w:rPr>
            </w:pPr>
            <w:r>
              <w:rPr>
                <w:b/>
                <w:bCs/>
                <w:szCs w:val="21"/>
                <w:highlight w:val="none"/>
              </w:rPr>
              <w:t>联系人</w:t>
            </w:r>
            <w:r>
              <w:rPr>
                <w:szCs w:val="21"/>
                <w:highlight w:val="none"/>
              </w:rPr>
              <w:t>：***</w:t>
            </w:r>
          </w:p>
          <w:p w14:paraId="3153CD1A">
            <w:pPr>
              <w:rPr>
                <w:highlight w:val="none"/>
              </w:rPr>
            </w:pPr>
            <w:r>
              <w:rPr>
                <w:rFonts w:hint="eastAsia"/>
                <w:b/>
                <w:bCs/>
                <w:highlight w:val="none"/>
              </w:rPr>
              <w:t>电子邮件：</w:t>
            </w:r>
            <w:r>
              <w:rPr>
                <w:rFonts w:hint="eastAsia"/>
                <w:highlight w:val="none"/>
              </w:rPr>
              <w:t>*</w:t>
            </w:r>
            <w:r>
              <w:rPr>
                <w:highlight w:val="none"/>
              </w:rPr>
              <w:t>**</w:t>
            </w:r>
          </w:p>
        </w:tc>
      </w:tr>
    </w:tbl>
    <w:p w14:paraId="6298CEF1">
      <w:pPr>
        <w:ind w:firstLine="420" w:firstLineChars="200"/>
        <w:contextualSpacing/>
        <w:jc w:val="left"/>
        <w:rPr>
          <w:color w:val="000000"/>
          <w:szCs w:val="21"/>
          <w:highlight w:val="none"/>
        </w:rPr>
      </w:pPr>
    </w:p>
    <w:p w14:paraId="64664868">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53D56D5F">
      <w:pPr>
        <w:contextualSpacing/>
        <w:jc w:val="left"/>
        <w:rPr>
          <w:b/>
          <w:szCs w:val="21"/>
          <w:highlight w:val="none"/>
        </w:rPr>
      </w:pPr>
    </w:p>
    <w:p w14:paraId="54DA61A7">
      <w:pPr>
        <w:pStyle w:val="29"/>
        <w:numPr>
          <w:ilvl w:val="0"/>
          <w:numId w:val="12"/>
        </w:numPr>
        <w:ind w:left="0" w:firstLine="0" w:firstLineChars="0"/>
        <w:contextualSpacing/>
        <w:jc w:val="left"/>
        <w:rPr>
          <w:b/>
          <w:szCs w:val="21"/>
          <w:highlight w:val="none"/>
        </w:rPr>
      </w:pPr>
      <w:r>
        <w:rPr>
          <w:b/>
          <w:szCs w:val="21"/>
          <w:highlight w:val="none"/>
        </w:rPr>
        <w:t>合同标的</w:t>
      </w:r>
    </w:p>
    <w:p w14:paraId="699D3885">
      <w:pPr>
        <w:pStyle w:val="9"/>
        <w:numPr>
          <w:ilvl w:val="0"/>
          <w:numId w:val="13"/>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0E40E496">
      <w:pPr>
        <w:pStyle w:val="9"/>
        <w:numPr>
          <w:ilvl w:val="0"/>
          <w:numId w:val="13"/>
        </w:numPr>
        <w:spacing w:after="0" w:line="240" w:lineRule="auto"/>
        <w:ind w:left="210" w:leftChars="0" w:hanging="210" w:hangingChars="100"/>
        <w:contextualSpacing/>
        <w:jc w:val="left"/>
        <w:rPr>
          <w:szCs w:val="21"/>
          <w:highlight w:val="none"/>
        </w:rPr>
      </w:pPr>
      <w:r>
        <w:rPr>
          <w:szCs w:val="21"/>
          <w:highlight w:val="none"/>
        </w:rPr>
        <w:t>维保服务涉及的</w:t>
      </w:r>
      <w:r>
        <w:rPr>
          <w:rFonts w:hint="eastAsia"/>
          <w:szCs w:val="21"/>
          <w:highlight w:val="none"/>
        </w:rPr>
        <w:t>分项明细</w:t>
      </w:r>
      <w:r>
        <w:rPr>
          <w:szCs w:val="21"/>
          <w:highlight w:val="none"/>
        </w:rPr>
        <w:t>（如设备为医疗器械，则以下表格中填写的相关内容均须与医疗器械注册证或备案证信息保持一致）。</w:t>
      </w:r>
      <w:r>
        <w:rPr>
          <w:rFonts w:hint="eastAsia"/>
          <w:i/>
          <w:iCs/>
          <w:color w:val="000000"/>
          <w:szCs w:val="21"/>
          <w:highlight w:val="none"/>
          <w:lang w:val="zh-CN"/>
        </w:rPr>
        <w:t>&lt;根据项目实际情况调整&gt;</w:t>
      </w:r>
    </w:p>
    <w:tbl>
      <w:tblPr>
        <w:tblStyle w:val="18"/>
        <w:tblW w:w="5000" w:type="pct"/>
        <w:jc w:val="center"/>
        <w:tblLayout w:type="fixed"/>
        <w:tblCellMar>
          <w:top w:w="0" w:type="dxa"/>
          <w:left w:w="0" w:type="dxa"/>
          <w:bottom w:w="0" w:type="dxa"/>
          <w:right w:w="0" w:type="dxa"/>
        </w:tblCellMar>
      </w:tblPr>
      <w:tblGrid>
        <w:gridCol w:w="421"/>
        <w:gridCol w:w="1846"/>
        <w:gridCol w:w="1850"/>
        <w:gridCol w:w="1423"/>
        <w:gridCol w:w="1423"/>
        <w:gridCol w:w="1137"/>
        <w:gridCol w:w="1554"/>
      </w:tblGrid>
      <w:tr w14:paraId="40D8F8B3">
        <w:tblPrEx>
          <w:tblCellMar>
            <w:top w:w="0" w:type="dxa"/>
            <w:left w:w="0" w:type="dxa"/>
            <w:bottom w:w="0" w:type="dxa"/>
            <w:right w:w="0" w:type="dxa"/>
          </w:tblCellMar>
        </w:tblPrEx>
        <w:trPr>
          <w:cantSplit/>
          <w:trHeight w:val="495" w:hRule="atLeast"/>
          <w:jc w:val="center"/>
        </w:trPr>
        <w:tc>
          <w:tcPr>
            <w:tcW w:w="218" w:type="pct"/>
            <w:tcBorders>
              <w:top w:val="single" w:color="auto" w:sz="6" w:space="0"/>
              <w:left w:val="single" w:color="auto" w:sz="6" w:space="0"/>
              <w:bottom w:val="single" w:color="auto" w:sz="6" w:space="0"/>
              <w:right w:val="single" w:color="auto" w:sz="6" w:space="0"/>
            </w:tcBorders>
            <w:vAlign w:val="center"/>
          </w:tcPr>
          <w:p w14:paraId="3D995F45">
            <w:pPr>
              <w:autoSpaceDE w:val="0"/>
              <w:autoSpaceDN w:val="0"/>
              <w:adjustRightInd w:val="0"/>
              <w:contextualSpacing/>
              <w:jc w:val="center"/>
              <w:rPr>
                <w:b/>
                <w:bCs/>
                <w:sz w:val="18"/>
                <w:szCs w:val="18"/>
                <w:highlight w:val="none"/>
              </w:rPr>
            </w:pPr>
            <w:permStart w:id="2" w:edGrp="everyone"/>
            <w:r>
              <w:rPr>
                <w:b/>
                <w:bCs/>
                <w:sz w:val="18"/>
                <w:szCs w:val="18"/>
                <w:highlight w:val="none"/>
              </w:rPr>
              <w:t>序号</w:t>
            </w:r>
          </w:p>
        </w:tc>
        <w:tc>
          <w:tcPr>
            <w:tcW w:w="956" w:type="pct"/>
            <w:tcBorders>
              <w:top w:val="single" w:color="auto" w:sz="6" w:space="0"/>
              <w:left w:val="single" w:color="auto" w:sz="6" w:space="0"/>
              <w:bottom w:val="single" w:color="auto" w:sz="6" w:space="0"/>
              <w:right w:val="single" w:color="auto" w:sz="4" w:space="0"/>
            </w:tcBorders>
            <w:vAlign w:val="center"/>
          </w:tcPr>
          <w:p w14:paraId="04730E47">
            <w:pPr>
              <w:autoSpaceDE w:val="0"/>
              <w:autoSpaceDN w:val="0"/>
              <w:adjustRightInd w:val="0"/>
              <w:contextualSpacing/>
              <w:jc w:val="center"/>
              <w:rPr>
                <w:b/>
                <w:bCs/>
                <w:sz w:val="18"/>
                <w:szCs w:val="18"/>
                <w:highlight w:val="none"/>
              </w:rPr>
            </w:pPr>
            <w:r>
              <w:rPr>
                <w:b/>
                <w:bCs/>
                <w:sz w:val="18"/>
                <w:szCs w:val="18"/>
                <w:highlight w:val="none"/>
              </w:rPr>
              <w:t>设备名称</w:t>
            </w:r>
          </w:p>
        </w:tc>
        <w:tc>
          <w:tcPr>
            <w:tcW w:w="958" w:type="pct"/>
            <w:tcBorders>
              <w:top w:val="single" w:color="auto" w:sz="6" w:space="0"/>
              <w:left w:val="single" w:color="auto" w:sz="4" w:space="0"/>
              <w:bottom w:val="single" w:color="auto" w:sz="6" w:space="0"/>
              <w:right w:val="single" w:color="auto" w:sz="4" w:space="0"/>
            </w:tcBorders>
            <w:vAlign w:val="center"/>
          </w:tcPr>
          <w:p w14:paraId="39FEE13F">
            <w:pPr>
              <w:autoSpaceDE w:val="0"/>
              <w:autoSpaceDN w:val="0"/>
              <w:adjustRightInd w:val="0"/>
              <w:contextualSpacing/>
              <w:jc w:val="center"/>
              <w:rPr>
                <w:b/>
                <w:bCs/>
                <w:sz w:val="18"/>
                <w:szCs w:val="18"/>
                <w:highlight w:val="none"/>
              </w:rPr>
            </w:pPr>
            <w:r>
              <w:rPr>
                <w:b/>
                <w:bCs/>
                <w:sz w:val="18"/>
                <w:szCs w:val="18"/>
                <w:highlight w:val="none"/>
              </w:rPr>
              <w:t>生产厂家</w:t>
            </w:r>
          </w:p>
        </w:tc>
        <w:tc>
          <w:tcPr>
            <w:tcW w:w="737" w:type="pct"/>
            <w:tcBorders>
              <w:top w:val="single" w:color="auto" w:sz="6" w:space="0"/>
              <w:left w:val="single" w:color="auto" w:sz="4" w:space="0"/>
              <w:bottom w:val="single" w:color="auto" w:sz="6" w:space="0"/>
              <w:right w:val="single" w:color="auto" w:sz="6" w:space="0"/>
            </w:tcBorders>
            <w:vAlign w:val="center"/>
          </w:tcPr>
          <w:p w14:paraId="595DF2C0">
            <w:pPr>
              <w:autoSpaceDE w:val="0"/>
              <w:autoSpaceDN w:val="0"/>
              <w:adjustRightInd w:val="0"/>
              <w:contextualSpacing/>
              <w:jc w:val="center"/>
              <w:rPr>
                <w:b/>
                <w:bCs/>
                <w:sz w:val="18"/>
                <w:szCs w:val="18"/>
                <w:highlight w:val="none"/>
              </w:rPr>
            </w:pPr>
            <w:r>
              <w:rPr>
                <w:b/>
                <w:bCs/>
                <w:sz w:val="18"/>
                <w:szCs w:val="18"/>
                <w:highlight w:val="none"/>
              </w:rPr>
              <w:t>型号规格</w:t>
            </w:r>
          </w:p>
        </w:tc>
        <w:tc>
          <w:tcPr>
            <w:tcW w:w="737" w:type="pct"/>
            <w:tcBorders>
              <w:top w:val="single" w:color="auto" w:sz="6" w:space="0"/>
              <w:left w:val="single" w:color="auto" w:sz="6" w:space="0"/>
              <w:bottom w:val="single" w:color="auto" w:sz="6" w:space="0"/>
              <w:right w:val="single" w:color="auto" w:sz="6" w:space="0"/>
            </w:tcBorders>
            <w:vAlign w:val="center"/>
          </w:tcPr>
          <w:p w14:paraId="63EAC627">
            <w:pPr>
              <w:autoSpaceDE w:val="0"/>
              <w:autoSpaceDN w:val="0"/>
              <w:adjustRightInd w:val="0"/>
              <w:contextualSpacing/>
              <w:jc w:val="center"/>
              <w:rPr>
                <w:b/>
                <w:bCs/>
                <w:sz w:val="18"/>
                <w:szCs w:val="18"/>
                <w:highlight w:val="none"/>
              </w:rPr>
            </w:pPr>
            <w:r>
              <w:rPr>
                <w:b/>
                <w:bCs/>
                <w:sz w:val="18"/>
                <w:szCs w:val="18"/>
                <w:highlight w:val="none"/>
              </w:rPr>
              <w:t>机身号</w:t>
            </w:r>
          </w:p>
        </w:tc>
        <w:tc>
          <w:tcPr>
            <w:tcW w:w="589" w:type="pct"/>
            <w:tcBorders>
              <w:top w:val="single" w:color="auto" w:sz="6" w:space="0"/>
              <w:left w:val="single" w:color="auto" w:sz="6" w:space="0"/>
              <w:bottom w:val="single" w:color="auto" w:sz="6" w:space="0"/>
              <w:right w:val="single" w:color="auto" w:sz="6" w:space="0"/>
            </w:tcBorders>
            <w:vAlign w:val="center"/>
          </w:tcPr>
          <w:p w14:paraId="4A661E72">
            <w:pPr>
              <w:autoSpaceDE w:val="0"/>
              <w:autoSpaceDN w:val="0"/>
              <w:adjustRightInd w:val="0"/>
              <w:contextualSpacing/>
              <w:jc w:val="center"/>
              <w:rPr>
                <w:b/>
                <w:bCs/>
                <w:sz w:val="18"/>
                <w:szCs w:val="18"/>
                <w:highlight w:val="none"/>
              </w:rPr>
            </w:pPr>
            <w:r>
              <w:rPr>
                <w:rFonts w:hint="eastAsia"/>
                <w:b/>
                <w:bCs/>
                <w:sz w:val="18"/>
                <w:szCs w:val="18"/>
                <w:highlight w:val="none"/>
              </w:rPr>
              <w:t>维保分项价格（万元）</w:t>
            </w:r>
          </w:p>
        </w:tc>
        <w:tc>
          <w:tcPr>
            <w:tcW w:w="805" w:type="pct"/>
            <w:tcBorders>
              <w:top w:val="single" w:color="auto" w:sz="6" w:space="0"/>
              <w:left w:val="single" w:color="auto" w:sz="6" w:space="0"/>
              <w:bottom w:val="single" w:color="auto" w:sz="6" w:space="0"/>
              <w:right w:val="single" w:color="auto" w:sz="6" w:space="0"/>
            </w:tcBorders>
            <w:vAlign w:val="center"/>
          </w:tcPr>
          <w:p w14:paraId="188F10F9">
            <w:pPr>
              <w:autoSpaceDE w:val="0"/>
              <w:autoSpaceDN w:val="0"/>
              <w:adjustRightInd w:val="0"/>
              <w:contextualSpacing/>
              <w:jc w:val="center"/>
              <w:rPr>
                <w:b/>
                <w:bCs/>
                <w:sz w:val="18"/>
                <w:szCs w:val="18"/>
                <w:highlight w:val="none"/>
              </w:rPr>
            </w:pPr>
            <w:r>
              <w:rPr>
                <w:rFonts w:hint="eastAsia"/>
                <w:b/>
                <w:bCs/>
                <w:sz w:val="18"/>
                <w:szCs w:val="18"/>
                <w:highlight w:val="none"/>
              </w:rPr>
              <w:t>备注</w:t>
            </w:r>
          </w:p>
        </w:tc>
      </w:tr>
      <w:tr w14:paraId="437166B1">
        <w:tblPrEx>
          <w:tblCellMar>
            <w:top w:w="0" w:type="dxa"/>
            <w:left w:w="0" w:type="dxa"/>
            <w:bottom w:w="0" w:type="dxa"/>
            <w:right w:w="0" w:type="dxa"/>
          </w:tblCellMar>
        </w:tblPrEx>
        <w:trPr>
          <w:cantSplit/>
          <w:trHeight w:val="767" w:hRule="atLeast"/>
          <w:jc w:val="center"/>
        </w:trPr>
        <w:tc>
          <w:tcPr>
            <w:tcW w:w="218" w:type="pct"/>
            <w:tcBorders>
              <w:top w:val="single" w:color="auto" w:sz="6" w:space="0"/>
              <w:left w:val="single" w:color="auto" w:sz="6" w:space="0"/>
              <w:bottom w:val="single" w:color="auto" w:sz="6" w:space="0"/>
              <w:right w:val="single" w:color="auto" w:sz="6" w:space="0"/>
            </w:tcBorders>
            <w:vAlign w:val="center"/>
          </w:tcPr>
          <w:p w14:paraId="6896F83D">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1</w:t>
            </w:r>
          </w:p>
        </w:tc>
        <w:tc>
          <w:tcPr>
            <w:tcW w:w="956" w:type="pct"/>
            <w:tcBorders>
              <w:top w:val="single" w:color="auto" w:sz="6" w:space="0"/>
              <w:left w:val="single" w:color="auto" w:sz="6" w:space="0"/>
              <w:bottom w:val="single" w:color="auto" w:sz="6" w:space="0"/>
              <w:right w:val="single" w:color="auto" w:sz="4" w:space="0"/>
            </w:tcBorders>
            <w:vAlign w:val="center"/>
          </w:tcPr>
          <w:p w14:paraId="41C9F670">
            <w:pPr>
              <w:autoSpaceDE w:val="0"/>
              <w:autoSpaceDN w:val="0"/>
              <w:adjustRightInd w:val="0"/>
              <w:contextualSpacing/>
              <w:rPr>
                <w:rFonts w:eastAsiaTheme="minorEastAsia"/>
                <w:sz w:val="18"/>
                <w:szCs w:val="18"/>
                <w:highlight w:val="none"/>
              </w:rPr>
            </w:pPr>
            <w:r>
              <w:rPr>
                <w:rFonts w:eastAsiaTheme="minorEastAsia"/>
                <w:sz w:val="18"/>
                <w:szCs w:val="18"/>
                <w:highlight w:val="none"/>
              </w:rPr>
              <w:t>***</w:t>
            </w:r>
          </w:p>
        </w:tc>
        <w:tc>
          <w:tcPr>
            <w:tcW w:w="958" w:type="pct"/>
            <w:tcBorders>
              <w:top w:val="single" w:color="auto" w:sz="6" w:space="0"/>
              <w:left w:val="single" w:color="auto" w:sz="4" w:space="0"/>
              <w:bottom w:val="single" w:color="auto" w:sz="6" w:space="0"/>
              <w:right w:val="single" w:color="auto" w:sz="4" w:space="0"/>
            </w:tcBorders>
            <w:vAlign w:val="center"/>
          </w:tcPr>
          <w:p w14:paraId="1DE2D01C">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737" w:type="pct"/>
            <w:tcBorders>
              <w:top w:val="single" w:color="auto" w:sz="6" w:space="0"/>
              <w:left w:val="single" w:color="auto" w:sz="4" w:space="0"/>
              <w:bottom w:val="single" w:color="auto" w:sz="6" w:space="0"/>
              <w:right w:val="single" w:color="auto" w:sz="6" w:space="0"/>
            </w:tcBorders>
            <w:vAlign w:val="center"/>
          </w:tcPr>
          <w:p w14:paraId="3EBCC4F6">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737" w:type="pct"/>
            <w:tcBorders>
              <w:top w:val="single" w:color="auto" w:sz="6" w:space="0"/>
              <w:left w:val="single" w:color="auto" w:sz="6" w:space="0"/>
              <w:bottom w:val="single" w:color="auto" w:sz="6" w:space="0"/>
              <w:right w:val="single" w:color="auto" w:sz="6" w:space="0"/>
            </w:tcBorders>
            <w:vAlign w:val="center"/>
          </w:tcPr>
          <w:p w14:paraId="0D4BD898">
            <w:pPr>
              <w:autoSpaceDE w:val="0"/>
              <w:autoSpaceDN w:val="0"/>
              <w:adjustRightInd w:val="0"/>
              <w:contextualSpacing/>
              <w:jc w:val="center"/>
              <w:rPr>
                <w:rFonts w:eastAsiaTheme="minorEastAsia"/>
                <w:sz w:val="18"/>
                <w:szCs w:val="18"/>
                <w:highlight w:val="none"/>
              </w:rPr>
            </w:pPr>
            <w:r>
              <w:rPr>
                <w:rFonts w:eastAsiaTheme="minorEastAsia"/>
                <w:sz w:val="18"/>
                <w:szCs w:val="18"/>
                <w:highlight w:val="none"/>
              </w:rPr>
              <w:t>***</w:t>
            </w:r>
          </w:p>
        </w:tc>
        <w:tc>
          <w:tcPr>
            <w:tcW w:w="589" w:type="pct"/>
            <w:tcBorders>
              <w:top w:val="single" w:color="auto" w:sz="6" w:space="0"/>
              <w:left w:val="single" w:color="auto" w:sz="6" w:space="0"/>
              <w:bottom w:val="single" w:color="auto" w:sz="6" w:space="0"/>
              <w:right w:val="single" w:color="auto" w:sz="6" w:space="0"/>
            </w:tcBorders>
            <w:vAlign w:val="center"/>
          </w:tcPr>
          <w:p w14:paraId="283C23C7">
            <w:pPr>
              <w:autoSpaceDE w:val="0"/>
              <w:autoSpaceDN w:val="0"/>
              <w:adjustRightInd w:val="0"/>
              <w:contextualSpacing/>
              <w:jc w:val="center"/>
              <w:rPr>
                <w:rFonts w:eastAsiaTheme="minorEastAsia"/>
                <w:sz w:val="18"/>
                <w:szCs w:val="18"/>
                <w:highlight w:val="none"/>
              </w:rPr>
            </w:pPr>
          </w:p>
        </w:tc>
        <w:tc>
          <w:tcPr>
            <w:tcW w:w="805" w:type="pct"/>
            <w:tcBorders>
              <w:top w:val="single" w:color="auto" w:sz="6" w:space="0"/>
              <w:left w:val="single" w:color="auto" w:sz="6" w:space="0"/>
              <w:bottom w:val="single" w:color="auto" w:sz="6" w:space="0"/>
              <w:right w:val="single" w:color="auto" w:sz="6" w:space="0"/>
            </w:tcBorders>
            <w:vAlign w:val="center"/>
          </w:tcPr>
          <w:p w14:paraId="082DEA59">
            <w:pPr>
              <w:autoSpaceDE w:val="0"/>
              <w:autoSpaceDN w:val="0"/>
              <w:adjustRightInd w:val="0"/>
              <w:contextualSpacing/>
              <w:jc w:val="center"/>
              <w:rPr>
                <w:rFonts w:eastAsiaTheme="minorEastAsia"/>
                <w:sz w:val="18"/>
                <w:szCs w:val="18"/>
                <w:highlight w:val="none"/>
              </w:rPr>
            </w:pPr>
          </w:p>
        </w:tc>
      </w:tr>
      <w:permEnd w:id="2"/>
    </w:tbl>
    <w:p w14:paraId="7B0F036E">
      <w:pPr>
        <w:contextualSpacing/>
        <w:jc w:val="left"/>
        <w:rPr>
          <w:b/>
          <w:szCs w:val="21"/>
          <w:highlight w:val="none"/>
        </w:rPr>
      </w:pPr>
      <w:r>
        <w:rPr>
          <w:bCs/>
          <w:szCs w:val="21"/>
          <w:highlight w:val="none"/>
        </w:rPr>
        <w:t>合计：*** 台（件）</w:t>
      </w:r>
    </w:p>
    <w:p w14:paraId="454934A5">
      <w:pPr>
        <w:pStyle w:val="29"/>
        <w:numPr>
          <w:ilvl w:val="0"/>
          <w:numId w:val="12"/>
        </w:numPr>
        <w:ind w:firstLineChars="0"/>
        <w:jc w:val="left"/>
        <w:rPr>
          <w:b/>
          <w:szCs w:val="21"/>
          <w:highlight w:val="none"/>
        </w:rPr>
      </w:pPr>
      <w:r>
        <w:rPr>
          <w:b/>
          <w:szCs w:val="21"/>
          <w:highlight w:val="none"/>
        </w:rPr>
        <w:t>合同总价</w:t>
      </w:r>
    </w:p>
    <w:p w14:paraId="104BA356">
      <w:pPr>
        <w:ind w:firstLine="480"/>
        <w:contextualSpacing/>
        <w:jc w:val="left"/>
        <w:rPr>
          <w:szCs w:val="21"/>
          <w:highlight w:val="none"/>
        </w:rPr>
      </w:pPr>
      <w:r>
        <w:rPr>
          <w:color w:val="000000"/>
          <w:szCs w:val="21"/>
          <w:highlight w:val="none"/>
        </w:rPr>
        <w:sym w:font="Wingdings 2" w:char="F052"/>
      </w:r>
      <w:r>
        <w:rPr>
          <w:rFonts w:hint="eastAsia"/>
          <w:szCs w:val="21"/>
          <w:highlight w:val="none"/>
        </w:rPr>
        <w:t>全包服务</w:t>
      </w:r>
    </w:p>
    <w:p w14:paraId="68E471BF">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58B1F470">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60AB174F">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7" w:name="OLE_LINK28"/>
      <w:r>
        <w:rPr>
          <w:szCs w:val="21"/>
          <w:highlight w:val="none"/>
        </w:rPr>
        <w:t>人民币大写：*** 圆整，即RMB *** 元</w:t>
      </w:r>
      <w:bookmarkEnd w:id="97"/>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13BDD838">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3A336C53">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78BB9147">
      <w:pPr>
        <w:ind w:left="420" w:leftChars="200" w:firstLine="420" w:firstLineChars="200"/>
        <w:contextualSpacing/>
        <w:jc w:val="left"/>
        <w:rPr>
          <w:bCs/>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69AF7829">
      <w:pPr>
        <w:pStyle w:val="29"/>
        <w:numPr>
          <w:ilvl w:val="0"/>
          <w:numId w:val="12"/>
        </w:numPr>
        <w:ind w:left="0" w:firstLine="0" w:firstLineChars="0"/>
        <w:jc w:val="left"/>
        <w:rPr>
          <w:b/>
          <w:szCs w:val="21"/>
          <w:highlight w:val="none"/>
        </w:rPr>
      </w:pPr>
      <w:r>
        <w:rPr>
          <w:b/>
          <w:szCs w:val="21"/>
          <w:highlight w:val="none"/>
        </w:rPr>
        <w:t>设备维保服务期限</w:t>
      </w:r>
      <w:r>
        <w:rPr>
          <w:i/>
          <w:iCs/>
          <w:szCs w:val="21"/>
          <w:highlight w:val="none"/>
        </w:rPr>
        <w:t>&lt;根据项目实际情况选择&gt;</w:t>
      </w:r>
    </w:p>
    <w:p w14:paraId="5793DA3A">
      <w:pPr>
        <w:pStyle w:val="29"/>
        <w:jc w:val="left"/>
        <w:rPr>
          <w:bCs/>
          <w:szCs w:val="21"/>
          <w:highlight w:val="none"/>
        </w:rPr>
      </w:pPr>
      <w:r>
        <w:rPr>
          <w:bCs/>
          <w:szCs w:val="21"/>
          <w:highlight w:val="none"/>
        </w:rPr>
        <w:t xml:space="preserve">本合同维保服务期限为 </w:t>
      </w:r>
      <w:permStart w:id="3" w:edGrp="everyone"/>
      <w:r>
        <w:rPr>
          <w:bCs/>
          <w:szCs w:val="21"/>
          <w:highlight w:val="none"/>
        </w:rPr>
        <w:t>***</w:t>
      </w:r>
      <w:permEnd w:id="3"/>
      <w:r>
        <w:rPr>
          <w:bCs/>
          <w:szCs w:val="21"/>
          <w:highlight w:val="none"/>
        </w:rPr>
        <w:t xml:space="preserve"> 年，自 </w:t>
      </w:r>
      <w:permStart w:id="4" w:edGrp="everyone"/>
      <w:r>
        <w:rPr>
          <w:bCs/>
          <w:szCs w:val="21"/>
          <w:highlight w:val="none"/>
        </w:rPr>
        <w:t>***</w:t>
      </w:r>
      <w:permEnd w:id="4"/>
      <w:r>
        <w:rPr>
          <w:bCs/>
          <w:szCs w:val="21"/>
          <w:highlight w:val="none"/>
        </w:rPr>
        <w:t xml:space="preserve"> 年 </w:t>
      </w:r>
      <w:permStart w:id="5" w:edGrp="everyone"/>
      <w:r>
        <w:rPr>
          <w:bCs/>
          <w:szCs w:val="21"/>
          <w:highlight w:val="none"/>
        </w:rPr>
        <w:t>***</w:t>
      </w:r>
      <w:permEnd w:id="5"/>
      <w:r>
        <w:rPr>
          <w:bCs/>
          <w:szCs w:val="21"/>
          <w:highlight w:val="none"/>
        </w:rPr>
        <w:t xml:space="preserve"> 月 </w:t>
      </w:r>
      <w:permStart w:id="6" w:edGrp="everyone"/>
      <w:r>
        <w:rPr>
          <w:bCs/>
          <w:szCs w:val="21"/>
          <w:highlight w:val="none"/>
        </w:rPr>
        <w:t>***</w:t>
      </w:r>
      <w:permEnd w:id="6"/>
      <w:r>
        <w:rPr>
          <w:bCs/>
          <w:szCs w:val="21"/>
          <w:highlight w:val="none"/>
        </w:rPr>
        <w:t xml:space="preserve"> 日起至 </w:t>
      </w:r>
      <w:permStart w:id="7" w:edGrp="everyone"/>
      <w:r>
        <w:rPr>
          <w:bCs/>
          <w:szCs w:val="21"/>
          <w:highlight w:val="none"/>
        </w:rPr>
        <w:t>***</w:t>
      </w:r>
      <w:permEnd w:id="7"/>
      <w:r>
        <w:rPr>
          <w:bCs/>
          <w:szCs w:val="21"/>
          <w:highlight w:val="none"/>
        </w:rPr>
        <w:t xml:space="preserve"> 年 </w:t>
      </w:r>
      <w:permStart w:id="8" w:edGrp="everyone"/>
      <w:r>
        <w:rPr>
          <w:bCs/>
          <w:szCs w:val="21"/>
          <w:highlight w:val="none"/>
        </w:rPr>
        <w:t>***</w:t>
      </w:r>
      <w:permEnd w:id="8"/>
      <w:r>
        <w:rPr>
          <w:bCs/>
          <w:szCs w:val="21"/>
          <w:highlight w:val="none"/>
        </w:rPr>
        <w:t xml:space="preserve"> 月 </w:t>
      </w:r>
      <w:permStart w:id="9" w:edGrp="everyone"/>
      <w:r>
        <w:rPr>
          <w:bCs/>
          <w:szCs w:val="21"/>
          <w:highlight w:val="none"/>
        </w:rPr>
        <w:t>***</w:t>
      </w:r>
      <w:permEnd w:id="9"/>
      <w:r>
        <w:rPr>
          <w:bCs/>
          <w:szCs w:val="21"/>
          <w:highlight w:val="none"/>
        </w:rPr>
        <w:t xml:space="preserve"> 日。</w:t>
      </w:r>
    </w:p>
    <w:p w14:paraId="217E81C9">
      <w:pPr>
        <w:pStyle w:val="29"/>
        <w:jc w:val="left"/>
        <w:rPr>
          <w:bCs/>
          <w:szCs w:val="21"/>
          <w:highlight w:val="none"/>
        </w:rPr>
      </w:pPr>
    </w:p>
    <w:p w14:paraId="09435850">
      <w:pPr>
        <w:pStyle w:val="29"/>
        <w:ind w:left="105" w:leftChars="50" w:firstLine="315" w:firstLineChars="150"/>
        <w:jc w:val="left"/>
        <w:rPr>
          <w:b/>
          <w:szCs w:val="21"/>
          <w:highlight w:val="none"/>
        </w:rPr>
      </w:pP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8"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8"/>
      <w:r>
        <w:rPr>
          <w:bCs/>
          <w:szCs w:val="21"/>
          <w:highlight w:val="none"/>
        </w:rPr>
        <w:t>。</w:t>
      </w:r>
    </w:p>
    <w:p w14:paraId="54F56EF5">
      <w:pPr>
        <w:pStyle w:val="29"/>
        <w:numPr>
          <w:ilvl w:val="0"/>
          <w:numId w:val="12"/>
        </w:numPr>
        <w:ind w:left="0" w:firstLine="0" w:firstLineChars="0"/>
        <w:contextualSpacing/>
        <w:jc w:val="left"/>
        <w:rPr>
          <w:b/>
          <w:szCs w:val="21"/>
          <w:highlight w:val="none"/>
        </w:rPr>
      </w:pPr>
      <w:r>
        <w:rPr>
          <w:b/>
          <w:szCs w:val="21"/>
          <w:highlight w:val="none"/>
        </w:rPr>
        <w:t>维保服务内容</w:t>
      </w:r>
    </w:p>
    <w:p w14:paraId="60032F0F">
      <w:pPr>
        <w:ind w:firstLine="420" w:firstLineChars="200"/>
        <w:contextualSpacing/>
        <w:jc w:val="left"/>
        <w:rPr>
          <w:szCs w:val="21"/>
          <w:highlight w:val="none"/>
        </w:rPr>
      </w:pPr>
      <w:r>
        <w:rPr>
          <w:rFonts w:hint="eastAsia"/>
          <w:bCs/>
          <w:szCs w:val="21"/>
          <w:highlight w:val="none"/>
        </w:rPr>
        <w:t>乙方应严格按照本合同维保服务方案和甲方要求提供服务，</w:t>
      </w:r>
      <w:r>
        <w:rPr>
          <w:bCs/>
          <w:szCs w:val="21"/>
          <w:highlight w:val="none"/>
        </w:rPr>
        <w:t>详见《附件</w:t>
      </w:r>
      <w:r>
        <w:rPr>
          <w:rFonts w:hint="eastAsia"/>
          <w:bCs/>
          <w:szCs w:val="21"/>
          <w:highlight w:val="none"/>
        </w:rPr>
        <w:t>3</w:t>
      </w:r>
      <w:r>
        <w:rPr>
          <w:bCs/>
          <w:szCs w:val="21"/>
          <w:highlight w:val="none"/>
        </w:rPr>
        <w:t>：维保服务</w:t>
      </w:r>
      <w:r>
        <w:rPr>
          <w:rFonts w:hint="eastAsia"/>
          <w:bCs/>
          <w:szCs w:val="21"/>
          <w:highlight w:val="none"/>
        </w:rPr>
        <w:t>方案</w:t>
      </w:r>
      <w:r>
        <w:rPr>
          <w:bCs/>
          <w:szCs w:val="21"/>
          <w:highlight w:val="none"/>
        </w:rPr>
        <w:t>》</w:t>
      </w:r>
      <w:r>
        <w:rPr>
          <w:rFonts w:hint="eastAsia"/>
          <w:bCs/>
          <w:szCs w:val="21"/>
          <w:highlight w:val="none"/>
        </w:rPr>
        <w:t>。</w:t>
      </w:r>
    </w:p>
    <w:p w14:paraId="69DD87CE">
      <w:pPr>
        <w:pStyle w:val="29"/>
        <w:numPr>
          <w:ilvl w:val="0"/>
          <w:numId w:val="12"/>
        </w:numPr>
        <w:ind w:left="0" w:firstLine="0" w:firstLineChars="0"/>
        <w:contextualSpacing/>
        <w:jc w:val="left"/>
        <w:rPr>
          <w:b/>
          <w:szCs w:val="21"/>
          <w:highlight w:val="none"/>
        </w:rPr>
      </w:pPr>
      <w:r>
        <w:rPr>
          <w:b/>
          <w:szCs w:val="21"/>
          <w:highlight w:val="none"/>
        </w:rPr>
        <w:t>验收</w:t>
      </w:r>
    </w:p>
    <w:p w14:paraId="22E88130">
      <w:pPr>
        <w:pStyle w:val="29"/>
        <w:numPr>
          <w:ilvl w:val="0"/>
          <w:numId w:val="14"/>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28D4751D">
      <w:pPr>
        <w:pStyle w:val="29"/>
        <w:numPr>
          <w:ilvl w:val="0"/>
          <w:numId w:val="14"/>
        </w:numPr>
        <w:ind w:left="0" w:firstLine="0" w:firstLineChars="0"/>
        <w:contextualSpacing/>
        <w:rPr>
          <w:szCs w:val="21"/>
          <w:highlight w:val="none"/>
        </w:rPr>
      </w:pPr>
      <w:r>
        <w:rPr>
          <w:szCs w:val="21"/>
          <w:highlight w:val="none"/>
        </w:rPr>
        <w:t>验收方案：</w:t>
      </w:r>
    </w:p>
    <w:p w14:paraId="6D420A42">
      <w:pPr>
        <w:pStyle w:val="29"/>
        <w:numPr>
          <w:ilvl w:val="0"/>
          <w:numId w:val="15"/>
        </w:numPr>
        <w:ind w:firstLineChars="0"/>
        <w:contextualSpacing/>
        <w:rPr>
          <w:color w:val="000000"/>
          <w:szCs w:val="21"/>
          <w:highlight w:val="none"/>
        </w:rPr>
      </w:pPr>
      <w:r>
        <w:rPr>
          <w:rFonts w:hint="eastAsia"/>
          <w:color w:val="000000"/>
          <w:szCs w:val="21"/>
          <w:highlight w:val="none"/>
        </w:rPr>
        <w:t>验收主体：甲方</w:t>
      </w:r>
    </w:p>
    <w:p w14:paraId="0AA6E9DE">
      <w:pPr>
        <w:pStyle w:val="29"/>
        <w:numPr>
          <w:ilvl w:val="0"/>
          <w:numId w:val="15"/>
        </w:numPr>
        <w:ind w:firstLineChars="0"/>
        <w:contextualSpacing/>
        <w:rPr>
          <w:color w:val="000000"/>
          <w:szCs w:val="21"/>
          <w:highlight w:val="none"/>
        </w:rPr>
      </w:pPr>
      <w:r>
        <w:rPr>
          <w:rFonts w:hint="eastAsia"/>
          <w:color w:val="000000"/>
          <w:szCs w:val="21"/>
          <w:highlight w:val="none"/>
        </w:rPr>
        <w:t>验收组织方式：自行验收</w:t>
      </w:r>
    </w:p>
    <w:p w14:paraId="6196C20F">
      <w:pPr>
        <w:pStyle w:val="29"/>
        <w:numPr>
          <w:ilvl w:val="0"/>
          <w:numId w:val="15"/>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4071EFBF">
      <w:pPr>
        <w:pStyle w:val="29"/>
        <w:numPr>
          <w:ilvl w:val="0"/>
          <w:numId w:val="15"/>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0B5FC21C">
      <w:pPr>
        <w:pStyle w:val="29"/>
        <w:numPr>
          <w:ilvl w:val="0"/>
          <w:numId w:val="15"/>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2DB07A3D">
      <w:pPr>
        <w:pStyle w:val="29"/>
        <w:numPr>
          <w:ilvl w:val="0"/>
          <w:numId w:val="15"/>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1D03C606">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07725D5C">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0FB65177">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甲方</w:t>
      </w:r>
      <w:r>
        <w:rPr>
          <w:rFonts w:ascii="Times New Roman" w:hAnsi="Times New Roman"/>
          <w:color w:val="000000"/>
          <w:szCs w:val="21"/>
          <w:highlight w:val="none"/>
        </w:rPr>
        <w:t>完成考核后X日内组织验收</w:t>
      </w:r>
    </w:p>
    <w:p w14:paraId="65BDA232">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3AF3D43F">
      <w:pPr>
        <w:pStyle w:val="29"/>
        <w:numPr>
          <w:ilvl w:val="0"/>
          <w:numId w:val="15"/>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1AB9867A">
      <w:pPr>
        <w:pStyle w:val="29"/>
        <w:numPr>
          <w:ilvl w:val="0"/>
          <w:numId w:val="15"/>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0916ED3E">
      <w:pPr>
        <w:pStyle w:val="29"/>
        <w:numPr>
          <w:ilvl w:val="0"/>
          <w:numId w:val="15"/>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5E5EBD77">
      <w:pPr>
        <w:pStyle w:val="29"/>
        <w:numPr>
          <w:ilvl w:val="0"/>
          <w:numId w:val="15"/>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68AE46B6">
      <w:pPr>
        <w:pStyle w:val="29"/>
        <w:numPr>
          <w:ilvl w:val="0"/>
          <w:numId w:val="15"/>
        </w:numPr>
        <w:ind w:firstLineChars="0"/>
        <w:contextualSpacing/>
        <w:rPr>
          <w:szCs w:val="21"/>
          <w:highlight w:val="none"/>
        </w:rPr>
      </w:pPr>
      <w:r>
        <w:rPr>
          <w:szCs w:val="21"/>
          <w:highlight w:val="none"/>
        </w:rPr>
        <w:t>验收标准：</w:t>
      </w:r>
    </w:p>
    <w:p w14:paraId="4F0C9B0E">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shd w:val="clear" w:color="auto" w:fill="FFFFFF"/>
        </w:rPr>
        <w:t>国家相关法律法规、行业标准、技术规范。</w:t>
      </w:r>
    </w:p>
    <w:p w14:paraId="01622AAB">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甲方的采购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2FBCAE3D">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p w14:paraId="13313344">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3A988106">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29BD5A30">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011C6B7D">
      <w:pPr>
        <w:pStyle w:val="29"/>
        <w:numPr>
          <w:ilvl w:val="0"/>
          <w:numId w:val="15"/>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7C009264">
      <w:pPr>
        <w:pStyle w:val="29"/>
        <w:numPr>
          <w:ilvl w:val="0"/>
          <w:numId w:val="14"/>
        </w:numPr>
        <w:ind w:left="0" w:firstLine="0" w:firstLineChars="0"/>
        <w:rPr>
          <w:szCs w:val="21"/>
          <w:highlight w:val="none"/>
        </w:rPr>
      </w:pPr>
      <w:r>
        <w:rPr>
          <w:szCs w:val="21"/>
          <w:highlight w:val="none"/>
        </w:rPr>
        <w:t>如验收合格，双方签署验收报告或维修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或维修报告，并要求乙方无条件修改和更正，而后进行再次验收，乙方应承担因此额外产生的全部费用。如果仍不合格，甲方有权终止本合同并视作乙方无法按本合同约定提供相应服务而须支付合同总价***%的违约金给甲方，违约金不能弥补甲方损失的，乙方应全额赔偿。</w:t>
      </w:r>
    </w:p>
    <w:p w14:paraId="412363E1">
      <w:pPr>
        <w:pStyle w:val="29"/>
        <w:numPr>
          <w:ilvl w:val="0"/>
          <w:numId w:val="12"/>
        </w:numPr>
        <w:ind w:left="0" w:firstLine="0" w:firstLineChars="0"/>
        <w:contextualSpacing/>
        <w:jc w:val="left"/>
        <w:rPr>
          <w:b/>
          <w:szCs w:val="21"/>
          <w:highlight w:val="none"/>
        </w:rPr>
      </w:pPr>
      <w:r>
        <w:rPr>
          <w:b/>
          <w:szCs w:val="21"/>
          <w:highlight w:val="none"/>
        </w:rPr>
        <w:t>付款方式</w:t>
      </w:r>
    </w:p>
    <w:p w14:paraId="3E1968F3">
      <w:pPr>
        <w:pStyle w:val="9"/>
        <w:numPr>
          <w:ilvl w:val="0"/>
          <w:numId w:val="17"/>
        </w:numPr>
        <w:spacing w:after="0" w:line="240" w:lineRule="auto"/>
        <w:ind w:left="227" w:leftChars="0" w:hanging="227"/>
        <w:contextualSpacing/>
        <w:jc w:val="left"/>
        <w:rPr>
          <w:szCs w:val="21"/>
          <w:highlight w:val="none"/>
        </w:rPr>
      </w:pPr>
      <w:r>
        <w:rPr>
          <w:szCs w:val="21"/>
          <w:highlight w:val="none"/>
        </w:rPr>
        <w:t>履约保证金：</w:t>
      </w:r>
    </w:p>
    <w:p w14:paraId="11C1A993">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乙方在合同签订生效之日起的***个工作日内，按合同总价***%支付履约保证金；本合同维保服务结束</w:t>
      </w:r>
      <w:r>
        <w:rPr>
          <w:rFonts w:hint="eastAsia" w:ascii="Times New Roman" w:hAnsi="Times New Roman"/>
          <w:color w:val="000000"/>
          <w:szCs w:val="21"/>
          <w:highlight w:val="none"/>
        </w:rPr>
        <w:t>且验收合格</w:t>
      </w:r>
      <w:r>
        <w:rPr>
          <w:rFonts w:ascii="Times New Roman" w:hAnsi="Times New Roman"/>
          <w:color w:val="000000"/>
          <w:szCs w:val="21"/>
          <w:highlight w:val="none"/>
        </w:rPr>
        <w:t>后，甲方接到乙方付款申请后30个工作日内，甲方一次性无息退还乙方的履约保证金；经验收后乙方履约不合格的，履约保证金不予退还。</w:t>
      </w:r>
    </w:p>
    <w:p w14:paraId="6FFE5D83">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12F7387E">
      <w:pPr>
        <w:pStyle w:val="9"/>
        <w:numPr>
          <w:ilvl w:val="0"/>
          <w:numId w:val="17"/>
        </w:numPr>
        <w:spacing w:after="0" w:line="240" w:lineRule="auto"/>
        <w:ind w:left="227" w:leftChars="0" w:hanging="227"/>
        <w:contextualSpacing/>
        <w:jc w:val="left"/>
        <w:rPr>
          <w:szCs w:val="21"/>
          <w:highlight w:val="none"/>
        </w:rPr>
      </w:pPr>
      <w:r>
        <w:rPr>
          <w:szCs w:val="21"/>
          <w:highlight w:val="none"/>
        </w:rPr>
        <w:t>本项目价款采用以下方式支付，以人民币结算：</w:t>
      </w:r>
    </w:p>
    <w:p w14:paraId="42A1E923">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00B135FB">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维保服务期满且经甲方验收合格</w:t>
      </w:r>
      <w:r>
        <w:rPr>
          <w:rFonts w:ascii="Times New Roman" w:hAnsi="Times New Roman"/>
          <w:szCs w:val="21"/>
          <w:highlight w:val="none"/>
        </w:rPr>
        <w:t>后5日内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44D6ABF5">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分阶段支付，支付期限及额度如下：</w:t>
      </w:r>
    </w:p>
    <w:p w14:paraId="12936CFA">
      <w:pPr>
        <w:pStyle w:val="16"/>
        <w:spacing w:after="0"/>
        <w:ind w:left="840" w:leftChars="4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t>（1）预付款：本合同生效后***个工作日内，甲方预付本合同总价的***%，即人民币（大写） *** 圆整（RMB *** 元）。</w:t>
      </w:r>
    </w:p>
    <w:p w14:paraId="1DE80CFF">
      <w:pPr>
        <w:pStyle w:val="16"/>
        <w:spacing w:after="0"/>
        <w:ind w:left="840" w:leftChars="4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t>（2）进度款，甲方应当按照下列方式支付进度款：</w:t>
      </w:r>
    </w:p>
    <w:p w14:paraId="3D06185A">
      <w:pPr>
        <w:pStyle w:val="16"/>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乙方按照本合同约定完成阶段性工作后，甲方应于每一阶段性工作成果验收合格之日起***个工作日内，向乙方支付相应的费用。</w:t>
      </w:r>
    </w:p>
    <w:p w14:paraId="6001A2C6">
      <w:pPr>
        <w:pStyle w:val="16"/>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乙方完成***，甲方支付项目费用总额的***%，即 人民币（大写）*** 圆整（RMB *** 元）。</w:t>
      </w:r>
    </w:p>
    <w:p w14:paraId="3EA505A8">
      <w:pPr>
        <w:pStyle w:val="16"/>
        <w:spacing w:after="0"/>
        <w:ind w:left="945" w:leftChars="400" w:hanging="105" w:hangingChars="50"/>
        <w:contextualSpacing/>
        <w:jc w:val="left"/>
        <w:rPr>
          <w:rFonts w:ascii="Times New Roman" w:hAnsi="Times New Roman"/>
          <w:color w:val="000000"/>
          <w:szCs w:val="21"/>
          <w:highlight w:val="none"/>
        </w:rPr>
      </w:pPr>
      <w:r>
        <w:rPr>
          <w:rFonts w:ascii="Times New Roman" w:hAnsi="Times New Roman"/>
          <w:color w:val="000000"/>
          <w:szCs w:val="21"/>
          <w:highlight w:val="none"/>
        </w:rPr>
        <w:t>（3）结算款：本合同维保服务结束后，甲方向乙方支付剩余价款人民币（大写）*** 圆整（RMB *** 元）。</w:t>
      </w:r>
    </w:p>
    <w:p w14:paraId="05D1659B">
      <w:pPr>
        <w:pStyle w:val="9"/>
        <w:numPr>
          <w:ilvl w:val="0"/>
          <w:numId w:val="17"/>
        </w:numPr>
        <w:spacing w:after="0" w:line="240" w:lineRule="auto"/>
        <w:ind w:left="227" w:leftChars="0" w:hanging="227"/>
        <w:contextualSpacing/>
        <w:jc w:val="left"/>
        <w:rPr>
          <w:szCs w:val="21"/>
          <w:highlight w:val="none"/>
        </w:rPr>
      </w:pPr>
      <w:r>
        <w:rPr>
          <w:szCs w:val="21"/>
          <w:highlight w:val="none"/>
        </w:rPr>
        <w:t>甲方付款前，乙方需出具</w:t>
      </w:r>
      <w:r>
        <w:rPr>
          <w:rFonts w:hint="eastAsia"/>
          <w:color w:val="000000"/>
          <w:szCs w:val="21"/>
          <w:highlight w:val="none"/>
        </w:rPr>
        <w:t>提供合法有效票据及其他相关请款资料</w:t>
      </w:r>
      <w:r>
        <w:rPr>
          <w:szCs w:val="21"/>
          <w:highlight w:val="none"/>
        </w:rPr>
        <w:t>，否则甲方有权拒绝支付且不承担任何违约责任，且乙方不得因此停止工作。</w:t>
      </w:r>
    </w:p>
    <w:p w14:paraId="3AF1818D">
      <w:pPr>
        <w:pStyle w:val="9"/>
        <w:numPr>
          <w:ilvl w:val="0"/>
          <w:numId w:val="17"/>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5FCA78C6">
      <w:pPr>
        <w:pStyle w:val="29"/>
        <w:numPr>
          <w:ilvl w:val="0"/>
          <w:numId w:val="12"/>
        </w:numPr>
        <w:ind w:left="0" w:firstLine="0" w:firstLineChars="0"/>
        <w:contextualSpacing/>
        <w:jc w:val="left"/>
        <w:rPr>
          <w:b/>
          <w:szCs w:val="21"/>
          <w:highlight w:val="none"/>
        </w:rPr>
      </w:pPr>
      <w:r>
        <w:rPr>
          <w:b/>
          <w:szCs w:val="21"/>
          <w:highlight w:val="none"/>
        </w:rPr>
        <w:t>双方权利与义务</w:t>
      </w:r>
    </w:p>
    <w:p w14:paraId="536D1659">
      <w:pPr>
        <w:pStyle w:val="9"/>
        <w:numPr>
          <w:ilvl w:val="0"/>
          <w:numId w:val="18"/>
        </w:numPr>
        <w:spacing w:after="0" w:line="240" w:lineRule="auto"/>
        <w:ind w:left="227" w:leftChars="0" w:hanging="227"/>
        <w:contextualSpacing/>
        <w:jc w:val="left"/>
        <w:rPr>
          <w:szCs w:val="21"/>
          <w:highlight w:val="none"/>
        </w:rPr>
      </w:pPr>
      <w:r>
        <w:rPr>
          <w:szCs w:val="21"/>
          <w:highlight w:val="none"/>
        </w:rPr>
        <w:t>甲方权利与义务</w:t>
      </w:r>
    </w:p>
    <w:p w14:paraId="5966275D">
      <w:pPr>
        <w:pStyle w:val="29"/>
        <w:numPr>
          <w:ilvl w:val="0"/>
          <w:numId w:val="19"/>
        </w:numPr>
        <w:adjustRightInd w:val="0"/>
        <w:ind w:left="525" w:hanging="525" w:hangingChars="250"/>
        <w:contextualSpacing/>
        <w:jc w:val="left"/>
        <w:rPr>
          <w:szCs w:val="21"/>
          <w:highlight w:val="none"/>
        </w:rPr>
      </w:pPr>
      <w:r>
        <w:rPr>
          <w:szCs w:val="21"/>
          <w:highlight w:val="none"/>
        </w:rPr>
        <w:t>按合同约定向乙方支付费用。</w:t>
      </w:r>
    </w:p>
    <w:p w14:paraId="6517BFD1">
      <w:pPr>
        <w:pStyle w:val="29"/>
        <w:numPr>
          <w:ilvl w:val="0"/>
          <w:numId w:val="19"/>
        </w:numPr>
        <w:adjustRightInd w:val="0"/>
        <w:ind w:left="525" w:hanging="525" w:hangingChars="250"/>
        <w:contextualSpacing/>
        <w:jc w:val="left"/>
        <w:rPr>
          <w:szCs w:val="21"/>
          <w:highlight w:val="none"/>
        </w:rPr>
      </w:pPr>
      <w:r>
        <w:rPr>
          <w:szCs w:val="21"/>
          <w:highlight w:val="none"/>
        </w:rPr>
        <w:t>保证乙方实施维保服务所必须的外部条件如电源、水源的正常供应及开启、关闭等。</w:t>
      </w:r>
    </w:p>
    <w:p w14:paraId="1D9A02F4">
      <w:pPr>
        <w:pStyle w:val="29"/>
        <w:numPr>
          <w:ilvl w:val="0"/>
          <w:numId w:val="19"/>
        </w:numPr>
        <w:adjustRightInd w:val="0"/>
        <w:ind w:left="525" w:hanging="525" w:hangingChars="250"/>
        <w:contextualSpacing/>
        <w:jc w:val="left"/>
        <w:rPr>
          <w:szCs w:val="21"/>
          <w:highlight w:val="none"/>
        </w:rPr>
      </w:pPr>
      <w:r>
        <w:rPr>
          <w:szCs w:val="21"/>
          <w:highlight w:val="none"/>
        </w:rPr>
        <w:t>对于乙方在提供保修保养期间所提供的信息，甲方应予保密，未经乙方书面同意，甲方不得擅自使用或透露给第三方。</w:t>
      </w:r>
    </w:p>
    <w:p w14:paraId="4DC455A6">
      <w:pPr>
        <w:pStyle w:val="29"/>
        <w:numPr>
          <w:ilvl w:val="0"/>
          <w:numId w:val="19"/>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3A10636F">
      <w:pPr>
        <w:pStyle w:val="9"/>
        <w:numPr>
          <w:ilvl w:val="0"/>
          <w:numId w:val="18"/>
        </w:numPr>
        <w:spacing w:after="0" w:line="240" w:lineRule="auto"/>
        <w:ind w:left="227" w:leftChars="0" w:hanging="227"/>
        <w:contextualSpacing/>
        <w:jc w:val="left"/>
        <w:rPr>
          <w:szCs w:val="21"/>
          <w:highlight w:val="none"/>
        </w:rPr>
      </w:pPr>
      <w:r>
        <w:rPr>
          <w:szCs w:val="21"/>
          <w:highlight w:val="none"/>
        </w:rPr>
        <w:t>乙方权利与义务</w:t>
      </w:r>
    </w:p>
    <w:p w14:paraId="75E02EC6">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按本合同约定向甲方提供维保服务。</w:t>
      </w:r>
    </w:p>
    <w:p w14:paraId="70A14A5E">
      <w:pPr>
        <w:pStyle w:val="9"/>
        <w:numPr>
          <w:ilvl w:val="0"/>
          <w:numId w:val="20"/>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6021C881">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乙方应保证服务中更换的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w:t>
      </w:r>
      <w:r>
        <w:rPr>
          <w:rFonts w:hint="eastAsia"/>
          <w:szCs w:val="21"/>
          <w:highlight w:val="none"/>
        </w:rPr>
        <w:t>达到本项目采购文件中的技术要求和质量标准且</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22E25570">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如维保服务涉及计算机软件产品的，乙方须承诺在维保服务中设备安装的软件已获得软件厂商的正规授权。</w:t>
      </w:r>
    </w:p>
    <w:p w14:paraId="6A3D2889">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乙方在提供维保服务的过程中，发现设备已经无法通过本合同第</w:t>
      </w:r>
      <w:r>
        <w:rPr>
          <w:rFonts w:hint="eastAsia"/>
          <w:szCs w:val="21"/>
          <w:highlight w:val="none"/>
        </w:rPr>
        <w:t>四</w:t>
      </w:r>
      <w:r>
        <w:rPr>
          <w:szCs w:val="21"/>
          <w:highlight w:val="none"/>
        </w:rPr>
        <w:t>条中说明的维保服务内容达到使用标准的情况，乙方须以书面形式告知甲方。</w:t>
      </w:r>
    </w:p>
    <w:p w14:paraId="3605BDE9">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72C9466B">
      <w:pPr>
        <w:pStyle w:val="29"/>
        <w:numPr>
          <w:ilvl w:val="0"/>
          <w:numId w:val="12"/>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30A2BFF9">
      <w:pPr>
        <w:pStyle w:val="9"/>
        <w:numPr>
          <w:ilvl w:val="0"/>
          <w:numId w:val="21"/>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szCs w:val="21"/>
          <w:highlight w:val="none"/>
          <w:u w:val="single"/>
        </w:rPr>
        <w:t>10</w:t>
      </w:r>
      <w:r>
        <w:rPr>
          <w:szCs w:val="21"/>
          <w:highlight w:val="none"/>
          <w:u w:val="none"/>
        </w:rPr>
        <w:t>%</w:t>
      </w:r>
      <w:r>
        <w:rPr>
          <w:rFonts w:hint="eastAsia"/>
          <w:szCs w:val="21"/>
          <w:highlight w:val="none"/>
        </w:rPr>
        <w:t>作为</w:t>
      </w:r>
      <w:r>
        <w:rPr>
          <w:szCs w:val="21"/>
          <w:highlight w:val="none"/>
        </w:rPr>
        <w:t>违约金。</w:t>
      </w:r>
    </w:p>
    <w:p w14:paraId="7860BDF5">
      <w:pPr>
        <w:pStyle w:val="29"/>
        <w:numPr>
          <w:ilvl w:val="0"/>
          <w:numId w:val="21"/>
        </w:numPr>
        <w:ind w:left="0" w:firstLine="0" w:firstLineChars="0"/>
        <w:rPr>
          <w:szCs w:val="21"/>
          <w:highlight w:val="none"/>
        </w:rPr>
      </w:pPr>
      <w:r>
        <w:rPr>
          <w:szCs w:val="21"/>
          <w:highlight w:val="none"/>
        </w:rPr>
        <w:t>乙方违约责任：</w:t>
      </w:r>
    </w:p>
    <w:p w14:paraId="549A9FE8">
      <w:pPr>
        <w:pStyle w:val="9"/>
        <w:numPr>
          <w:ilvl w:val="0"/>
          <w:numId w:val="22"/>
        </w:numPr>
        <w:spacing w:after="0" w:line="240" w:lineRule="auto"/>
        <w:ind w:left="525" w:leftChars="0" w:hanging="525" w:hangingChars="250"/>
        <w:contextualSpacing/>
        <w:jc w:val="left"/>
        <w:rPr>
          <w:szCs w:val="21"/>
          <w:highlight w:val="none"/>
        </w:rPr>
      </w:pPr>
      <w:bookmarkStart w:id="99" w:name="OLE_LINK17"/>
      <w:bookmarkStart w:id="100" w:name="OLE_LINK18"/>
      <w:r>
        <w:rPr>
          <w:szCs w:val="21"/>
          <w:highlight w:val="none"/>
        </w:rPr>
        <w:t>乙方应派遣具备相关资质的技术人员为甲方提供维保服务，维保服务过程中，乙方技术人员因操作不当、未采取必要的安全防范措施等原因导致安全责任事故的，由乙方承担由此造成的全部法律责任。</w:t>
      </w:r>
    </w:p>
    <w:p w14:paraId="4037CADF">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因乙方在维保服务中更换的备件或材料在质保期内并在正常使用情况下出现质量原因导致甲方或第三方财产或人身损害的，由乙方承担赔偿责任。</w:t>
      </w:r>
    </w:p>
    <w:p w14:paraId="78A9DBE1">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乙方提供的维保服务存在重大的设计、工艺或材料缺陷（包括潜在缺陷），乙方应当对由于上述缺陷造成的损失负责。</w:t>
      </w:r>
    </w:p>
    <w:p w14:paraId="493B8805">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在本合同履行中，设备出现故障时，如乙方在接到甲方或使用单位通知后，在本合同第三条中写明的响应时间内，没有作出响应措施，每发生一次，乙方应按</w:t>
      </w:r>
      <w:r>
        <w:rPr>
          <w:rFonts w:hint="eastAsia"/>
          <w:szCs w:val="21"/>
          <w:highlight w:val="none"/>
          <w:u w:val="single"/>
        </w:rPr>
        <w:t>合同总金额</w:t>
      </w:r>
      <w:r>
        <w:rPr>
          <w:szCs w:val="21"/>
          <w:highlight w:val="none"/>
        </w:rPr>
        <w:t>的</w:t>
      </w:r>
      <w:r>
        <w:rPr>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4F98AE4C">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提供维保服务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rFonts w:hint="eastAsia"/>
          <w:szCs w:val="21"/>
          <w:highlight w:val="none"/>
          <w:u w:val="single"/>
        </w:rPr>
        <w:t>10</w:t>
      </w:r>
      <w:r>
        <w:rPr>
          <w:szCs w:val="21"/>
          <w:highlight w:val="none"/>
        </w:rPr>
        <w:t>%作为赔偿违约金。</w:t>
      </w:r>
    </w:p>
    <w:p w14:paraId="5F08BE29">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rPr>
        <w:t>合同总金额的</w:t>
      </w:r>
      <w:r>
        <w:rPr>
          <w:rFonts w:hint="eastAsia"/>
          <w:szCs w:val="21"/>
          <w:highlight w:val="none"/>
          <w:u w:val="single"/>
        </w:rPr>
        <w:t>10</w:t>
      </w:r>
      <w:r>
        <w:rPr>
          <w:szCs w:val="21"/>
          <w:highlight w:val="none"/>
        </w:rPr>
        <w:t>%</w:t>
      </w:r>
      <w:r>
        <w:rPr>
          <w:rFonts w:hint="eastAsia"/>
          <w:szCs w:val="21"/>
          <w:highlight w:val="none"/>
        </w:rPr>
        <w:t>作为</w:t>
      </w:r>
      <w:r>
        <w:rPr>
          <w:szCs w:val="21"/>
          <w:highlight w:val="none"/>
        </w:rPr>
        <w:t>违约金。</w:t>
      </w:r>
    </w:p>
    <w:bookmarkEnd w:id="99"/>
    <w:bookmarkEnd w:id="100"/>
    <w:p w14:paraId="4E15D145">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28F4C82A">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478221B6">
      <w:pPr>
        <w:pStyle w:val="9"/>
        <w:numPr>
          <w:ilvl w:val="0"/>
          <w:numId w:val="22"/>
        </w:numPr>
        <w:snapToGrid w:val="0"/>
        <w:spacing w:after="0" w:line="240" w:lineRule="auto"/>
        <w:ind w:left="525" w:leftChars="0" w:hanging="525" w:hangingChars="250"/>
        <w:contextualSpacing/>
        <w:jc w:val="left"/>
        <w:rPr>
          <w:rFonts w:hint="eastAsia"/>
          <w:szCs w:val="21"/>
          <w:highlight w:val="none"/>
        </w:rPr>
      </w:pPr>
      <w:r>
        <w:rPr>
          <w:rFonts w:hint="eastAsia"/>
          <w:szCs w:val="21"/>
          <w:highlight w:val="none"/>
        </w:rPr>
        <w:t>如本</w:t>
      </w:r>
      <w:r>
        <w:rPr>
          <w:rFonts w:ascii="宋体" w:hAnsi="宋体" w:cs="微软雅黑"/>
          <w:szCs w:val="21"/>
          <w:highlight w:val="none"/>
        </w:rPr>
        <w:t>合同</w:t>
      </w:r>
      <w:r>
        <w:rPr>
          <w:rFonts w:hint="eastAsia" w:ascii="宋体" w:hAnsi="宋体"/>
          <w:szCs w:val="21"/>
          <w:highlight w:val="none"/>
        </w:rPr>
        <w:t>要</w:t>
      </w:r>
      <w:r>
        <w:rPr>
          <w:rFonts w:hint="eastAsia"/>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D1B6DB8">
      <w:pPr>
        <w:pStyle w:val="9"/>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C850155">
      <w:pPr>
        <w:pStyle w:val="29"/>
        <w:numPr>
          <w:ilvl w:val="0"/>
          <w:numId w:val="12"/>
        </w:numPr>
        <w:ind w:left="0" w:firstLine="0" w:firstLineChars="0"/>
        <w:contextualSpacing/>
        <w:jc w:val="left"/>
        <w:rPr>
          <w:b/>
          <w:szCs w:val="21"/>
          <w:highlight w:val="none"/>
        </w:rPr>
      </w:pPr>
      <w:r>
        <w:rPr>
          <w:b/>
          <w:szCs w:val="21"/>
          <w:highlight w:val="none"/>
        </w:rPr>
        <w:t>不可抗力</w:t>
      </w:r>
    </w:p>
    <w:p w14:paraId="6E987F23">
      <w:pPr>
        <w:pStyle w:val="29"/>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lang w:val="en-US" w:eastAsia="zh-CN"/>
        </w:rPr>
        <w:t>日</w:t>
      </w:r>
      <w:r>
        <w:rPr>
          <w:bCs/>
          <w:szCs w:val="21"/>
          <w:highlight w:val="none"/>
        </w:rPr>
        <w:t>，甲方有权解除合同，双方互不承担违约责任。</w:t>
      </w:r>
    </w:p>
    <w:p w14:paraId="727B6A9E">
      <w:pPr>
        <w:pStyle w:val="29"/>
        <w:numPr>
          <w:ilvl w:val="0"/>
          <w:numId w:val="12"/>
        </w:numPr>
        <w:ind w:left="0" w:firstLine="0" w:firstLineChars="0"/>
        <w:contextualSpacing/>
        <w:jc w:val="left"/>
        <w:rPr>
          <w:b/>
          <w:szCs w:val="21"/>
          <w:highlight w:val="none"/>
        </w:rPr>
      </w:pPr>
      <w:r>
        <w:rPr>
          <w:b/>
          <w:szCs w:val="21"/>
          <w:highlight w:val="none"/>
        </w:rPr>
        <w:t>合同终止及解除</w:t>
      </w:r>
    </w:p>
    <w:p w14:paraId="05D79D20">
      <w:pPr>
        <w:pStyle w:val="29"/>
        <w:numPr>
          <w:ilvl w:val="0"/>
          <w:numId w:val="23"/>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77BCBECF">
      <w:pPr>
        <w:pStyle w:val="29"/>
        <w:numPr>
          <w:ilvl w:val="0"/>
          <w:numId w:val="23"/>
        </w:numPr>
        <w:ind w:left="0" w:firstLine="0" w:firstLineChars="0"/>
        <w:rPr>
          <w:szCs w:val="21"/>
          <w:highlight w:val="none"/>
        </w:rPr>
      </w:pPr>
      <w:r>
        <w:rPr>
          <w:szCs w:val="21"/>
          <w:highlight w:val="none"/>
        </w:rPr>
        <w:t>在甲、乙任何一方有严重违约行为时，另一方有权单方解除合同。</w:t>
      </w:r>
    </w:p>
    <w:p w14:paraId="705C06BD">
      <w:pPr>
        <w:pStyle w:val="29"/>
        <w:numPr>
          <w:ilvl w:val="0"/>
          <w:numId w:val="12"/>
        </w:numPr>
        <w:ind w:left="0" w:firstLine="0" w:firstLineChars="0"/>
        <w:contextualSpacing/>
        <w:jc w:val="left"/>
        <w:rPr>
          <w:b/>
          <w:szCs w:val="21"/>
          <w:highlight w:val="none"/>
        </w:rPr>
      </w:pPr>
      <w:r>
        <w:rPr>
          <w:b/>
          <w:szCs w:val="21"/>
          <w:highlight w:val="none"/>
        </w:rPr>
        <w:t>争议解决办法</w:t>
      </w:r>
    </w:p>
    <w:p w14:paraId="26C22389">
      <w:pPr>
        <w:pStyle w:val="29"/>
        <w:numPr>
          <w:ilvl w:val="0"/>
          <w:numId w:val="24"/>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1274E803">
      <w:pPr>
        <w:pStyle w:val="29"/>
        <w:numPr>
          <w:ilvl w:val="0"/>
          <w:numId w:val="24"/>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74F37E79">
      <w:pPr>
        <w:pStyle w:val="29"/>
        <w:numPr>
          <w:ilvl w:val="0"/>
          <w:numId w:val="12"/>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47D1E816">
      <w:pPr>
        <w:pStyle w:val="34"/>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8F94D9F">
      <w:pPr>
        <w:pStyle w:val="34"/>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3ECC17CE">
      <w:pPr>
        <w:pStyle w:val="34"/>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556FD8CE">
      <w:pPr>
        <w:pStyle w:val="29"/>
        <w:numPr>
          <w:ilvl w:val="0"/>
          <w:numId w:val="12"/>
        </w:numPr>
        <w:ind w:left="0" w:firstLine="0" w:firstLineChars="0"/>
        <w:contextualSpacing/>
        <w:jc w:val="left"/>
        <w:rPr>
          <w:b/>
          <w:szCs w:val="21"/>
          <w:highlight w:val="none"/>
        </w:rPr>
      </w:pPr>
      <w:r>
        <w:rPr>
          <w:b/>
          <w:szCs w:val="21"/>
          <w:highlight w:val="none"/>
        </w:rPr>
        <w:t>其他</w:t>
      </w:r>
    </w:p>
    <w:p w14:paraId="1DA92E10">
      <w:pPr>
        <w:pStyle w:val="29"/>
        <w:numPr>
          <w:ilvl w:val="0"/>
          <w:numId w:val="26"/>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0F01CD2E">
      <w:pPr>
        <w:pStyle w:val="29"/>
        <w:numPr>
          <w:ilvl w:val="0"/>
          <w:numId w:val="26"/>
        </w:numPr>
        <w:ind w:left="0" w:firstLine="0" w:firstLineChars="0"/>
        <w:rPr>
          <w:szCs w:val="21"/>
          <w:highlight w:val="none"/>
        </w:rPr>
      </w:pPr>
      <w:r>
        <w:rPr>
          <w:szCs w:val="21"/>
          <w:highlight w:val="none"/>
        </w:rPr>
        <w:t>本合同一式四份，自双方</w:t>
      </w:r>
      <w:r>
        <w:rPr>
          <w:rFonts w:hint="eastAsia" w:ascii="Times New Roman" w:hAnsi="Times New Roman"/>
          <w:szCs w:val="21"/>
          <w:highlight w:val="none"/>
          <w:lang w:val="en-US" w:eastAsia="zh-CN"/>
        </w:rPr>
        <w:t>签字且盖章</w:t>
      </w:r>
      <w:r>
        <w:rPr>
          <w:szCs w:val="21"/>
          <w:highlight w:val="none"/>
        </w:rPr>
        <w:t>之日起生效。甲方三份，乙方一份。</w:t>
      </w:r>
    </w:p>
    <w:p w14:paraId="0B41BA45">
      <w:pPr>
        <w:pStyle w:val="29"/>
        <w:numPr>
          <w:ilvl w:val="0"/>
          <w:numId w:val="12"/>
        </w:numPr>
        <w:ind w:left="0" w:firstLine="0" w:firstLineChars="0"/>
        <w:contextualSpacing/>
        <w:jc w:val="left"/>
        <w:rPr>
          <w:b/>
          <w:szCs w:val="21"/>
          <w:highlight w:val="none"/>
        </w:rPr>
      </w:pPr>
      <w:r>
        <w:rPr>
          <w:b/>
          <w:szCs w:val="21"/>
          <w:highlight w:val="none"/>
        </w:rPr>
        <w:t>合同附件</w:t>
      </w:r>
    </w:p>
    <w:p w14:paraId="6EF8754A">
      <w:pPr>
        <w:rPr>
          <w:szCs w:val="21"/>
          <w:highlight w:val="none"/>
        </w:rPr>
      </w:pPr>
      <w:r>
        <w:rPr>
          <w:szCs w:val="21"/>
          <w:highlight w:val="none"/>
        </w:rPr>
        <w:t>本合同为</w:t>
      </w:r>
      <w:r>
        <w:rPr>
          <w:rFonts w:hint="eastAsia"/>
          <w:szCs w:val="21"/>
          <w:highlight w:val="non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3CD3BDCD">
      <w:pPr>
        <w:jc w:val="left"/>
        <w:outlineLvl w:val="0"/>
        <w:rPr>
          <w:szCs w:val="21"/>
          <w:highlight w:val="none"/>
        </w:rPr>
      </w:pPr>
      <w:r>
        <w:rPr>
          <w:rFonts w:hint="eastAsia"/>
          <w:szCs w:val="21"/>
          <w:highlight w:val="none"/>
        </w:rPr>
        <w:t>附件1《</w:t>
      </w:r>
      <w:bookmarkStart w:id="101" w:name="OLE_LINK32"/>
      <w:r>
        <w:rPr>
          <w:rFonts w:hint="eastAsia"/>
          <w:szCs w:val="21"/>
          <w:highlight w:val="none"/>
        </w:rPr>
        <w:t>结算单价清单</w:t>
      </w:r>
      <w:bookmarkEnd w:id="101"/>
      <w:r>
        <w:rPr>
          <w:rFonts w:hint="eastAsia"/>
          <w:szCs w:val="21"/>
          <w:highlight w:val="none"/>
        </w:rPr>
        <w:t>》</w:t>
      </w:r>
    </w:p>
    <w:p w14:paraId="1C1F68CF">
      <w:pPr>
        <w:jc w:val="left"/>
        <w:outlineLvl w:val="0"/>
        <w:rPr>
          <w:szCs w:val="21"/>
          <w:highlight w:val="none"/>
        </w:rPr>
      </w:pPr>
      <w:r>
        <w:rPr>
          <w:rFonts w:hint="eastAsia"/>
          <w:szCs w:val="21"/>
          <w:highlight w:val="none"/>
        </w:rPr>
        <w:t>附件2《考核标准》</w:t>
      </w:r>
    </w:p>
    <w:p w14:paraId="050E0ACF">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6F7000BE">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1B891861">
        <w:tblPrEx>
          <w:tblCellMar>
            <w:top w:w="0" w:type="dxa"/>
            <w:left w:w="0" w:type="dxa"/>
            <w:bottom w:w="0" w:type="dxa"/>
            <w:right w:w="0" w:type="dxa"/>
          </w:tblCellMar>
        </w:tblPrEx>
        <w:trPr>
          <w:trHeight w:val="519" w:hRule="atLeast"/>
          <w:jc w:val="center"/>
        </w:trPr>
        <w:tc>
          <w:tcPr>
            <w:tcW w:w="10214" w:type="dxa"/>
            <w:gridSpan w:val="2"/>
          </w:tcPr>
          <w:p w14:paraId="325CB7E2">
            <w:pPr>
              <w:rPr>
                <w:szCs w:val="21"/>
                <w:highlight w:val="none"/>
              </w:rPr>
            </w:pPr>
            <w:r>
              <w:rPr>
                <w:szCs w:val="21"/>
                <w:highlight w:val="none"/>
              </w:rPr>
              <w:t>签订时间：</w:t>
            </w:r>
            <w:r>
              <w:rPr>
                <w:highlight w:val="none"/>
              </w:rPr>
              <w:t>202</w:t>
            </w:r>
            <w:r>
              <w:rPr>
                <w:rFonts w:hint="eastAsia"/>
                <w:highlight w:val="none"/>
              </w:rPr>
              <w:t>*</w:t>
            </w:r>
            <w:r>
              <w:rPr>
                <w:szCs w:val="21"/>
                <w:highlight w:val="none"/>
              </w:rPr>
              <w:t>年***月***日</w:t>
            </w:r>
          </w:p>
        </w:tc>
      </w:tr>
      <w:tr w14:paraId="6ADED32B">
        <w:tblPrEx>
          <w:tblCellMar>
            <w:top w:w="0" w:type="dxa"/>
            <w:left w:w="0" w:type="dxa"/>
            <w:bottom w:w="0" w:type="dxa"/>
            <w:right w:w="0" w:type="dxa"/>
          </w:tblCellMar>
        </w:tblPrEx>
        <w:trPr>
          <w:jc w:val="center"/>
        </w:trPr>
        <w:tc>
          <w:tcPr>
            <w:tcW w:w="4967" w:type="dxa"/>
          </w:tcPr>
          <w:p w14:paraId="08049377">
            <w:pPr>
              <w:rPr>
                <w:szCs w:val="21"/>
                <w:highlight w:val="none"/>
              </w:rPr>
            </w:pPr>
            <w:r>
              <w:rPr>
                <w:szCs w:val="21"/>
                <w:highlight w:val="none"/>
              </w:rPr>
              <w:t>甲方：四川省人民医院（盖章）</w:t>
            </w:r>
          </w:p>
          <w:p w14:paraId="20936B42">
            <w:pPr>
              <w:rPr>
                <w:szCs w:val="21"/>
                <w:highlight w:val="none"/>
              </w:rPr>
            </w:pPr>
            <w:r>
              <w:rPr>
                <w:szCs w:val="21"/>
                <w:highlight w:val="none"/>
              </w:rPr>
              <w:t>法定代表人（授权代表签字）：</w:t>
            </w:r>
          </w:p>
          <w:p w14:paraId="3EF5623A">
            <w:pPr>
              <w:rPr>
                <w:szCs w:val="21"/>
                <w:highlight w:val="none"/>
              </w:rPr>
            </w:pPr>
            <w:r>
              <w:rPr>
                <w:szCs w:val="21"/>
                <w:highlight w:val="none"/>
              </w:rPr>
              <w:t>地    址：四川省成都市一环路西二段32号</w:t>
            </w:r>
          </w:p>
          <w:p w14:paraId="621C706A">
            <w:pPr>
              <w:rPr>
                <w:szCs w:val="21"/>
                <w:highlight w:val="none"/>
              </w:rPr>
            </w:pPr>
            <w:r>
              <w:rPr>
                <w:szCs w:val="21"/>
                <w:highlight w:val="none"/>
              </w:rPr>
              <w:t>开户银行：建设银行成都青羊支行</w:t>
            </w:r>
          </w:p>
          <w:p w14:paraId="7E81BCD1">
            <w:pPr>
              <w:rPr>
                <w:szCs w:val="21"/>
                <w:highlight w:val="none"/>
              </w:rPr>
            </w:pPr>
            <w:r>
              <w:rPr>
                <w:szCs w:val="21"/>
                <w:highlight w:val="none"/>
              </w:rPr>
              <w:t>账号：5100 1446 4360 5037 4282</w:t>
            </w:r>
          </w:p>
        </w:tc>
        <w:tc>
          <w:tcPr>
            <w:tcW w:w="5247" w:type="dxa"/>
          </w:tcPr>
          <w:p w14:paraId="599D38EE">
            <w:pPr>
              <w:rPr>
                <w:szCs w:val="21"/>
                <w:highlight w:val="none"/>
              </w:rPr>
            </w:pPr>
            <w:r>
              <w:rPr>
                <w:szCs w:val="21"/>
                <w:highlight w:val="none"/>
              </w:rPr>
              <w:t>乙方：</w:t>
            </w:r>
            <w:permStart w:id="10" w:edGrp="everyone"/>
            <w:r>
              <w:rPr>
                <w:szCs w:val="21"/>
                <w:highlight w:val="none"/>
              </w:rPr>
              <w:t>***</w:t>
            </w:r>
            <w:permEnd w:id="10"/>
            <w:r>
              <w:rPr>
                <w:szCs w:val="21"/>
                <w:highlight w:val="none"/>
              </w:rPr>
              <w:t>（盖章）</w:t>
            </w:r>
          </w:p>
          <w:p w14:paraId="7855CEBF">
            <w:pPr>
              <w:rPr>
                <w:szCs w:val="21"/>
                <w:highlight w:val="none"/>
              </w:rPr>
            </w:pPr>
            <w:r>
              <w:rPr>
                <w:szCs w:val="21"/>
                <w:highlight w:val="none"/>
              </w:rPr>
              <w:t>法定代表人（授权代表签字）：</w:t>
            </w:r>
          </w:p>
          <w:p w14:paraId="4DE2F081">
            <w:pPr>
              <w:rPr>
                <w:szCs w:val="21"/>
                <w:highlight w:val="none"/>
              </w:rPr>
            </w:pPr>
            <w:r>
              <w:rPr>
                <w:szCs w:val="21"/>
                <w:highlight w:val="none"/>
              </w:rPr>
              <w:t>地址：</w:t>
            </w:r>
            <w:permStart w:id="11" w:edGrp="everyone"/>
            <w:r>
              <w:rPr>
                <w:szCs w:val="21"/>
                <w:highlight w:val="none"/>
              </w:rPr>
              <w:t>***</w:t>
            </w:r>
            <w:permEnd w:id="11"/>
          </w:p>
          <w:p w14:paraId="17776792">
            <w:pPr>
              <w:rPr>
                <w:szCs w:val="21"/>
                <w:highlight w:val="none"/>
              </w:rPr>
            </w:pPr>
            <w:r>
              <w:rPr>
                <w:szCs w:val="21"/>
                <w:highlight w:val="none"/>
              </w:rPr>
              <w:t>开户银行：</w:t>
            </w:r>
            <w:permStart w:id="12" w:edGrp="everyone"/>
            <w:r>
              <w:rPr>
                <w:szCs w:val="21"/>
                <w:highlight w:val="none"/>
              </w:rPr>
              <w:t>***</w:t>
            </w:r>
          </w:p>
          <w:permEnd w:id="12"/>
          <w:p w14:paraId="75A6C9EA">
            <w:pPr>
              <w:widowControl/>
              <w:jc w:val="left"/>
              <w:rPr>
                <w:highlight w:val="none"/>
              </w:rPr>
            </w:pPr>
            <w:r>
              <w:rPr>
                <w:szCs w:val="21"/>
                <w:highlight w:val="none"/>
              </w:rPr>
              <w:t>账号：</w:t>
            </w:r>
            <w:permStart w:id="13" w:edGrp="everyone"/>
            <w:r>
              <w:rPr>
                <w:szCs w:val="21"/>
                <w:highlight w:val="none"/>
              </w:rPr>
              <w:t>***</w:t>
            </w:r>
            <w:permEnd w:id="13"/>
          </w:p>
        </w:tc>
      </w:tr>
    </w:tbl>
    <w:p w14:paraId="62FB4736">
      <w:pPr>
        <w:jc w:val="left"/>
        <w:outlineLvl w:val="0"/>
        <w:rPr>
          <w:b/>
          <w:bCs/>
          <w:szCs w:val="21"/>
          <w:highlight w:val="none"/>
        </w:rPr>
        <w:sectPr>
          <w:footerReference r:id="rId8" w:type="default"/>
          <w:type w:val="continuous"/>
          <w:pgSz w:w="11906" w:h="16838"/>
          <w:pgMar w:top="851" w:right="1134" w:bottom="851" w:left="1134" w:header="0" w:footer="567" w:gutter="0"/>
          <w:pgNumType w:fmt="decimal"/>
          <w:cols w:space="425" w:num="1"/>
          <w:docGrid w:linePitch="312" w:charSpace="0"/>
        </w:sectPr>
      </w:pPr>
    </w:p>
    <w:p w14:paraId="760A2A63">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23FAA996">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75D3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48C70A2">
            <w:pPr>
              <w:widowControl/>
              <w:jc w:val="center"/>
              <w:rPr>
                <w:b/>
                <w:bCs/>
                <w:szCs w:val="21"/>
                <w:highlight w:val="none"/>
              </w:rPr>
            </w:pPr>
            <w:r>
              <w:rPr>
                <w:rFonts w:hint="eastAsia"/>
                <w:b/>
                <w:bCs/>
                <w:szCs w:val="21"/>
                <w:highlight w:val="none"/>
              </w:rPr>
              <w:t>序号</w:t>
            </w:r>
          </w:p>
        </w:tc>
        <w:tc>
          <w:tcPr>
            <w:tcW w:w="3686" w:type="dxa"/>
            <w:vAlign w:val="center"/>
          </w:tcPr>
          <w:p w14:paraId="294ABED7">
            <w:pPr>
              <w:widowControl/>
              <w:jc w:val="center"/>
              <w:rPr>
                <w:b/>
                <w:bCs/>
                <w:szCs w:val="21"/>
                <w:highlight w:val="none"/>
              </w:rPr>
            </w:pPr>
            <w:r>
              <w:rPr>
                <w:rFonts w:hint="eastAsia"/>
                <w:b/>
                <w:bCs/>
                <w:szCs w:val="21"/>
                <w:highlight w:val="none"/>
              </w:rPr>
              <w:t>结算项目名称</w:t>
            </w:r>
          </w:p>
        </w:tc>
        <w:tc>
          <w:tcPr>
            <w:tcW w:w="3402" w:type="dxa"/>
            <w:vAlign w:val="center"/>
          </w:tcPr>
          <w:p w14:paraId="24BC278F">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1E8E22F1">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4C217E4F">
            <w:pPr>
              <w:widowControl/>
              <w:jc w:val="center"/>
              <w:rPr>
                <w:b/>
                <w:bCs/>
                <w:szCs w:val="21"/>
                <w:highlight w:val="none"/>
              </w:rPr>
            </w:pPr>
            <w:r>
              <w:rPr>
                <w:rFonts w:hint="eastAsia"/>
                <w:b/>
                <w:bCs/>
                <w:szCs w:val="21"/>
                <w:highlight w:val="none"/>
              </w:rPr>
              <w:t>结算单价</w:t>
            </w:r>
          </w:p>
        </w:tc>
      </w:tr>
      <w:tr w14:paraId="12642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3718DA2">
            <w:pPr>
              <w:widowControl/>
              <w:jc w:val="center"/>
              <w:rPr>
                <w:szCs w:val="21"/>
                <w:highlight w:val="none"/>
              </w:rPr>
            </w:pPr>
            <w:r>
              <w:rPr>
                <w:rFonts w:hint="eastAsia"/>
                <w:szCs w:val="21"/>
                <w:highlight w:val="none"/>
              </w:rPr>
              <w:t>1</w:t>
            </w:r>
          </w:p>
        </w:tc>
        <w:tc>
          <w:tcPr>
            <w:tcW w:w="3686" w:type="dxa"/>
            <w:vAlign w:val="center"/>
          </w:tcPr>
          <w:p w14:paraId="60A536D0">
            <w:pPr>
              <w:widowControl/>
              <w:jc w:val="left"/>
              <w:rPr>
                <w:szCs w:val="21"/>
                <w:highlight w:val="none"/>
              </w:rPr>
            </w:pPr>
          </w:p>
        </w:tc>
        <w:tc>
          <w:tcPr>
            <w:tcW w:w="3402" w:type="dxa"/>
            <w:vAlign w:val="center"/>
          </w:tcPr>
          <w:p w14:paraId="38B29808">
            <w:pPr>
              <w:widowControl/>
              <w:jc w:val="left"/>
              <w:rPr>
                <w:szCs w:val="21"/>
                <w:highlight w:val="none"/>
              </w:rPr>
            </w:pPr>
          </w:p>
        </w:tc>
        <w:tc>
          <w:tcPr>
            <w:tcW w:w="992" w:type="dxa"/>
            <w:vAlign w:val="center"/>
          </w:tcPr>
          <w:p w14:paraId="2B149884">
            <w:pPr>
              <w:widowControl/>
              <w:jc w:val="center"/>
              <w:rPr>
                <w:szCs w:val="21"/>
                <w:highlight w:val="none"/>
              </w:rPr>
            </w:pPr>
          </w:p>
        </w:tc>
        <w:tc>
          <w:tcPr>
            <w:tcW w:w="986" w:type="dxa"/>
            <w:vAlign w:val="center"/>
          </w:tcPr>
          <w:p w14:paraId="1F946112">
            <w:pPr>
              <w:widowControl/>
              <w:jc w:val="center"/>
              <w:rPr>
                <w:szCs w:val="21"/>
                <w:highlight w:val="none"/>
              </w:rPr>
            </w:pPr>
          </w:p>
        </w:tc>
      </w:tr>
      <w:tr w14:paraId="66563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726E467">
            <w:pPr>
              <w:widowControl/>
              <w:jc w:val="center"/>
              <w:rPr>
                <w:szCs w:val="21"/>
                <w:highlight w:val="none"/>
              </w:rPr>
            </w:pPr>
            <w:r>
              <w:rPr>
                <w:rFonts w:hint="eastAsia"/>
                <w:szCs w:val="21"/>
                <w:highlight w:val="none"/>
              </w:rPr>
              <w:t>2</w:t>
            </w:r>
          </w:p>
        </w:tc>
        <w:tc>
          <w:tcPr>
            <w:tcW w:w="3686" w:type="dxa"/>
            <w:vAlign w:val="center"/>
          </w:tcPr>
          <w:p w14:paraId="10405B50">
            <w:pPr>
              <w:widowControl/>
              <w:jc w:val="left"/>
              <w:rPr>
                <w:szCs w:val="21"/>
                <w:highlight w:val="none"/>
              </w:rPr>
            </w:pPr>
          </w:p>
        </w:tc>
        <w:tc>
          <w:tcPr>
            <w:tcW w:w="3402" w:type="dxa"/>
            <w:vAlign w:val="center"/>
          </w:tcPr>
          <w:p w14:paraId="3374C644">
            <w:pPr>
              <w:widowControl/>
              <w:jc w:val="left"/>
              <w:rPr>
                <w:szCs w:val="21"/>
                <w:highlight w:val="none"/>
              </w:rPr>
            </w:pPr>
          </w:p>
        </w:tc>
        <w:tc>
          <w:tcPr>
            <w:tcW w:w="992" w:type="dxa"/>
            <w:vAlign w:val="center"/>
          </w:tcPr>
          <w:p w14:paraId="69C41C45">
            <w:pPr>
              <w:widowControl/>
              <w:jc w:val="center"/>
              <w:rPr>
                <w:szCs w:val="21"/>
                <w:highlight w:val="none"/>
              </w:rPr>
            </w:pPr>
          </w:p>
        </w:tc>
        <w:tc>
          <w:tcPr>
            <w:tcW w:w="986" w:type="dxa"/>
            <w:vAlign w:val="center"/>
          </w:tcPr>
          <w:p w14:paraId="6965C5B0">
            <w:pPr>
              <w:widowControl/>
              <w:jc w:val="center"/>
              <w:rPr>
                <w:szCs w:val="21"/>
                <w:highlight w:val="none"/>
              </w:rPr>
            </w:pPr>
          </w:p>
        </w:tc>
      </w:tr>
      <w:tr w14:paraId="7B656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88FDEFF">
            <w:pPr>
              <w:widowControl/>
              <w:jc w:val="center"/>
              <w:rPr>
                <w:szCs w:val="21"/>
                <w:highlight w:val="none"/>
              </w:rPr>
            </w:pPr>
            <w:r>
              <w:rPr>
                <w:szCs w:val="21"/>
                <w:highlight w:val="none"/>
              </w:rPr>
              <w:t>…</w:t>
            </w:r>
          </w:p>
        </w:tc>
        <w:tc>
          <w:tcPr>
            <w:tcW w:w="3686" w:type="dxa"/>
            <w:vAlign w:val="center"/>
          </w:tcPr>
          <w:p w14:paraId="3D6F9D6A">
            <w:pPr>
              <w:widowControl/>
              <w:jc w:val="left"/>
              <w:rPr>
                <w:szCs w:val="21"/>
                <w:highlight w:val="none"/>
              </w:rPr>
            </w:pPr>
          </w:p>
        </w:tc>
        <w:tc>
          <w:tcPr>
            <w:tcW w:w="3402" w:type="dxa"/>
            <w:vAlign w:val="center"/>
          </w:tcPr>
          <w:p w14:paraId="2608A908">
            <w:pPr>
              <w:widowControl/>
              <w:jc w:val="left"/>
              <w:rPr>
                <w:szCs w:val="21"/>
                <w:highlight w:val="none"/>
              </w:rPr>
            </w:pPr>
          </w:p>
        </w:tc>
        <w:tc>
          <w:tcPr>
            <w:tcW w:w="992" w:type="dxa"/>
            <w:vAlign w:val="center"/>
          </w:tcPr>
          <w:p w14:paraId="707F1056">
            <w:pPr>
              <w:widowControl/>
              <w:jc w:val="center"/>
              <w:rPr>
                <w:szCs w:val="21"/>
                <w:highlight w:val="none"/>
              </w:rPr>
            </w:pPr>
          </w:p>
        </w:tc>
        <w:tc>
          <w:tcPr>
            <w:tcW w:w="986" w:type="dxa"/>
            <w:vAlign w:val="center"/>
          </w:tcPr>
          <w:p w14:paraId="3BC09A95">
            <w:pPr>
              <w:widowControl/>
              <w:jc w:val="center"/>
              <w:rPr>
                <w:szCs w:val="21"/>
                <w:highlight w:val="none"/>
              </w:rPr>
            </w:pPr>
          </w:p>
        </w:tc>
      </w:tr>
    </w:tbl>
    <w:p w14:paraId="252132EA">
      <w:pPr>
        <w:widowControl/>
        <w:jc w:val="left"/>
        <w:rPr>
          <w:szCs w:val="21"/>
          <w:highlight w:val="none"/>
        </w:rPr>
        <w:sectPr>
          <w:pgSz w:w="11906" w:h="16838"/>
          <w:pgMar w:top="851" w:right="1134" w:bottom="851" w:left="1134" w:header="0" w:footer="567" w:gutter="0"/>
          <w:pgNumType w:fmt="decimal"/>
          <w:cols w:space="425" w:num="1"/>
          <w:docGrid w:linePitch="312" w:charSpace="0"/>
        </w:sectPr>
      </w:pPr>
    </w:p>
    <w:p w14:paraId="70DD69FA">
      <w:pPr>
        <w:widowControl/>
        <w:jc w:val="left"/>
        <w:rPr>
          <w:rFonts w:ascii="宋体" w:hAnsi="宋体"/>
          <w:b/>
          <w:bCs/>
          <w:szCs w:val="21"/>
          <w:highlight w:val="none"/>
        </w:rPr>
      </w:pPr>
      <w:r>
        <w:rPr>
          <w:rFonts w:hint="eastAsia" w:ascii="宋体" w:hAnsi="宋体"/>
          <w:b/>
          <w:bCs/>
          <w:szCs w:val="21"/>
          <w:highlight w:val="none"/>
        </w:rPr>
        <w:t>附件2：考核标准</w:t>
      </w:r>
      <w:r>
        <w:rPr>
          <w:rFonts w:hint="eastAsia"/>
          <w:b/>
          <w:bCs/>
          <w:i/>
          <w:iCs/>
          <w:szCs w:val="21"/>
          <w:highlight w:val="none"/>
        </w:rPr>
        <w:t>&lt;根据项目实际情况编制</w:t>
      </w:r>
      <w:r>
        <w:rPr>
          <w:b/>
          <w:bCs/>
          <w:i/>
          <w:iCs/>
          <w:szCs w:val="21"/>
          <w:highlight w:val="none"/>
        </w:rPr>
        <w:t>&gt;</w:t>
      </w:r>
    </w:p>
    <w:p w14:paraId="1909835A">
      <w:pPr>
        <w:rPr>
          <w:highlight w:val="none"/>
        </w:rPr>
      </w:pPr>
    </w:p>
    <w:p w14:paraId="7232242C">
      <w:pPr>
        <w:widowControl/>
        <w:jc w:val="left"/>
        <w:rPr>
          <w:highlight w:val="none"/>
        </w:rPr>
        <w:sectPr>
          <w:pgSz w:w="11906" w:h="16838"/>
          <w:pgMar w:top="851" w:right="1134" w:bottom="851" w:left="1134" w:header="0" w:footer="567" w:gutter="0"/>
          <w:pgNumType w:fmt="decimal"/>
          <w:cols w:space="425" w:num="1"/>
          <w:docGrid w:linePitch="312" w:charSpace="0"/>
        </w:sectPr>
      </w:pPr>
      <w:r>
        <w:rPr>
          <w:rFonts w:hint="eastAsia"/>
          <w:highlight w:val="none"/>
        </w:rPr>
        <w:t>*</w:t>
      </w:r>
      <w:r>
        <w:rPr>
          <w:highlight w:val="none"/>
        </w:rPr>
        <w:t>**</w:t>
      </w:r>
    </w:p>
    <w:p w14:paraId="04310B83">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：维保</w:t>
      </w:r>
      <w:r>
        <w:rPr>
          <w:rFonts w:ascii="宋体" w:hAnsi="宋体"/>
          <w:b/>
          <w:bCs/>
          <w:szCs w:val="21"/>
          <w:highlight w:val="none"/>
        </w:rPr>
        <w:t>服务</w:t>
      </w:r>
      <w:r>
        <w:rPr>
          <w:rFonts w:hint="eastAsia" w:ascii="宋体" w:hAnsi="宋体"/>
          <w:b/>
          <w:bCs/>
          <w:szCs w:val="21"/>
          <w:highlight w:val="none"/>
        </w:rPr>
        <w:t>方案</w:t>
      </w:r>
      <w:r>
        <w:rPr>
          <w:rFonts w:hint="eastAsia"/>
          <w:b/>
          <w:bCs/>
          <w:i/>
          <w:iCs/>
          <w:szCs w:val="21"/>
          <w:highlight w:val="none"/>
        </w:rPr>
        <w:t>&lt;根据项目实际情况编制</w:t>
      </w:r>
      <w:r>
        <w:rPr>
          <w:b/>
          <w:bCs/>
          <w:i/>
          <w:iCs/>
          <w:szCs w:val="21"/>
          <w:highlight w:val="none"/>
        </w:rPr>
        <w:t>&gt;</w:t>
      </w:r>
    </w:p>
    <w:p w14:paraId="4682E19A">
      <w:pPr>
        <w:rPr>
          <w:highlight w:val="none"/>
        </w:rPr>
      </w:pPr>
    </w:p>
    <w:p w14:paraId="5CE19DBA">
      <w:pPr>
        <w:rPr>
          <w:highlight w:val="none"/>
        </w:rPr>
      </w:pPr>
      <w:r>
        <w:rPr>
          <w:rFonts w:hint="eastAsia"/>
          <w:highlight w:val="none"/>
        </w:rPr>
        <w:t>*</w:t>
      </w:r>
      <w:r>
        <w:rPr>
          <w:highlight w:val="none"/>
        </w:rPr>
        <w:t>**</w:t>
      </w:r>
    </w:p>
    <w:p w14:paraId="3CA04CF8">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5E326364">
      <w:pPr>
        <w:pStyle w:val="26"/>
        <w:rPr>
          <w:rFonts w:ascii="Times New Roman" w:hAnsi="Times New Roman"/>
        </w:rPr>
      </w:pPr>
    </w:p>
    <w:sectPr>
      <w:headerReference r:id="rId9" w:type="default"/>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9787361-B2E2-430B-BCDD-93EAB62FAC8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E353002-F911-4448-9651-F694187B962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5AAAF8D-2A75-4077-8039-A1FE3928A39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0BADDA2-05B1-43FB-B96D-03BC58F52DD8}"/>
  </w:font>
  <w:font w:name="Segoe UI Symbol">
    <w:panose1 w:val="020B0502040204020203"/>
    <w:charset w:val="00"/>
    <w:family w:val="swiss"/>
    <w:pitch w:val="default"/>
    <w:sig w:usb0="800001E3" w:usb1="1200FFEF" w:usb2="00040000" w:usb3="04000000" w:csb0="00000001" w:csb1="40000000"/>
    <w:embedRegular r:id="rId5" w:fontKey="{12B80082-B4AF-49D1-ACB9-CD0A3D0BF62D}"/>
  </w:font>
  <w:font w:name="Wingdings 2">
    <w:altName w:val="Wingdings"/>
    <w:panose1 w:val="05020102010507070707"/>
    <w:charset w:val="4D"/>
    <w:family w:val="decorative"/>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embedRegular r:id="rId6" w:fontKey="{08406AEB-C1D4-4B55-86E1-379688F2744C}"/>
  </w:font>
  <w:font w:name="Arial">
    <w:panose1 w:val="020B0604020202020204"/>
    <w:charset w:val="00"/>
    <w:family w:val="auto"/>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4FBC1">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5E120F">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25E120F">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41</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BF25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2441BBD7">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6AC93">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8E57A">
                          <w:pPr>
                            <w:pStyle w:val="11"/>
                          </w:pPr>
                          <w:r>
                            <w:t xml:space="preserve">第 </w:t>
                          </w:r>
                          <w:r>
                            <w:fldChar w:fldCharType="begin"/>
                          </w:r>
                          <w:r>
                            <w:instrText xml:space="preserve"> PAGE  \* MERGEFORMAT </w:instrText>
                          </w:r>
                          <w:r>
                            <w:fldChar w:fldCharType="separate"/>
                          </w:r>
                          <w:r>
                            <w:t>31</w:t>
                          </w:r>
                          <w:r>
                            <w:fldChar w:fldCharType="end"/>
                          </w:r>
                          <w:r>
                            <w:t xml:space="preserve"> 页 共 </w:t>
                          </w:r>
                          <w:r>
                            <w:rPr>
                              <w:rFonts w:hint="eastAsia"/>
                              <w:lang w:val="en-US" w:eastAsia="zh-CN"/>
                            </w:rPr>
                            <w:t>41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9E8E57A">
                    <w:pPr>
                      <w:pStyle w:val="11"/>
                    </w:pPr>
                    <w:r>
                      <w:t xml:space="preserve">第 </w:t>
                    </w:r>
                    <w:r>
                      <w:fldChar w:fldCharType="begin"/>
                    </w:r>
                    <w:r>
                      <w:instrText xml:space="preserve"> PAGE  \* MERGEFORMAT </w:instrText>
                    </w:r>
                    <w:r>
                      <w:fldChar w:fldCharType="separate"/>
                    </w:r>
                    <w:r>
                      <w:t>31</w:t>
                    </w:r>
                    <w:r>
                      <w:fldChar w:fldCharType="end"/>
                    </w:r>
                    <w:r>
                      <w:t xml:space="preserve"> 页 共 </w:t>
                    </w:r>
                    <w:r>
                      <w:rPr>
                        <w:rFonts w:hint="eastAsia"/>
                        <w:lang w:val="en-US" w:eastAsia="zh-CN"/>
                      </w:rPr>
                      <w:t>41</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7E0D57">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E7E0D57">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41</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15E0DB4"/>
    <w:multiLevelType w:val="multilevel"/>
    <w:tmpl w:val="315E0DB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1746"/>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2D606C"/>
    <w:rsid w:val="01AC5842"/>
    <w:rsid w:val="02765207"/>
    <w:rsid w:val="02820350"/>
    <w:rsid w:val="03D746CC"/>
    <w:rsid w:val="03FE7FDC"/>
    <w:rsid w:val="03FF3CD8"/>
    <w:rsid w:val="044D0983"/>
    <w:rsid w:val="047C774D"/>
    <w:rsid w:val="04C64E6C"/>
    <w:rsid w:val="058C78B0"/>
    <w:rsid w:val="05D84E57"/>
    <w:rsid w:val="05E13064"/>
    <w:rsid w:val="06A64F55"/>
    <w:rsid w:val="078A573C"/>
    <w:rsid w:val="07C338E5"/>
    <w:rsid w:val="07DC6755"/>
    <w:rsid w:val="084464AE"/>
    <w:rsid w:val="093A3733"/>
    <w:rsid w:val="09AF7805"/>
    <w:rsid w:val="09B05932"/>
    <w:rsid w:val="0B4508AE"/>
    <w:rsid w:val="0B983A14"/>
    <w:rsid w:val="0BA23811"/>
    <w:rsid w:val="0C120997"/>
    <w:rsid w:val="0C774C9E"/>
    <w:rsid w:val="0CC17515"/>
    <w:rsid w:val="0CF161C9"/>
    <w:rsid w:val="0D942D77"/>
    <w:rsid w:val="0DA44863"/>
    <w:rsid w:val="0DF742E8"/>
    <w:rsid w:val="0E0B7FF0"/>
    <w:rsid w:val="0F6A4F2B"/>
    <w:rsid w:val="0FC14BAE"/>
    <w:rsid w:val="101214FF"/>
    <w:rsid w:val="10432B4B"/>
    <w:rsid w:val="10914580"/>
    <w:rsid w:val="10A15B58"/>
    <w:rsid w:val="1166090E"/>
    <w:rsid w:val="117556CB"/>
    <w:rsid w:val="117A5014"/>
    <w:rsid w:val="123122E5"/>
    <w:rsid w:val="127F05A0"/>
    <w:rsid w:val="1299771C"/>
    <w:rsid w:val="132C1BBD"/>
    <w:rsid w:val="136D78F8"/>
    <w:rsid w:val="137361BF"/>
    <w:rsid w:val="13806B2E"/>
    <w:rsid w:val="13FA41EA"/>
    <w:rsid w:val="15567E5A"/>
    <w:rsid w:val="15A57ABC"/>
    <w:rsid w:val="15CC4977"/>
    <w:rsid w:val="16092E0B"/>
    <w:rsid w:val="162A4F7D"/>
    <w:rsid w:val="16A82A66"/>
    <w:rsid w:val="17826121"/>
    <w:rsid w:val="17FD074D"/>
    <w:rsid w:val="184B4C79"/>
    <w:rsid w:val="1921362A"/>
    <w:rsid w:val="194D2589"/>
    <w:rsid w:val="19636F94"/>
    <w:rsid w:val="1994787E"/>
    <w:rsid w:val="1ACE4623"/>
    <w:rsid w:val="1B0B27A2"/>
    <w:rsid w:val="1B634D6B"/>
    <w:rsid w:val="1BC9751D"/>
    <w:rsid w:val="1BCD7C8C"/>
    <w:rsid w:val="1BDC68CC"/>
    <w:rsid w:val="1C9A2A0F"/>
    <w:rsid w:val="1CB6711D"/>
    <w:rsid w:val="1D04432C"/>
    <w:rsid w:val="1D4738BB"/>
    <w:rsid w:val="1DAE3B21"/>
    <w:rsid w:val="1DC35F95"/>
    <w:rsid w:val="1DD000AF"/>
    <w:rsid w:val="1E09745A"/>
    <w:rsid w:val="1E176351"/>
    <w:rsid w:val="1E495E71"/>
    <w:rsid w:val="1EFD3064"/>
    <w:rsid w:val="1F226CEB"/>
    <w:rsid w:val="212C3E51"/>
    <w:rsid w:val="215D225D"/>
    <w:rsid w:val="216E6218"/>
    <w:rsid w:val="22904DF6"/>
    <w:rsid w:val="22935D1D"/>
    <w:rsid w:val="23D4489F"/>
    <w:rsid w:val="24785A5A"/>
    <w:rsid w:val="24816F73"/>
    <w:rsid w:val="252B6033"/>
    <w:rsid w:val="25537BFE"/>
    <w:rsid w:val="25DE2C53"/>
    <w:rsid w:val="262001B9"/>
    <w:rsid w:val="26591245"/>
    <w:rsid w:val="268752DF"/>
    <w:rsid w:val="275163C0"/>
    <w:rsid w:val="27B87AF9"/>
    <w:rsid w:val="27E80EA9"/>
    <w:rsid w:val="27F37477"/>
    <w:rsid w:val="280414A1"/>
    <w:rsid w:val="28463A4A"/>
    <w:rsid w:val="284B1209"/>
    <w:rsid w:val="28570368"/>
    <w:rsid w:val="29736AC1"/>
    <w:rsid w:val="29A749BD"/>
    <w:rsid w:val="29C5318E"/>
    <w:rsid w:val="2A4D54A0"/>
    <w:rsid w:val="2AD73080"/>
    <w:rsid w:val="2B502F98"/>
    <w:rsid w:val="2B5B780D"/>
    <w:rsid w:val="2BC83FDD"/>
    <w:rsid w:val="2BCE1CBC"/>
    <w:rsid w:val="2C904F04"/>
    <w:rsid w:val="2C9A0A9E"/>
    <w:rsid w:val="2DA70D65"/>
    <w:rsid w:val="2DC85380"/>
    <w:rsid w:val="2DD92C6B"/>
    <w:rsid w:val="2E81758A"/>
    <w:rsid w:val="2EA80FBB"/>
    <w:rsid w:val="30136908"/>
    <w:rsid w:val="30542857"/>
    <w:rsid w:val="306925E3"/>
    <w:rsid w:val="30893E07"/>
    <w:rsid w:val="31322DBE"/>
    <w:rsid w:val="321253A2"/>
    <w:rsid w:val="32B51EF8"/>
    <w:rsid w:val="333F7A14"/>
    <w:rsid w:val="33835F12"/>
    <w:rsid w:val="33FB1B8D"/>
    <w:rsid w:val="3427766B"/>
    <w:rsid w:val="342E16E7"/>
    <w:rsid w:val="34313801"/>
    <w:rsid w:val="343706EB"/>
    <w:rsid w:val="34637A9A"/>
    <w:rsid w:val="346534AA"/>
    <w:rsid w:val="351A08D0"/>
    <w:rsid w:val="354E4778"/>
    <w:rsid w:val="35E30B2B"/>
    <w:rsid w:val="36334CE5"/>
    <w:rsid w:val="3652180C"/>
    <w:rsid w:val="368D6CE8"/>
    <w:rsid w:val="3744384B"/>
    <w:rsid w:val="376D029D"/>
    <w:rsid w:val="37BE35FD"/>
    <w:rsid w:val="37F30DCD"/>
    <w:rsid w:val="382B5F8F"/>
    <w:rsid w:val="39292797"/>
    <w:rsid w:val="39C173D5"/>
    <w:rsid w:val="39CD7B28"/>
    <w:rsid w:val="3A2160C5"/>
    <w:rsid w:val="3A2D6818"/>
    <w:rsid w:val="3A551407"/>
    <w:rsid w:val="3B033C36"/>
    <w:rsid w:val="3B2220F5"/>
    <w:rsid w:val="3B274DFB"/>
    <w:rsid w:val="3B9C7486"/>
    <w:rsid w:val="3BCB62E9"/>
    <w:rsid w:val="3BCF77BE"/>
    <w:rsid w:val="3C333E8E"/>
    <w:rsid w:val="3CE05DC4"/>
    <w:rsid w:val="3D1C123D"/>
    <w:rsid w:val="3D566086"/>
    <w:rsid w:val="3DA9265A"/>
    <w:rsid w:val="3DAC6CE1"/>
    <w:rsid w:val="3DBF7BA4"/>
    <w:rsid w:val="3DF1587D"/>
    <w:rsid w:val="3DFD6502"/>
    <w:rsid w:val="3E03620E"/>
    <w:rsid w:val="3E57579A"/>
    <w:rsid w:val="3E5D4E8E"/>
    <w:rsid w:val="3EF618CF"/>
    <w:rsid w:val="3F246EDA"/>
    <w:rsid w:val="3F332A95"/>
    <w:rsid w:val="3FE25336"/>
    <w:rsid w:val="40AA0BC3"/>
    <w:rsid w:val="41076015"/>
    <w:rsid w:val="41160006"/>
    <w:rsid w:val="412D2A38"/>
    <w:rsid w:val="41D67795"/>
    <w:rsid w:val="42075FF8"/>
    <w:rsid w:val="425608D6"/>
    <w:rsid w:val="42842020"/>
    <w:rsid w:val="42D812EB"/>
    <w:rsid w:val="42E64203"/>
    <w:rsid w:val="43211E2D"/>
    <w:rsid w:val="434C1AB7"/>
    <w:rsid w:val="43663830"/>
    <w:rsid w:val="43B007C1"/>
    <w:rsid w:val="43D80310"/>
    <w:rsid w:val="44150A49"/>
    <w:rsid w:val="44C47D79"/>
    <w:rsid w:val="44C80E26"/>
    <w:rsid w:val="45844431"/>
    <w:rsid w:val="45A73923"/>
    <w:rsid w:val="45B222C8"/>
    <w:rsid w:val="468567BB"/>
    <w:rsid w:val="46A82DEF"/>
    <w:rsid w:val="4782487D"/>
    <w:rsid w:val="482079BC"/>
    <w:rsid w:val="48BC68A3"/>
    <w:rsid w:val="48F75AD9"/>
    <w:rsid w:val="49C64593"/>
    <w:rsid w:val="49FC25C6"/>
    <w:rsid w:val="4B31068E"/>
    <w:rsid w:val="4B897627"/>
    <w:rsid w:val="4BA55220"/>
    <w:rsid w:val="4BAD0151"/>
    <w:rsid w:val="4BF24081"/>
    <w:rsid w:val="4C184E09"/>
    <w:rsid w:val="4C8F75A2"/>
    <w:rsid w:val="4D4B1038"/>
    <w:rsid w:val="4D5F4AE3"/>
    <w:rsid w:val="4DA1334D"/>
    <w:rsid w:val="4DAD4403"/>
    <w:rsid w:val="4E5E3241"/>
    <w:rsid w:val="4E8C008E"/>
    <w:rsid w:val="4FEF758C"/>
    <w:rsid w:val="50201D6B"/>
    <w:rsid w:val="50771A9C"/>
    <w:rsid w:val="508605D9"/>
    <w:rsid w:val="51C47F6D"/>
    <w:rsid w:val="5382777D"/>
    <w:rsid w:val="53AE0572"/>
    <w:rsid w:val="5455382C"/>
    <w:rsid w:val="54907C00"/>
    <w:rsid w:val="54AF6350"/>
    <w:rsid w:val="54E16725"/>
    <w:rsid w:val="54FB1595"/>
    <w:rsid w:val="55342CF9"/>
    <w:rsid w:val="559B4861"/>
    <w:rsid w:val="55B8083D"/>
    <w:rsid w:val="563352B9"/>
    <w:rsid w:val="563805C7"/>
    <w:rsid w:val="56A75E3B"/>
    <w:rsid w:val="57396CFC"/>
    <w:rsid w:val="57DC1308"/>
    <w:rsid w:val="583D29FF"/>
    <w:rsid w:val="58406E56"/>
    <w:rsid w:val="59965D30"/>
    <w:rsid w:val="5A6307F6"/>
    <w:rsid w:val="5AA224B3"/>
    <w:rsid w:val="5B24602D"/>
    <w:rsid w:val="5B791466"/>
    <w:rsid w:val="5BA529F7"/>
    <w:rsid w:val="5CED3EB9"/>
    <w:rsid w:val="5D0A3490"/>
    <w:rsid w:val="5D7E0D39"/>
    <w:rsid w:val="5DF26102"/>
    <w:rsid w:val="5E3B6EA6"/>
    <w:rsid w:val="5E9D3F29"/>
    <w:rsid w:val="5F85487D"/>
    <w:rsid w:val="60384CD1"/>
    <w:rsid w:val="60655808"/>
    <w:rsid w:val="60F86CEE"/>
    <w:rsid w:val="615F2EAC"/>
    <w:rsid w:val="617D1584"/>
    <w:rsid w:val="61DE0274"/>
    <w:rsid w:val="6220263B"/>
    <w:rsid w:val="63A9427A"/>
    <w:rsid w:val="63D462B1"/>
    <w:rsid w:val="63E678B4"/>
    <w:rsid w:val="641A3596"/>
    <w:rsid w:val="64550596"/>
    <w:rsid w:val="64C10E6B"/>
    <w:rsid w:val="64C319A4"/>
    <w:rsid w:val="64D96647"/>
    <w:rsid w:val="655B51E5"/>
    <w:rsid w:val="65E40ADA"/>
    <w:rsid w:val="65F17726"/>
    <w:rsid w:val="66330B86"/>
    <w:rsid w:val="66E22203"/>
    <w:rsid w:val="66F039D9"/>
    <w:rsid w:val="67746C30"/>
    <w:rsid w:val="67770271"/>
    <w:rsid w:val="68A90F2B"/>
    <w:rsid w:val="68B812C9"/>
    <w:rsid w:val="68E46847"/>
    <w:rsid w:val="6933534A"/>
    <w:rsid w:val="69B97B02"/>
    <w:rsid w:val="69D50CF4"/>
    <w:rsid w:val="6A535578"/>
    <w:rsid w:val="6AFC6742"/>
    <w:rsid w:val="6B054AC4"/>
    <w:rsid w:val="6BBB1173"/>
    <w:rsid w:val="6C487AFD"/>
    <w:rsid w:val="6C7D5DC3"/>
    <w:rsid w:val="6CB24363"/>
    <w:rsid w:val="6D5B50DE"/>
    <w:rsid w:val="6D733394"/>
    <w:rsid w:val="6D7777CF"/>
    <w:rsid w:val="6E072901"/>
    <w:rsid w:val="6EA93466"/>
    <w:rsid w:val="6F276F27"/>
    <w:rsid w:val="6F7D4948"/>
    <w:rsid w:val="6F960C48"/>
    <w:rsid w:val="6FCF0795"/>
    <w:rsid w:val="71381023"/>
    <w:rsid w:val="71B0505E"/>
    <w:rsid w:val="73714961"/>
    <w:rsid w:val="73760242"/>
    <w:rsid w:val="73BA21C4"/>
    <w:rsid w:val="73F456D6"/>
    <w:rsid w:val="74D27DA9"/>
    <w:rsid w:val="74D925D0"/>
    <w:rsid w:val="74DE07D3"/>
    <w:rsid w:val="754D1D92"/>
    <w:rsid w:val="758350A9"/>
    <w:rsid w:val="77897A41"/>
    <w:rsid w:val="77D00208"/>
    <w:rsid w:val="77FE6B23"/>
    <w:rsid w:val="7803238B"/>
    <w:rsid w:val="78F86E3B"/>
    <w:rsid w:val="79687E1D"/>
    <w:rsid w:val="796A42FA"/>
    <w:rsid w:val="79E16E1A"/>
    <w:rsid w:val="7A2F5A49"/>
    <w:rsid w:val="7AA421A4"/>
    <w:rsid w:val="7AE069B4"/>
    <w:rsid w:val="7B560FD7"/>
    <w:rsid w:val="7B5F74F8"/>
    <w:rsid w:val="7B690630"/>
    <w:rsid w:val="7B8437E3"/>
    <w:rsid w:val="7BB64ECC"/>
    <w:rsid w:val="7BC01667"/>
    <w:rsid w:val="7C5123F4"/>
    <w:rsid w:val="7C6B49A3"/>
    <w:rsid w:val="7C7E6FA2"/>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43</Pages>
  <Words>4067</Words>
  <Characters>4234</Characters>
  <Lines>72</Lines>
  <Paragraphs>20</Paragraphs>
  <TotalTime>7</TotalTime>
  <ScaleCrop>false</ScaleCrop>
  <LinksUpToDate>false</LinksUpToDate>
  <CharactersWithSpaces>4320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蔡</cp:lastModifiedBy>
  <dcterms:modified xsi:type="dcterms:W3CDTF">2026-05-22T03:09:34Z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57EB7A2434744399A951BBFC278C5099_13</vt:lpwstr>
  </property>
  <property fmtid="{D5CDD505-2E9C-101B-9397-08002B2CF9AE}" pid="4" name="KSOTemplateDocerSaveRecord">
    <vt:lpwstr>eyJoZGlkIjoiNDU1YmYzOWI1MGQ5Y2QxMDdiMGRkODdlZjIwNjk0MGUiLCJ1c2VySWQiOiIyMTIzMTcyNzYifQ==</vt:lpwstr>
  </property>
</Properties>
</file>