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四川省人民医院2026年单细胞悬液制备仪采购项目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bookmarkStart w:id="118" w:name="_GoBack"/>
      <w:bookmarkEnd w:id="118"/>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471310326"/>
      <w:bookmarkStart w:id="2" w:name="_Toc20358"/>
      <w:bookmarkStart w:id="3" w:name="_Toc3240"/>
      <w:bookmarkStart w:id="4" w:name="_Toc1907"/>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四川省人民医院2026年单细胞悬液制备仪采购项目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CGZX-KYB20261139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148000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933F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6"/>
        <w:gridCol w:w="16"/>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单细胞悬液制备仪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单细胞悬液制备仪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14.8</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14.8</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否</w:t>
            </w:r>
          </w:p>
        </w:tc>
      </w:tr>
    </w:tbl>
    <w:p w14:paraId="397B95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1、▲工作原理：采用氧化锆珠和消化酶共同作用，通过恒温消化，从各种组织解离成单细胞悬液。</w:t>
      </w:r>
    </w:p>
    <w:p w14:paraId="61B744B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2、▲温度设置范围满足：22℃—56℃；单个解离模块可同时处理≥12个2 mL或≥6个5 mL解离管；处理样本量范围满足：5 mg—1000 mg；制备流程全自动，用时≤30 min；速度设置范围满足：0转/分钟—4000转/分钟。</w:t>
      </w:r>
    </w:p>
    <w:p w14:paraId="26D6C6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3、采用脉冲式马达。</w:t>
      </w:r>
    </w:p>
    <w:p w14:paraId="061B13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4、单细胞悬液制备后的细胞活性≥85%。</w:t>
      </w:r>
    </w:p>
    <w:p w14:paraId="649144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5、▲穿刺样本：组织利用率100%，单细胞产量≥10万个。</w:t>
      </w:r>
    </w:p>
    <w:p w14:paraId="25AFF8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6、原代细胞样本：从组织解离成单细胞用时≤15 min。</w:t>
      </w:r>
    </w:p>
    <w:p w14:paraId="392132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7、工作时间：制备程序时间设置范围满足3 min—90 min，设定时间可自定义。</w:t>
      </w:r>
    </w:p>
    <w:p w14:paraId="2B8829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8、▲具备电磁锁定保护装置，全铝合金CNC内腔。</w:t>
      </w:r>
    </w:p>
    <w:p w14:paraId="6D368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9、可储存自定义制备程序≥6组，≥1000条自定义程序。</w:t>
      </w:r>
    </w:p>
    <w:p w14:paraId="137710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10、噪音≤50 dB，具备无刷电机。</w:t>
      </w:r>
    </w:p>
    <w:p w14:paraId="37E8A8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11、★配置要求：</w:t>
      </w:r>
    </w:p>
    <w:p w14:paraId="536EB83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720" w:firstLineChars="300"/>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主机1台、解离模块2个、2 mL解离管100个、5 mL解离管100个。</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3.交货地点：四川省人民医院（中和）。</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文件格式），采购人将以此为依据进行验收。技术参数中采购人的实质性配置要求★包含的内容须在分项报价明细表中报价（技术参数第</w:t>
      </w:r>
      <w:r>
        <w:rPr>
          <w:rFonts w:hint="eastAsia" w:ascii="仿宋" w:hAnsi="仿宋" w:eastAsia="仿宋" w:cs="仿宋"/>
          <w:color w:val="000000" w:themeColor="text1"/>
          <w:sz w:val="24"/>
          <w:szCs w:val="24"/>
          <w:lang w:val="en-US" w:eastAsia="zh-CN"/>
          <w14:textFill>
            <w14:solidFill>
              <w14:schemeClr w14:val="tx1"/>
            </w14:solidFill>
          </w14:textFill>
        </w:rPr>
        <w:t>11</w:t>
      </w:r>
      <w:r>
        <w:rPr>
          <w:rFonts w:hint="eastAsia" w:ascii="仿宋" w:hAnsi="仿宋" w:eastAsia="仿宋" w:cs="仿宋"/>
          <w:color w:val="000000" w:themeColor="text1"/>
          <w:sz w:val="24"/>
          <w:szCs w:val="24"/>
          <w14:textFill>
            <w14:solidFill>
              <w14:schemeClr w14:val="tx1"/>
            </w14:solidFill>
          </w14:textFill>
        </w:rPr>
        <w:t>条），除此之外，若涉及设备正常运行所需的其他配置内容，供应商在配置清单中列明涉及的产品名称、型号（若有）、数量即可，供应商可根据响应产品实际情况确定是否单独报价。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6.供应商提供的产品的生产日期与到货日期时间间隔不大于3个月，供应商提供承诺函，格式自拟。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20</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17163"/>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6803"/>
      <w:bookmarkStart w:id="40" w:name="_Toc2412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5996"/>
      <w:bookmarkStart w:id="44" w:name="_Toc2989"/>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5056"/>
      <w:bookmarkStart w:id="48" w:name="_Toc7233"/>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16029"/>
      <w:bookmarkStart w:id="52" w:name="_Toc14829"/>
      <w:bookmarkStart w:id="53" w:name="_Toc6482"/>
      <w:bookmarkStart w:id="54" w:name="_Toc21519"/>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30971"/>
      <w:bookmarkStart w:id="58" w:name="_Toc17857"/>
      <w:bookmarkStart w:id="59" w:name="_Toc22676"/>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13706"/>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1351"/>
      <w:bookmarkStart w:id="70" w:name="_Toc20589"/>
      <w:bookmarkStart w:id="71" w:name="_Toc15526"/>
      <w:bookmarkStart w:id="72" w:name="_Toc27661"/>
      <w:bookmarkStart w:id="73" w:name="_Toc12015"/>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16435"/>
      <w:bookmarkStart w:id="77" w:name="_Toc26969"/>
      <w:bookmarkStart w:id="78" w:name="_Toc1074"/>
      <w:bookmarkStart w:id="79" w:name="_Toc2041"/>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1369"/>
      <w:bookmarkStart w:id="83" w:name="_Toc21082"/>
      <w:bookmarkStart w:id="84" w:name="_Toc28634"/>
      <w:bookmarkStart w:id="85" w:name="_Toc31686"/>
      <w:bookmarkStart w:id="86" w:name="_Toc2683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14685"/>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5A97EC9-326D-4357-B38E-B2CB6EDF468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5601F36-C03D-415B-AA8E-3F2B4D258D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F6D35F6-9BC8-4A47-AC54-5B443AB5D4D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035B8E2-7BFA-4078-9A11-CD6404D3F8B9}"/>
  </w:font>
  <w:font w:name="Segoe UI Symbol">
    <w:panose1 w:val="020B0502040204020203"/>
    <w:charset w:val="00"/>
    <w:family w:val="swiss"/>
    <w:pitch w:val="default"/>
    <w:sig w:usb0="800001E3" w:usb1="1200FFEF" w:usb2="00040000" w:usb3="04000000" w:csb0="00000001" w:csb1="40000000"/>
    <w:embedRegular r:id="rId5" w:fontKey="{7BD0244F-D73E-4F30-A574-7055C7378F1E}"/>
  </w:font>
  <w:font w:name="Wingdings 2">
    <w:altName w:val="Wingdings"/>
    <w:panose1 w:val="05020102010507070707"/>
    <w:charset w:val="4D"/>
    <w:family w:val="decorative"/>
    <w:pitch w:val="default"/>
    <w:sig w:usb0="00000000" w:usb1="00000000" w:usb2="00000000" w:usb3="00000000" w:csb0="80000000" w:csb1="00000000"/>
    <w:embedRegular r:id="rId6" w:fontKey="{50EBFC8B-5529-488C-B89C-74403DE4054A}"/>
  </w:font>
  <w:font w:name="Songti SC">
    <w:altName w:val="宋体"/>
    <w:panose1 w:val="02010600040101010101"/>
    <w:charset w:val="86"/>
    <w:family w:val="auto"/>
    <w:pitch w:val="default"/>
    <w:sig w:usb0="00000000" w:usb1="00000000" w:usb2="00000010" w:usb3="00000000" w:csb0="0004009F" w:csb1="00000000"/>
    <w:embedRegular r:id="rId7" w:fontKey="{1D5600E4-16C1-4461-B05B-3E58F31B15A2}"/>
  </w:font>
  <w:font w:name="微软雅黑">
    <w:panose1 w:val="020B0503020204020204"/>
    <w:charset w:val="86"/>
    <w:family w:val="auto"/>
    <w:pitch w:val="default"/>
    <w:sig w:usb0="80000287" w:usb1="2ACF3C50" w:usb2="00000016" w:usb3="00000000" w:csb0="0004001F" w:csb1="00000000"/>
    <w:embedRegular r:id="rId8" w:fontKey="{26E58A1B-6204-40D0-A381-3F4CD8FD7B9B}"/>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62001B9"/>
    <w:rsid w:val="27B87AF9"/>
    <w:rsid w:val="27E80EA9"/>
    <w:rsid w:val="280414A1"/>
    <w:rsid w:val="282322F9"/>
    <w:rsid w:val="28570368"/>
    <w:rsid w:val="28E72E42"/>
    <w:rsid w:val="29C5318E"/>
    <w:rsid w:val="2B502F98"/>
    <w:rsid w:val="2C9A0A9E"/>
    <w:rsid w:val="2DA70D65"/>
    <w:rsid w:val="2DF13843"/>
    <w:rsid w:val="2F66770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1244</Words>
  <Characters>1336</Characters>
  <Lines>72</Lines>
  <Paragraphs>20</Paragraphs>
  <TotalTime>0</TotalTime>
  <ScaleCrop>false</ScaleCrop>
  <LinksUpToDate>false</LinksUpToDate>
  <CharactersWithSpaces>1408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2026-07-20T06:45:53Z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