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四川省人民医院移动设备智能管理柜采购项目</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5</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highlight w:val="none"/>
        </w:rPr>
      </w:sdtEndPr>
      <w:sdtContent>
        <w:p w14:paraId="286328CF">
          <w:pPr>
            <w:spacing w:line="360" w:lineRule="auto"/>
            <w:jc w:val="center"/>
            <w:rPr>
              <w:rFonts w:hint="default" w:ascii="黑体" w:hAnsi="黑体" w:eastAsia="黑体" w:cs="黑体"/>
              <w:color w:val="auto"/>
              <w:sz w:val="32"/>
              <w:szCs w:val="32"/>
              <w:highlight w:val="none"/>
            </w:rPr>
          </w:pPr>
          <w:r>
            <w:rPr>
              <w:rFonts w:ascii="黑体" w:hAnsi="黑体" w:eastAsia="黑体" w:cs="黑体"/>
              <w:color w:val="auto"/>
              <w:sz w:val="32"/>
              <w:szCs w:val="32"/>
              <w:highlight w:val="none"/>
            </w:rPr>
            <w:t>目录</w:t>
          </w:r>
        </w:p>
        <w:p w14:paraId="7F215F51">
          <w:pPr>
            <w:pStyle w:val="10"/>
            <w:tabs>
              <w:tab w:val="right" w:leader="dot" w:pos="8294"/>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color w:val="auto"/>
              <w:highlight w:val="none"/>
            </w:rPr>
            <w:fldChar w:fldCharType="begin"/>
          </w:r>
          <w:r>
            <w:rPr>
              <w:color w:val="auto"/>
              <w:highlight w:val="none"/>
            </w:rPr>
            <w:instrText xml:space="preserve"> HYPERLINK \l "_Toc21451"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第一章 </w:t>
          </w:r>
          <w:r>
            <w:rPr>
              <w:rFonts w:hint="eastAsia" w:ascii="仿宋" w:hAnsi="仿宋" w:eastAsia="仿宋" w:cs="仿宋"/>
              <w:bCs/>
              <w:color w:val="auto"/>
              <w:sz w:val="24"/>
              <w:szCs w:val="24"/>
              <w:highlight w:val="none"/>
              <w:lang w:val="zh-TW" w:eastAsia="zh-TW"/>
            </w:rPr>
            <w:t>项目概况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_Toc21451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E52A9A0">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"_Toc18086" </w:instrText>
          </w:r>
          <w:r>
            <w:rPr>
              <w:color w:val="auto"/>
              <w:highlight w:val="none"/>
            </w:rPr>
            <w:fldChar w:fldCharType="separate"/>
          </w:r>
          <w:r>
            <w:rPr>
              <w:rFonts w:hint="eastAsia" w:ascii="仿宋" w:hAnsi="仿宋" w:eastAsia="仿宋" w:cs="仿宋"/>
              <w:bCs/>
              <w:color w:val="auto"/>
              <w:sz w:val="24"/>
              <w:szCs w:val="24"/>
              <w:highlight w:val="none"/>
            </w:rPr>
            <w:t xml:space="preserve">第二章 </w:t>
          </w:r>
          <w:r>
            <w:rPr>
              <w:rFonts w:hint="eastAsia" w:ascii="仿宋" w:hAnsi="仿宋" w:eastAsia="仿宋" w:cs="仿宋"/>
              <w:color w:val="auto"/>
              <w:sz w:val="24"/>
              <w:szCs w:val="24"/>
              <w:highlight w:val="none"/>
              <w:lang w:val="zh-TW"/>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4423B11">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"_Toc14719" </w:instrText>
          </w:r>
          <w:r>
            <w:rPr>
              <w:color w:val="auto"/>
              <w:highlight w:val="none"/>
            </w:rPr>
            <w:fldChar w:fldCharType="separate"/>
          </w:r>
          <w:r>
            <w:rPr>
              <w:rFonts w:hint="eastAsia" w:ascii="仿宋" w:hAnsi="仿宋" w:eastAsia="仿宋" w:cs="仿宋"/>
              <w:bCs/>
              <w:color w:val="auto"/>
              <w:sz w:val="24"/>
              <w:szCs w:val="24"/>
              <w:highlight w:val="none"/>
              <w:lang w:eastAsia="zh-TW"/>
            </w:rPr>
            <w:t xml:space="preserve">第三章 </w:t>
          </w:r>
          <w:r>
            <w:rPr>
              <w:rFonts w:hint="eastAsia" w:ascii="仿宋" w:hAnsi="仿宋" w:eastAsia="仿宋" w:cs="仿宋"/>
              <w:bCs/>
              <w:color w:val="auto"/>
              <w:sz w:val="24"/>
              <w:szCs w:val="24"/>
              <w:highlight w:val="none"/>
              <w:lang w:val="zh-TW" w:eastAsia="zh-TW"/>
            </w:rPr>
            <w:t>资格要求</w:t>
          </w:r>
          <w:r>
            <w:rPr>
              <w:rFonts w:hint="eastAsia" w:ascii="仿宋" w:hAnsi="仿宋" w:eastAsia="仿宋" w:cs="仿宋"/>
              <w:bCs/>
              <w:color w:val="auto"/>
              <w:sz w:val="24"/>
              <w:szCs w:val="24"/>
              <w:highlight w:val="none"/>
              <w:lang w:eastAsia="zh-TW"/>
            </w:rPr>
            <w:t>及采购需求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BE0A9C7">
          <w:pPr>
            <w:pStyle w:val="11"/>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"_Toc5866" </w:instrText>
          </w:r>
          <w:r>
            <w:rPr>
              <w:color w:val="auto"/>
              <w:highlight w:val="none"/>
            </w:rPr>
            <w:fldChar w:fldCharType="separate"/>
          </w:r>
          <w:r>
            <w:rPr>
              <w:rFonts w:ascii="仿宋" w:hAnsi="仿宋" w:eastAsia="仿宋" w:cs="仿宋"/>
              <w:color w:val="auto"/>
              <w:sz w:val="24"/>
              <w:szCs w:val="24"/>
              <w:highlight w:val="none"/>
            </w:rPr>
            <w:t>一、 资格要求：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_Toc5866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74DE36BE">
          <w:pPr>
            <w:pStyle w:val="11"/>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"_Toc21556" </w:instrText>
          </w:r>
          <w:r>
            <w:rPr>
              <w:color w:val="auto"/>
              <w:highlight w:val="none"/>
            </w:rPr>
            <w:fldChar w:fldCharType="separate"/>
          </w:r>
          <w:r>
            <w:rPr>
              <w:rFonts w:ascii="仿宋" w:hAnsi="仿宋" w:eastAsia="仿宋" w:cs="仿宋"/>
              <w:color w:val="auto"/>
              <w:sz w:val="24"/>
              <w:szCs w:val="24"/>
              <w:highlight w:val="none"/>
            </w:rPr>
            <w:t xml:space="preserve">二、 </w:t>
          </w:r>
          <w:r>
            <w:rPr>
              <w:rFonts w:ascii="仿宋" w:hAnsi="仿宋" w:eastAsia="仿宋" w:cs="仿宋"/>
              <w:bCs/>
              <w:color w:val="auto"/>
              <w:sz w:val="24"/>
              <w:szCs w:val="24"/>
              <w:highlight w:val="none"/>
            </w:rPr>
            <w:t>采购需求：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_Toc21556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0BE7162E">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"_Toc15867" </w:instrText>
          </w:r>
          <w:r>
            <w:rPr>
              <w:color w:val="auto"/>
              <w:highlight w:val="none"/>
            </w:rPr>
            <w:fldChar w:fldCharType="separate"/>
          </w:r>
          <w:r>
            <w:rPr>
              <w:rFonts w:hint="eastAsia" w:ascii="仿宋" w:hAnsi="仿宋" w:eastAsia="仿宋" w:cs="仿宋"/>
              <w:bCs/>
              <w:color w:val="auto"/>
              <w:sz w:val="24"/>
              <w:szCs w:val="24"/>
              <w:highlight w:val="none"/>
              <w:lang w:val="zh-TW"/>
            </w:rPr>
            <w:t>第四章 报价文件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B4A9FA1">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"_Toc11837"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第五章 </w:t>
          </w:r>
          <w:r>
            <w:rPr>
              <w:rFonts w:hint="eastAsia" w:ascii="仿宋" w:hAnsi="仿宋" w:eastAsia="仿宋" w:cs="仿宋"/>
              <w:bCs/>
              <w:color w:val="auto"/>
              <w:sz w:val="24"/>
              <w:szCs w:val="24"/>
              <w:highlight w:val="none"/>
              <w:lang w:val="zh-TW" w:eastAsia="zh-TW"/>
            </w:rPr>
            <w:t>合同</w:t>
          </w:r>
          <w:r>
            <w:rPr>
              <w:rFonts w:hint="eastAsia" w:ascii="仿宋" w:hAnsi="仿宋" w:eastAsia="仿宋" w:cs="仿宋"/>
              <w:bCs/>
              <w:color w:val="auto"/>
              <w:sz w:val="24"/>
              <w:szCs w:val="24"/>
              <w:highlight w:val="none"/>
              <w:lang w:val="zh-TW"/>
            </w:rPr>
            <w:t>（协议）</w:t>
          </w:r>
          <w:r>
            <w:rPr>
              <w:rFonts w:hint="eastAsia" w:ascii="仿宋" w:hAnsi="仿宋" w:eastAsia="仿宋" w:cs="仿宋"/>
              <w:bCs/>
              <w:color w:val="auto"/>
              <w:sz w:val="24"/>
              <w:szCs w:val="24"/>
              <w:highlight w:val="none"/>
              <w:lang w:val="zh-TW" w:eastAsia="zh-TW"/>
            </w:rPr>
            <w:t>主要条款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_Toc11837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8DAB0D1">
          <w:pPr>
            <w:pStyle w:val="10"/>
            <w:tabs>
              <w:tab w:val="right" w:leader="dot" w:pos="8294"/>
            </w:tabs>
            <w:spacing w:line="360" w:lineRule="auto"/>
            <w:rPr>
              <w:rFonts w:ascii="仿宋" w:hAnsi="仿宋" w:eastAsia="仿宋" w:cs="仿宋"/>
              <w:color w:val="auto"/>
              <w:sz w:val="24"/>
              <w:szCs w:val="24"/>
              <w:highlight w:val="none"/>
            </w:rPr>
          </w:pPr>
        </w:p>
        <w:p w14:paraId="38BE06C9">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highlight w:val="none"/>
        </w:rPr>
        <w:br w:type="page"/>
      </w:r>
    </w:p>
    <w:p w14:paraId="2BD03C61">
      <w:pPr>
        <w:pStyle w:val="2"/>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四川省人民医院移动设备智能管理柜采购项目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CGZX-YXX20260554</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3592E57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lang w:val="en-US" w:eastAsia="zh-CN"/>
              </w:rPr>
            </w:pPr>
            <w:r>
              <w:rPr>
                <w:rFonts w:ascii="仿宋" w:hAnsi="仿宋" w:eastAsia="仿宋" w:cs="仿宋"/>
                <w:color w:val="auto"/>
                <w:sz w:val="22"/>
                <w:szCs w:val="22"/>
                <w:highlight w:val="none"/>
              </w:rPr>
              <w:t>人民币</w:t>
            </w:r>
            <w:r>
              <w:rPr>
                <w:rFonts w:hint="eastAsia" w:ascii="仿宋" w:hAnsi="仿宋" w:eastAsia="仿宋" w:cs="仿宋"/>
                <w:color w:val="auto"/>
                <w:sz w:val="22"/>
                <w:szCs w:val="22"/>
                <w:highlight w:val="none"/>
                <w:u w:val="single"/>
                <w:lang w:val="en-US" w:eastAsia="zh-CN"/>
              </w:rPr>
              <w:t>80000.00</w:t>
            </w:r>
            <w:r>
              <w:rPr>
                <w:rFonts w:ascii="仿宋" w:hAnsi="仿宋" w:eastAsia="仿宋" w:cs="仿宋"/>
                <w:color w:val="auto"/>
                <w:sz w:val="22"/>
                <w:szCs w:val="22"/>
                <w:highlight w:val="none"/>
              </w:rPr>
              <w:t>元</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限高单价详见第三章。</w:t>
            </w:r>
          </w:p>
          <w:p w14:paraId="5F79283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88" w:lineRule="auto"/>
              <w:ind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5"/>
              <w:keepNext w:val="0"/>
              <w:keepLines w:val="0"/>
              <w:pageBreakBefore w:val="0"/>
              <w:kinsoku/>
              <w:overflowPunct/>
              <w:bidi w:val="0"/>
              <w:spacing w:line="288" w:lineRule="auto"/>
              <w:ind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5"/>
              <w:keepNext w:val="0"/>
              <w:keepLines w:val="0"/>
              <w:pageBreakBefore w:val="0"/>
              <w:kinsoku/>
              <w:overflowPunct/>
              <w:bidi w:val="0"/>
              <w:snapToGrid w:val="0"/>
              <w:spacing w:line="288" w:lineRule="auto"/>
              <w:ind w:left="216" w:leftChars="103"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hint="eastAsia" w:ascii="Times New Roman" w:hAnsi="Times New Roman" w:eastAsia="仿宋" w:cs="Times New Roman"/>
                <w:color w:val="auto"/>
                <w:sz w:val="22"/>
                <w:szCs w:val="22"/>
                <w:highlight w:val="none"/>
                <w:lang w:eastAsia="zh-CN"/>
              </w:rPr>
              <w:t>勘查</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88" w:lineRule="auto"/>
              <w:ind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88" w:lineRule="auto"/>
              <w:ind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rPr>
              <w:t xml:space="preserve">     </w:t>
            </w:r>
          </w:p>
          <w:p w14:paraId="66C48130">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23E845B5">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14:paraId="0C16FB9D">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14:paraId="1333ED46">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4A22446F">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88" w:lineRule="auto"/>
              <w:textAlignment w:val="auto"/>
              <w:rPr>
                <w:rFonts w:hint="default"/>
                <w:color w:val="auto"/>
                <w:highlight w:val="none"/>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88" w:lineRule="auto"/>
              <w:ind w:left="218" w:leftChars="104"/>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88" w:lineRule="auto"/>
              <w:ind w:left="210" w:leftChars="10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88" w:lineRule="auto"/>
              <w:ind w:left="218" w:leftChars="104"/>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丁</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87393463</w:t>
            </w:r>
          </w:p>
          <w:p w14:paraId="4C1AE43C">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舒</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highlight w:val="none"/>
          <w:lang w:val="zh-TW" w:eastAsia="zh-TW"/>
        </w:rPr>
      </w:pPr>
    </w:p>
    <w:p w14:paraId="113CC27A">
      <w:pPr>
        <w:rPr>
          <w:rStyle w:val="20"/>
          <w:rFonts w:hint="default" w:asciiTheme="majorEastAsia" w:hAnsiTheme="majorEastAsia" w:eastAsiaTheme="majorEastAsia"/>
          <w:b/>
          <w:bCs/>
          <w:color w:val="auto"/>
          <w:szCs w:val="32"/>
          <w:highlight w:val="none"/>
        </w:rPr>
      </w:pPr>
      <w:bookmarkStart w:id="2" w:name="_Toc18086"/>
      <w:bookmarkStart w:id="3" w:name="第二章"/>
      <w:r>
        <w:rPr>
          <w:rStyle w:val="20"/>
          <w:rFonts w:hint="default" w:asciiTheme="majorEastAsia" w:hAnsiTheme="majorEastAsia" w:eastAsiaTheme="majorEastAsia"/>
          <w:b/>
          <w:bCs/>
          <w:color w:val="auto"/>
          <w:szCs w:val="32"/>
          <w:highlight w:val="none"/>
          <w:u w:val="none"/>
        </w:rPr>
        <w:br w:type="page"/>
      </w:r>
    </w:p>
    <w:p w14:paraId="62FD8587">
      <w:pPr>
        <w:pStyle w:val="2"/>
        <w:ind w:firstLine="0"/>
        <w:rPr>
          <w:rStyle w:val="20"/>
          <w:rFonts w:asciiTheme="majorEastAsia" w:hAnsiTheme="majorEastAsia" w:eastAsiaTheme="majorEastAsia"/>
          <w:color w:val="auto"/>
          <w:szCs w:val="32"/>
          <w:highlight w:val="none"/>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2"/>
    </w:p>
    <w:bookmarkEnd w:id="3"/>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spacing w:line="360" w:lineRule="auto"/>
              <w:jc w:val="center"/>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03C48317">
            <w:pPr>
              <w:spacing w:line="360" w:lineRule="auto"/>
              <w:jc w:val="center"/>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24E5B32B">
            <w:pPr>
              <w:spacing w:line="360" w:lineRule="auto"/>
              <w:jc w:val="center"/>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004AE99C">
            <w:pPr>
              <w:spacing w:line="360" w:lineRule="auto"/>
              <w:jc w:val="center"/>
              <w:rPr>
                <w:rFonts w:hint="default" w:ascii="仿宋" w:hAnsi="仿宋" w:eastAsia="仿宋" w:cs="仿宋"/>
                <w:color w:val="auto"/>
                <w:kern w:val="0"/>
                <w:sz w:val="22"/>
                <w:szCs w:val="22"/>
                <w:highlight w:val="none"/>
              </w:rPr>
            </w:pPr>
            <w:r>
              <w:rPr>
                <w:rFonts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lang w:val="zh-TW" w:eastAsia="zh-TW"/>
              </w:rPr>
              <w:t>本次采购活动统一使用人民币报价</w:t>
            </w:r>
            <w:r>
              <w:rPr>
                <w:rFonts w:ascii="仿宋" w:hAnsi="仿宋" w:eastAsia="仿宋" w:cs="仿宋"/>
                <w:color w:val="auto"/>
                <w:sz w:val="22"/>
                <w:szCs w:val="22"/>
                <w:highlight w:val="none"/>
                <w:lang w:val="zh-TW"/>
              </w:rPr>
              <w:t>。</w:t>
            </w:r>
          </w:p>
          <w:p w14:paraId="2EF67B45">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rPr>
              <w:t>供应商</w:t>
            </w:r>
            <w:r>
              <w:rPr>
                <w:rFonts w:ascii="仿宋" w:hAnsi="仿宋" w:eastAsia="仿宋" w:cs="仿宋"/>
                <w:color w:val="auto"/>
                <w:sz w:val="22"/>
                <w:szCs w:val="22"/>
                <w:highlight w:val="none"/>
                <w:lang w:val="zh-TW" w:eastAsia="zh-TW"/>
              </w:rPr>
              <w:t>若报价高于最高限价</w:t>
            </w:r>
            <w:r>
              <w:rPr>
                <w:rFonts w:ascii="仿宋" w:hAnsi="仿宋" w:eastAsia="仿宋" w:cs="仿宋"/>
                <w:color w:val="auto"/>
                <w:sz w:val="22"/>
                <w:szCs w:val="22"/>
                <w:highlight w:val="none"/>
              </w:rPr>
              <w:t>或存在不正当竞争情形的</w:t>
            </w:r>
            <w:r>
              <w:rPr>
                <w:rFonts w:ascii="仿宋" w:hAnsi="仿宋" w:eastAsia="仿宋" w:cs="仿宋"/>
                <w:color w:val="auto"/>
                <w:sz w:val="22"/>
                <w:szCs w:val="22"/>
                <w:highlight w:val="none"/>
                <w:lang w:val="zh-TW" w:eastAsia="zh-TW"/>
              </w:rPr>
              <w:t>，其</w:t>
            </w:r>
            <w:r>
              <w:rPr>
                <w:rFonts w:ascii="仿宋" w:hAnsi="仿宋" w:eastAsia="仿宋" w:cs="仿宋"/>
                <w:color w:val="auto"/>
                <w:sz w:val="22"/>
                <w:szCs w:val="22"/>
                <w:highlight w:val="none"/>
                <w:lang w:val="zh-TW"/>
              </w:rPr>
              <w:t>报价文件</w:t>
            </w:r>
            <w:r>
              <w:rPr>
                <w:rFonts w:ascii="仿宋" w:hAnsi="仿宋" w:eastAsia="仿宋" w:cs="仿宋"/>
                <w:color w:val="auto"/>
                <w:sz w:val="22"/>
                <w:szCs w:val="22"/>
                <w:highlight w:val="none"/>
                <w:lang w:val="zh-TW" w:eastAsia="zh-TW"/>
              </w:rPr>
              <w:t>作无效。</w:t>
            </w:r>
          </w:p>
          <w:p w14:paraId="40E3C382">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lang w:val="zh-TW"/>
              </w:rPr>
              <w:t>供应商</w:t>
            </w:r>
            <w:r>
              <w:rPr>
                <w:rFonts w:ascii="仿宋" w:hAnsi="仿宋" w:eastAsia="仿宋" w:cs="仿宋"/>
                <w:color w:val="auto"/>
                <w:sz w:val="22"/>
                <w:szCs w:val="22"/>
                <w:highlight w:val="none"/>
                <w:lang w:val="zh-TW" w:eastAsia="zh-TW"/>
              </w:rPr>
              <w:t>应通过采购人</w:t>
            </w:r>
            <w:r>
              <w:rPr>
                <w:rFonts w:ascii="仿宋" w:hAnsi="仿宋" w:eastAsia="仿宋" w:cs="仿宋"/>
                <w:color w:val="auto"/>
                <w:sz w:val="22"/>
                <w:szCs w:val="22"/>
                <w:highlight w:val="none"/>
                <w:lang w:val="zh-TW"/>
              </w:rPr>
              <w:t>官方网站电子招标采购平台进行报价</w:t>
            </w:r>
            <w:r>
              <w:rPr>
                <w:rFonts w:ascii="仿宋" w:hAnsi="仿宋" w:eastAsia="仿宋" w:cs="仿宋"/>
                <w:color w:val="auto"/>
                <w:sz w:val="22"/>
                <w:szCs w:val="22"/>
                <w:highlight w:val="none"/>
                <w:lang w:val="zh-TW" w:eastAsia="zh-TW"/>
              </w:rPr>
              <w:t>且</w:t>
            </w:r>
            <w:r>
              <w:rPr>
                <w:rFonts w:ascii="仿宋" w:hAnsi="仿宋" w:eastAsia="仿宋" w:cs="仿宋"/>
                <w:color w:val="auto"/>
                <w:sz w:val="22"/>
                <w:szCs w:val="22"/>
                <w:highlight w:val="none"/>
              </w:rPr>
              <w:t>报价</w:t>
            </w:r>
            <w:r>
              <w:rPr>
                <w:rFonts w:ascii="仿宋" w:hAnsi="仿宋" w:eastAsia="仿宋" w:cs="仿宋"/>
                <w:color w:val="auto"/>
                <w:sz w:val="22"/>
                <w:szCs w:val="22"/>
                <w:highlight w:val="none"/>
                <w:lang w:val="zh-TW" w:eastAsia="zh-TW"/>
              </w:rPr>
              <w:t>不可撤回。</w:t>
            </w:r>
          </w:p>
          <w:p w14:paraId="7CD029F7">
            <w:pPr>
              <w:numPr>
                <w:ilvl w:val="0"/>
                <w:numId w:val="11"/>
              </w:numPr>
              <w:spacing w:line="360" w:lineRule="auto"/>
              <w:ind w:left="220" w:firstLine="0"/>
              <w:rPr>
                <w:rFonts w:hint="default" w:ascii="仿宋" w:hAnsi="仿宋" w:eastAsia="仿宋" w:cs="仿宋"/>
                <w:color w:val="auto"/>
                <w:sz w:val="22"/>
                <w:szCs w:val="22"/>
                <w:highlight w:val="none"/>
                <w:lang w:val="zh-TW" w:eastAsia="zh-TW"/>
              </w:rPr>
            </w:pPr>
            <w:r>
              <w:rPr>
                <w:rFonts w:ascii="仿宋" w:hAnsi="仿宋" w:eastAsia="仿宋" w:cs="仿宋"/>
                <w:color w:val="auto"/>
                <w:sz w:val="22"/>
                <w:szCs w:val="22"/>
                <w:highlight w:val="none"/>
                <w:lang w:val="zh-TW" w:eastAsia="zh-TW"/>
              </w:rPr>
              <w:t>如</w:t>
            </w:r>
            <w:r>
              <w:rPr>
                <w:rFonts w:ascii="仿宋" w:hAnsi="仿宋" w:eastAsia="仿宋" w:cs="仿宋"/>
                <w:color w:val="auto"/>
                <w:sz w:val="22"/>
                <w:szCs w:val="22"/>
                <w:highlight w:val="none"/>
                <w:lang w:val="zh-TW"/>
              </w:rPr>
              <w:t>供应商</w:t>
            </w:r>
            <w:r>
              <w:rPr>
                <w:rFonts w:ascii="仿宋" w:hAnsi="仿宋" w:eastAsia="仿宋" w:cs="仿宋"/>
                <w:color w:val="auto"/>
                <w:sz w:val="22"/>
                <w:szCs w:val="22"/>
                <w:highlight w:val="none"/>
                <w:lang w:val="zh-TW" w:eastAsia="zh-TW"/>
              </w:rPr>
              <w:t>有与报价相关的必须说明的内容</w:t>
            </w:r>
            <w:r>
              <w:rPr>
                <w:rFonts w:ascii="仿宋" w:hAnsi="仿宋" w:eastAsia="仿宋" w:cs="仿宋"/>
                <w:color w:val="auto"/>
                <w:sz w:val="22"/>
                <w:szCs w:val="22"/>
                <w:highlight w:val="none"/>
                <w:lang w:val="zh-TW"/>
              </w:rPr>
              <w:t>，应在报价文件</w:t>
            </w:r>
            <w:r>
              <w:rPr>
                <w:color w:val="auto"/>
                <w:highlight w:val="none"/>
              </w:rPr>
              <w:fldChar w:fldCharType="begin"/>
            </w:r>
            <w:r>
              <w:rPr>
                <w:color w:val="auto"/>
                <w:highlight w:val="none"/>
              </w:rPr>
              <w:instrText xml:space="preserve"> HYPERLINK \l "格式五报价情况" </w:instrText>
            </w:r>
            <w:r>
              <w:rPr>
                <w:color w:val="auto"/>
                <w:highlight w:val="none"/>
              </w:rPr>
              <w:fldChar w:fldCharType="separate"/>
            </w:r>
            <w:r>
              <w:rPr>
                <w:rFonts w:ascii="仿宋" w:hAnsi="仿宋" w:eastAsia="仿宋" w:cs="仿宋"/>
                <w:color w:val="auto"/>
                <w:sz w:val="22"/>
                <w:szCs w:val="22"/>
                <w:highlight w:val="none"/>
                <w:lang w:val="zh-TW"/>
              </w:rPr>
              <w:t>格式五《报价情况》</w:t>
            </w:r>
            <w:r>
              <w:rPr>
                <w:rFonts w:ascii="仿宋" w:hAnsi="仿宋" w:eastAsia="仿宋" w:cs="仿宋"/>
                <w:color w:val="auto"/>
                <w:sz w:val="22"/>
                <w:szCs w:val="22"/>
                <w:highlight w:val="none"/>
                <w:lang w:val="zh-TW"/>
              </w:rPr>
              <w:fldChar w:fldCharType="end"/>
            </w:r>
            <w:r>
              <w:rPr>
                <w:rFonts w:ascii="仿宋" w:hAnsi="仿宋" w:eastAsia="仿宋" w:cs="仿宋"/>
                <w:color w:val="auto"/>
                <w:sz w:val="22"/>
                <w:szCs w:val="22"/>
                <w:highlight w:val="none"/>
                <w:lang w:val="zh-TW"/>
              </w:rPr>
              <w:t>中写明。</w:t>
            </w:r>
          </w:p>
          <w:p w14:paraId="58E6DD78">
            <w:pPr>
              <w:numPr>
                <w:ilvl w:val="0"/>
                <w:numId w:val="11"/>
              </w:numPr>
              <w:spacing w:line="360" w:lineRule="auto"/>
              <w:ind w:left="220" w:firstLine="0"/>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310B913F">
            <w:pPr>
              <w:spacing w:line="360" w:lineRule="auto"/>
              <w:jc w:val="center"/>
              <w:rPr>
                <w:rFonts w:hint="default" w:ascii="仿宋" w:hAnsi="仿宋" w:eastAsia="仿宋" w:cs="仿宋"/>
                <w:color w:val="auto"/>
                <w:kern w:val="0"/>
                <w:sz w:val="22"/>
                <w:szCs w:val="22"/>
                <w:highlight w:val="none"/>
                <w:lang w:val="zh-CN"/>
              </w:rPr>
            </w:pPr>
            <w:r>
              <w:rPr>
                <w:rFonts w:ascii="仿宋" w:hAnsi="仿宋" w:eastAsia="仿宋" w:cs="仿宋"/>
                <w:color w:val="auto"/>
                <w:highlight w:val="none"/>
                <w:lang w:val="zh-TW"/>
              </w:rPr>
              <w:t>报价文件</w:t>
            </w:r>
            <w:r>
              <w:rPr>
                <w:rFonts w:ascii="仿宋" w:hAnsi="仿宋" w:eastAsia="仿宋" w:cs="仿宋"/>
                <w:color w:val="auto"/>
                <w:highlight w:val="none"/>
                <w:lang w:val="zh-TW" w:eastAsia="zh-TW"/>
              </w:rPr>
              <w:t>编制要求</w:t>
            </w:r>
          </w:p>
        </w:tc>
        <w:tc>
          <w:tcPr>
            <w:tcW w:w="6801" w:type="dxa"/>
            <w:tcBorders>
              <w:bottom w:val="single" w:color="auto" w:sz="4" w:space="0"/>
            </w:tcBorders>
            <w:vAlign w:val="center"/>
          </w:tcPr>
          <w:p w14:paraId="23CFEB5D">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(1)报价文件格式：详见本采购文件第四章。</w:t>
            </w:r>
          </w:p>
          <w:p w14:paraId="7A85219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(2)报价文件语言：</w:t>
            </w:r>
          </w:p>
          <w:p w14:paraId="60661FF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fldChar w:fldCharType="begin"/>
            </w:r>
            <w:r>
              <w:rPr>
                <w:rFonts w:ascii="仿宋" w:hAnsi="仿宋" w:eastAsia="仿宋" w:cs="仿宋"/>
                <w:color w:val="auto"/>
                <w:sz w:val="22"/>
                <w:szCs w:val="22"/>
                <w:highlight w:val="none"/>
              </w:rPr>
              <w:instrText xml:space="preserve"> = 1 \* GB3 \* MERGEFORMAT </w:instrText>
            </w:r>
            <w:r>
              <w:rPr>
                <w:rFonts w:ascii="仿宋" w:hAnsi="仿宋" w:eastAsia="仿宋" w:cs="仿宋"/>
                <w:color w:val="auto"/>
                <w:sz w:val="22"/>
                <w:szCs w:val="22"/>
                <w:highlight w:val="none"/>
              </w:rPr>
              <w:fldChar w:fldCharType="separate"/>
            </w:r>
            <w:r>
              <w:rPr>
                <w:color w:val="auto"/>
                <w:highlight w:val="none"/>
              </w:rPr>
              <w:t>①</w:t>
            </w:r>
            <w:r>
              <w:rPr>
                <w:rFonts w:ascii="仿宋" w:hAnsi="仿宋" w:eastAsia="仿宋" w:cs="仿宋"/>
                <w:color w:val="auto"/>
                <w:sz w:val="22"/>
                <w:szCs w:val="22"/>
                <w:highlight w:val="none"/>
              </w:rPr>
              <w:fldChar w:fldCharType="end"/>
            </w:r>
            <w:r>
              <w:rPr>
                <w:rFonts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fldChar w:fldCharType="begin"/>
            </w:r>
            <w:r>
              <w:rPr>
                <w:rFonts w:ascii="仿宋" w:hAnsi="仿宋" w:eastAsia="仿宋" w:cs="仿宋"/>
                <w:color w:val="auto"/>
                <w:sz w:val="22"/>
                <w:szCs w:val="22"/>
                <w:highlight w:val="none"/>
              </w:rPr>
              <w:instrText xml:space="preserve"> = 2 \* GB3 \* MERGEFORMAT </w:instrText>
            </w:r>
            <w:r>
              <w:rPr>
                <w:rFonts w:ascii="仿宋" w:hAnsi="仿宋" w:eastAsia="仿宋" w:cs="仿宋"/>
                <w:color w:val="auto"/>
                <w:sz w:val="22"/>
                <w:szCs w:val="22"/>
                <w:highlight w:val="none"/>
              </w:rPr>
              <w:fldChar w:fldCharType="separate"/>
            </w:r>
            <w:r>
              <w:rPr>
                <w:color w:val="auto"/>
                <w:highlight w:val="none"/>
              </w:rPr>
              <w:t>②</w:t>
            </w:r>
            <w:r>
              <w:rPr>
                <w:rFonts w:ascii="仿宋" w:hAnsi="仿宋" w:eastAsia="仿宋" w:cs="仿宋"/>
                <w:color w:val="auto"/>
                <w:sz w:val="22"/>
                <w:szCs w:val="22"/>
                <w:highlight w:val="none"/>
              </w:rPr>
              <w:fldChar w:fldCharType="end"/>
            </w:r>
            <w:r>
              <w:rPr>
                <w:rFonts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fldChar w:fldCharType="begin"/>
            </w:r>
            <w:r>
              <w:rPr>
                <w:rFonts w:ascii="仿宋" w:hAnsi="仿宋" w:eastAsia="仿宋" w:cs="仿宋"/>
                <w:color w:val="auto"/>
                <w:sz w:val="22"/>
                <w:szCs w:val="22"/>
                <w:highlight w:val="none"/>
              </w:rPr>
              <w:instrText xml:space="preserve"> = 3 \* GB3 \* MERGEFORMAT </w:instrText>
            </w:r>
            <w:r>
              <w:rPr>
                <w:rFonts w:ascii="仿宋" w:hAnsi="仿宋" w:eastAsia="仿宋" w:cs="仿宋"/>
                <w:color w:val="auto"/>
                <w:sz w:val="22"/>
                <w:szCs w:val="22"/>
                <w:highlight w:val="none"/>
              </w:rPr>
              <w:fldChar w:fldCharType="separate"/>
            </w:r>
            <w:r>
              <w:rPr>
                <w:color w:val="auto"/>
                <w:highlight w:val="none"/>
              </w:rPr>
              <w:t>③</w:t>
            </w:r>
            <w:r>
              <w:rPr>
                <w:rFonts w:ascii="仿宋" w:hAnsi="仿宋" w:eastAsia="仿宋" w:cs="仿宋"/>
                <w:color w:val="auto"/>
                <w:sz w:val="22"/>
                <w:szCs w:val="22"/>
                <w:highlight w:val="none"/>
              </w:rPr>
              <w:fldChar w:fldCharType="end"/>
            </w:r>
            <w:r>
              <w:rPr>
                <w:rFonts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3D57715A">
            <w:pPr>
              <w:spacing w:line="360" w:lineRule="auto"/>
              <w:jc w:val="center"/>
              <w:rPr>
                <w:rFonts w:hint="default" w:ascii="仿宋" w:hAnsi="仿宋" w:eastAsia="仿宋" w:cs="仿宋"/>
                <w:color w:val="auto"/>
                <w:highlight w:val="none"/>
              </w:rPr>
            </w:pPr>
            <w:r>
              <w:rPr>
                <w:rFonts w:ascii="仿宋" w:hAnsi="仿宋" w:eastAsia="仿宋" w:cs="仿宋"/>
                <w:color w:val="auto"/>
                <w:highlight w:val="none"/>
              </w:rPr>
              <w:t>评审要求</w:t>
            </w:r>
          </w:p>
        </w:tc>
        <w:tc>
          <w:tcPr>
            <w:tcW w:w="6801" w:type="dxa"/>
            <w:tcBorders>
              <w:bottom w:val="single" w:color="auto" w:sz="4" w:space="0"/>
            </w:tcBorders>
            <w:vAlign w:val="center"/>
          </w:tcPr>
          <w:p w14:paraId="5EA463C2">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（3）异常低价情形：</w:t>
            </w:r>
          </w:p>
          <w:p w14:paraId="1CF625E3">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①</w:t>
            </w:r>
            <w:r>
              <w:rPr>
                <w:rFonts w:ascii="Times New Roman" w:hAnsi="Times New Roman" w:eastAsia="仿宋" w:cs="Times New Roman"/>
                <w:color w:val="auto"/>
                <w:sz w:val="22"/>
                <w:highlight w:val="none"/>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②</w:t>
            </w:r>
            <w:r>
              <w:rPr>
                <w:rFonts w:ascii="Times New Roman" w:hAnsi="Times New Roman" w:eastAsia="仿宋" w:cs="Times New Roman"/>
                <w:color w:val="auto"/>
                <w:sz w:val="22"/>
                <w:highlight w:val="none"/>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③</w:t>
            </w:r>
            <w:r>
              <w:rPr>
                <w:rFonts w:ascii="Times New Roman" w:hAnsi="Times New Roman" w:eastAsia="仿宋" w:cs="Times New Roman"/>
                <w:color w:val="auto"/>
                <w:sz w:val="22"/>
                <w:highlight w:val="none"/>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④</w:t>
            </w:r>
            <w:r>
              <w:rPr>
                <w:rFonts w:ascii="Times New Roman" w:hAnsi="Times New Roman" w:eastAsia="仿宋" w:cs="Times New Roman"/>
                <w:color w:val="auto"/>
                <w:sz w:val="22"/>
                <w:highlight w:val="none"/>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color w:val="auto"/>
                <w:sz w:val="22"/>
                <w:highlight w:val="none"/>
              </w:rPr>
            </w:pPr>
            <w:r>
              <w:rPr>
                <w:rFonts w:hint="default" w:ascii="Times New Roman" w:hAnsi="Times New Roman" w:eastAsia="仿宋" w:cs="Times New Roman"/>
                <w:color w:val="auto"/>
                <w:sz w:val="22"/>
                <w:highlight w:val="none"/>
              </w:rPr>
              <w:t>采购人可以结合具体项目实际情况，提高上述第</w:t>
            </w:r>
            <w:r>
              <w:rPr>
                <w:rFonts w:ascii="Cambria Math" w:hAnsi="Cambria Math" w:eastAsia="仿宋" w:cs="Cambria Math"/>
                <w:color w:val="auto"/>
                <w:sz w:val="22"/>
                <w:highlight w:val="none"/>
              </w:rPr>
              <w:t>①</w:t>
            </w:r>
            <w:r>
              <w:rPr>
                <w:rFonts w:hint="default" w:ascii="Times New Roman" w:hAnsi="Times New Roman" w:eastAsia="仿宋" w:cs="Times New Roman"/>
                <w:color w:val="auto"/>
                <w:sz w:val="22"/>
                <w:highlight w:val="none"/>
              </w:rPr>
              <w:t>项至第</w:t>
            </w:r>
            <w:r>
              <w:rPr>
                <w:rFonts w:ascii="Cambria Math" w:hAnsi="Cambria Math" w:eastAsia="仿宋" w:cs="Cambria Math"/>
                <w:color w:val="auto"/>
                <w:sz w:val="22"/>
                <w:highlight w:val="none"/>
              </w:rPr>
              <w:t>③</w:t>
            </w:r>
            <w:r>
              <w:rPr>
                <w:rFonts w:hint="default" w:ascii="Times New Roman" w:hAnsi="Times New Roman" w:eastAsia="仿宋" w:cs="Times New Roman"/>
                <w:color w:val="auto"/>
                <w:sz w:val="22"/>
                <w:highlight w:val="none"/>
              </w:rPr>
              <w:t>项中启动异常低价响应审查的数值标准，但是最高不得超过65%。 </w:t>
            </w:r>
          </w:p>
          <w:p w14:paraId="59B2ABFF">
            <w:pPr>
              <w:spacing w:line="360" w:lineRule="auto"/>
              <w:ind w:left="210" w:leftChars="100"/>
              <w:rPr>
                <w:rFonts w:hint="default"/>
                <w:color w:val="auto"/>
                <w:highlight w:val="none"/>
              </w:rPr>
            </w:pPr>
            <w:r>
              <w:rPr>
                <w:rFonts w:hint="default" w:ascii="Times New Roman" w:hAnsi="Times New Roman" w:eastAsia="仿宋" w:cs="Times New Roman"/>
                <w:color w:val="auto"/>
                <w:sz w:val="22"/>
                <w:highlight w:val="none"/>
              </w:rPr>
              <w:t>相关法律法规对供应商报价有规定的，从其规定</w:t>
            </w:r>
            <w:r>
              <w:rPr>
                <w:rFonts w:ascii="Times New Roman" w:hAnsi="Times New Roman" w:eastAsia="仿宋" w:cs="Times New Roman"/>
                <w:color w:val="auto"/>
                <w:sz w:val="22"/>
                <w:highlight w:val="none"/>
              </w:rPr>
              <w:t>。</w:t>
            </w:r>
          </w:p>
          <w:p w14:paraId="367D340C">
            <w:pPr>
              <w:spacing w:line="360" w:lineRule="auto"/>
              <w:ind w:left="210" w:leftChars="100"/>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2）异常低价响应审查程序：</w:t>
            </w:r>
          </w:p>
          <w:p w14:paraId="7C42851A">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①</w:t>
            </w:r>
            <w:r>
              <w:rPr>
                <w:rFonts w:ascii="Times New Roman" w:hAnsi="Times New Roman" w:eastAsia="仿宋" w:cs="Times New Roman"/>
                <w:color w:val="auto"/>
                <w:sz w:val="22"/>
                <w:highlight w:val="none"/>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②</w:t>
            </w:r>
            <w:r>
              <w:rPr>
                <w:rFonts w:ascii="Times New Roman" w:hAnsi="Times New Roman" w:eastAsia="仿宋" w:cs="Times New Roman"/>
                <w:color w:val="auto"/>
                <w:sz w:val="22"/>
                <w:highlight w:val="none"/>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color w:val="auto"/>
                <w:sz w:val="22"/>
                <w:highlight w:val="none"/>
              </w:rPr>
            </w:pPr>
            <w:r>
              <w:rPr>
                <w:rFonts w:ascii="Cambria Math" w:hAnsi="Cambria Math" w:eastAsia="仿宋" w:cs="Cambria Math"/>
                <w:color w:val="auto"/>
                <w:sz w:val="22"/>
                <w:highlight w:val="none"/>
              </w:rPr>
              <w:t>③</w:t>
            </w:r>
            <w:r>
              <w:rPr>
                <w:rFonts w:ascii="Times New Roman" w:hAnsi="Times New Roman" w:eastAsia="仿宋" w:cs="Times New Roman"/>
                <w:color w:val="auto"/>
                <w:sz w:val="22"/>
                <w:highlight w:val="none"/>
              </w:rPr>
              <w:t>供应商未按要求提交成本构成说明材料，或者提交的材料不能证明其报价合理性的，评审时应当将其响应作无效响应处理。</w:t>
            </w:r>
          </w:p>
          <w:p w14:paraId="2B3578CF">
            <w:pPr>
              <w:spacing w:line="360" w:lineRule="auto"/>
              <w:ind w:left="210" w:leftChars="100"/>
              <w:rPr>
                <w:rFonts w:hint="default"/>
                <w:color w:val="auto"/>
                <w:highlight w:val="none"/>
              </w:rPr>
            </w:pPr>
            <w:r>
              <w:rPr>
                <w:rFonts w:ascii="Cambria Math" w:hAnsi="Cambria Math" w:eastAsia="仿宋" w:cs="Cambria Math"/>
                <w:color w:val="auto"/>
                <w:sz w:val="22"/>
                <w:highlight w:val="none"/>
              </w:rPr>
              <w:t>④</w:t>
            </w:r>
            <w:r>
              <w:rPr>
                <w:rFonts w:ascii="Times New Roman" w:hAnsi="Times New Roman" w:eastAsia="仿宋" w:cs="Times New Roman"/>
                <w:color w:val="auto"/>
                <w:sz w:val="22"/>
                <w:highlight w:val="none"/>
              </w:rPr>
              <w:t>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1D97ECBA">
            <w:pPr>
              <w:spacing w:line="360" w:lineRule="auto"/>
              <w:jc w:val="center"/>
              <w:rPr>
                <w:rFonts w:hint="default" w:ascii="仿宋" w:hAnsi="仿宋" w:eastAsia="仿宋" w:cs="仿宋"/>
                <w:color w:val="auto"/>
                <w:kern w:val="0"/>
                <w:sz w:val="22"/>
                <w:szCs w:val="22"/>
                <w:highlight w:val="none"/>
              </w:rPr>
            </w:pPr>
            <w:r>
              <w:rPr>
                <w:rFonts w:ascii="仿宋" w:hAnsi="仿宋" w:eastAsia="仿宋" w:cs="仿宋"/>
                <w:color w:val="auto"/>
                <w:highlight w:val="none"/>
                <w:lang w:val="zh-TW" w:eastAsia="zh-TW"/>
              </w:rPr>
              <w:t>货物质量要求</w:t>
            </w:r>
          </w:p>
        </w:tc>
        <w:tc>
          <w:tcPr>
            <w:tcW w:w="6801" w:type="dxa"/>
            <w:vAlign w:val="center"/>
          </w:tcPr>
          <w:p w14:paraId="686151E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691B4B72">
            <w:pPr>
              <w:spacing w:line="360" w:lineRule="auto"/>
              <w:jc w:val="center"/>
              <w:rPr>
                <w:rFonts w:hint="default" w:ascii="仿宋" w:hAnsi="仿宋" w:eastAsia="仿宋" w:cs="仿宋"/>
                <w:color w:val="auto"/>
                <w:kern w:val="0"/>
                <w:sz w:val="22"/>
                <w:szCs w:val="22"/>
                <w:highlight w:val="none"/>
              </w:rPr>
            </w:pPr>
            <w:r>
              <w:rPr>
                <w:rFonts w:ascii="仿宋" w:hAnsi="仿宋" w:eastAsia="仿宋" w:cs="仿宋"/>
                <w:color w:val="auto"/>
                <w:highlight w:val="none"/>
                <w:lang w:val="zh-TW" w:eastAsia="zh-TW"/>
              </w:rPr>
              <w:t>服务质量要求</w:t>
            </w:r>
          </w:p>
        </w:tc>
        <w:tc>
          <w:tcPr>
            <w:tcW w:w="6801" w:type="dxa"/>
            <w:vAlign w:val="center"/>
          </w:tcPr>
          <w:p w14:paraId="572A567E">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(2)若出现质量问题，中选供应商负责按照采购人要求承担相应的经济和法律责任。</w:t>
            </w:r>
          </w:p>
          <w:p w14:paraId="06BE727F">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4BF32238">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知识产权要求</w:t>
            </w:r>
          </w:p>
        </w:tc>
        <w:tc>
          <w:tcPr>
            <w:tcW w:w="6801" w:type="dxa"/>
            <w:vAlign w:val="center"/>
          </w:tcPr>
          <w:p w14:paraId="4974ABD0">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75A9D600">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纪律要求</w:t>
            </w:r>
          </w:p>
        </w:tc>
        <w:tc>
          <w:tcPr>
            <w:tcW w:w="6801" w:type="dxa"/>
            <w:vAlign w:val="center"/>
          </w:tcPr>
          <w:p w14:paraId="0F83BD4E">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(1)供应商在参与采购活动过程中，不得有任何违法乱纪的行为。</w:t>
            </w:r>
          </w:p>
          <w:p w14:paraId="4C022430">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(2)若报价文件存在虚假响应，将作无效处理，若是中选后发现的，采购人将取消中选资格。</w:t>
            </w:r>
          </w:p>
          <w:p w14:paraId="093330E3">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172EEFA4">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采购文件的澄清、更正</w:t>
            </w:r>
          </w:p>
        </w:tc>
        <w:tc>
          <w:tcPr>
            <w:tcW w:w="6801" w:type="dxa"/>
            <w:vAlign w:val="center"/>
          </w:tcPr>
          <w:p w14:paraId="7EAC1C60">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4BAF4408">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供应商质疑</w:t>
            </w:r>
          </w:p>
        </w:tc>
        <w:tc>
          <w:tcPr>
            <w:tcW w:w="6801" w:type="dxa"/>
            <w:vAlign w:val="center"/>
          </w:tcPr>
          <w:p w14:paraId="1DD1B476">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14:paraId="7F370FC4">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14:paraId="7E64D613">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rPr>
              <w:t>；</w:t>
            </w:r>
          </w:p>
          <w:p w14:paraId="7D758B1D">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3.质疑相关资料要求：</w:t>
            </w:r>
          </w:p>
          <w:p w14:paraId="2166CD40">
            <w:pPr>
              <w:spacing w:line="360" w:lineRule="auto"/>
              <w:ind w:left="210" w:leftChars="100"/>
              <w:rPr>
                <w:rFonts w:hint="default" w:ascii="仿宋" w:hAnsi="仿宋" w:eastAsia="仿宋" w:cs="仿宋"/>
                <w:color w:val="auto"/>
                <w:sz w:val="22"/>
                <w:highlight w:val="none"/>
              </w:rPr>
            </w:pPr>
            <w:r>
              <w:rPr>
                <w:rFonts w:ascii="仿宋" w:hAnsi="仿宋" w:eastAsia="仿宋" w:cs="仿宋"/>
                <w:color w:val="auto"/>
                <w:sz w:val="22"/>
                <w:highlight w:val="none"/>
              </w:rPr>
              <w:t>（1）质疑函：明确具体质疑事项、事实依据和法律依据，质疑请求。</w:t>
            </w:r>
          </w:p>
          <w:p w14:paraId="7FDCD182">
            <w:pPr>
              <w:spacing w:line="360" w:lineRule="auto"/>
              <w:ind w:left="210" w:leftChars="100"/>
              <w:rPr>
                <w:rFonts w:hint="default" w:ascii="仿宋" w:hAnsi="仿宋" w:eastAsia="仿宋" w:cs="仿宋"/>
                <w:color w:val="auto"/>
                <w:sz w:val="22"/>
                <w:highlight w:val="none"/>
              </w:rPr>
            </w:pPr>
            <w:r>
              <w:rPr>
                <w:rFonts w:ascii="仿宋" w:hAnsi="仿宋" w:eastAsia="仿宋" w:cs="仿宋"/>
                <w:color w:val="auto"/>
                <w:sz w:val="22"/>
                <w:highlight w:val="none"/>
              </w:rPr>
              <w:t>（2）授权委托书：供应商若委托代理人进行质疑的提供授权委托书，授权委托书应载明代理人的姓名或者名称、代理事项、具体权限、期限等相关事项。</w:t>
            </w:r>
          </w:p>
          <w:p w14:paraId="555E7072">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5E2ABB71">
            <w:pPr>
              <w:spacing w:line="360" w:lineRule="auto"/>
              <w:jc w:val="center"/>
              <w:rPr>
                <w:rFonts w:hint="default" w:ascii="仿宋" w:hAnsi="仿宋" w:eastAsia="仿宋" w:cs="仿宋"/>
                <w:color w:val="auto"/>
                <w:highlight w:val="none"/>
                <w:lang w:val="zh-TW" w:eastAsia="zh-TW"/>
              </w:rPr>
            </w:pPr>
            <w:r>
              <w:rPr>
                <w:rFonts w:ascii="仿宋" w:hAnsi="仿宋" w:eastAsia="仿宋" w:cs="仿宋"/>
                <w:color w:val="auto"/>
                <w:highlight w:val="none"/>
                <w:lang w:val="zh-TW" w:eastAsia="zh-TW"/>
              </w:rPr>
              <w:t>中选公告及合同签订</w:t>
            </w:r>
          </w:p>
        </w:tc>
        <w:tc>
          <w:tcPr>
            <w:tcW w:w="6801" w:type="dxa"/>
            <w:vAlign w:val="center"/>
          </w:tcPr>
          <w:p w14:paraId="2865D6FD">
            <w:pPr>
              <w:spacing w:line="360" w:lineRule="auto"/>
              <w:ind w:left="216" w:leftChars="103"/>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（1）询比价完成后，</w:t>
            </w:r>
            <w:r>
              <w:rPr>
                <w:rFonts w:ascii="仿宋" w:hAnsi="仿宋" w:eastAsia="仿宋" w:cs="仿宋"/>
                <w:color w:val="auto"/>
                <w:sz w:val="22"/>
                <w:szCs w:val="22"/>
                <w:highlight w:val="none"/>
                <w:lang w:val="zh-CN"/>
              </w:rPr>
              <w:t>采购人在系统中发出中</w:t>
            </w:r>
            <w:r>
              <w:rPr>
                <w:rFonts w:ascii="仿宋" w:hAnsi="仿宋" w:eastAsia="仿宋" w:cs="仿宋"/>
                <w:color w:val="auto"/>
                <w:sz w:val="22"/>
                <w:szCs w:val="22"/>
                <w:highlight w:val="none"/>
              </w:rPr>
              <w:t>选</w:t>
            </w:r>
            <w:r>
              <w:rPr>
                <w:rFonts w:ascii="仿宋" w:hAnsi="仿宋" w:eastAsia="仿宋" w:cs="仿宋"/>
                <w:color w:val="auto"/>
                <w:sz w:val="22"/>
                <w:szCs w:val="22"/>
                <w:highlight w:val="none"/>
                <w:lang w:val="zh-CN"/>
              </w:rPr>
              <w:t>公告；</w:t>
            </w:r>
          </w:p>
          <w:p w14:paraId="65F561D4">
            <w:pPr>
              <w:spacing w:line="360" w:lineRule="auto"/>
              <w:ind w:left="216" w:leftChars="103"/>
              <w:rPr>
                <w:rFonts w:hint="eastAsia" w:ascii="仿宋" w:hAnsi="仿宋" w:eastAsia="仿宋" w:cs="仿宋"/>
                <w:color w:val="auto"/>
                <w:sz w:val="22"/>
                <w:szCs w:val="22"/>
                <w:highlight w:val="none"/>
              </w:rPr>
            </w:pPr>
            <w:r>
              <w:rPr>
                <w:rFonts w:ascii="仿宋" w:hAnsi="仿宋" w:eastAsia="仿宋" w:cs="仿宋"/>
                <w:color w:val="auto"/>
                <w:sz w:val="22"/>
                <w:szCs w:val="22"/>
                <w:highlight w:val="none"/>
              </w:rPr>
              <w:t>（2</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3463</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spacing w:line="360" w:lineRule="auto"/>
              <w:ind w:left="210" w:leftChars="100"/>
              <w:rPr>
                <w:rFonts w:hint="default"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w:t>
            </w:r>
            <w:r>
              <w:rPr>
                <w:rFonts w:ascii="Times New Roman" w:hAnsi="Times New Roman" w:eastAsia="仿宋" w:cs="Times New Roman"/>
                <w:color w:val="auto"/>
                <w:sz w:val="22"/>
                <w:szCs w:val="22"/>
                <w:highlight w:val="none"/>
                <w:lang w:val="zh-CN"/>
              </w:rPr>
              <w:t>原因逾期未与采购人签订采购合同的，将视为放弃</w:t>
            </w:r>
            <w:r>
              <w:rPr>
                <w:rFonts w:ascii="仿宋" w:hAnsi="仿宋" w:eastAsia="仿宋" w:cs="仿宋"/>
                <w:color w:val="auto"/>
                <w:highlight w:val="none"/>
                <w:lang w:val="zh-TW" w:eastAsia="zh-TW"/>
              </w:rPr>
              <w:t>中选</w:t>
            </w:r>
            <w:r>
              <w:rPr>
                <w:rFonts w:ascii="Times New Roman" w:hAnsi="Times New Roman" w:eastAsia="仿宋" w:cs="Times New Roman"/>
                <w:color w:val="auto"/>
                <w:sz w:val="22"/>
                <w:szCs w:val="22"/>
                <w:highlight w:val="none"/>
                <w:lang w:val="zh-CN"/>
              </w:rPr>
              <w:t>，取消其</w:t>
            </w:r>
            <w:r>
              <w:rPr>
                <w:rFonts w:ascii="仿宋" w:hAnsi="仿宋" w:eastAsia="仿宋" w:cs="仿宋"/>
                <w:color w:val="auto"/>
                <w:highlight w:val="none"/>
                <w:lang w:val="zh-TW" w:eastAsia="zh-TW"/>
              </w:rPr>
              <w:t>中选</w:t>
            </w:r>
            <w:r>
              <w:rPr>
                <w:rFonts w:ascii="Times New Roman" w:hAnsi="Times New Roman" w:eastAsia="仿宋" w:cs="Times New Roman"/>
                <w:color w:val="auto"/>
                <w:sz w:val="22"/>
                <w:szCs w:val="22"/>
                <w:highlight w:val="none"/>
                <w:lang w:val="zh-CN"/>
              </w:rPr>
              <w:t>资格并将按相关规定进行处理。</w:t>
            </w:r>
          </w:p>
          <w:p w14:paraId="3175F734">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（4）若中选供应商以非正当理由放弃中选，3年内不得参与本单位的采购项目。</w:t>
            </w:r>
          </w:p>
          <w:p w14:paraId="15994DF9">
            <w:pPr>
              <w:spacing w:line="360" w:lineRule="auto"/>
              <w:ind w:left="210" w:leftChars="100"/>
              <w:rPr>
                <w:rFonts w:hint="default"/>
                <w:color w:val="auto"/>
                <w:highlight w:val="none"/>
              </w:rPr>
            </w:pPr>
            <w:r>
              <w:rPr>
                <w:rFonts w:ascii="仿宋" w:hAnsi="仿宋" w:eastAsia="仿宋" w:cs="仿宋"/>
                <w:color w:val="auto"/>
                <w:sz w:val="22"/>
                <w:szCs w:val="22"/>
                <w:highlight w:val="none"/>
                <w:lang w:val="zh-TW"/>
              </w:rPr>
              <w:t>（</w:t>
            </w:r>
            <w:r>
              <w:rPr>
                <w:rFonts w:ascii="仿宋" w:hAnsi="仿宋" w:eastAsia="仿宋" w:cs="仿宋"/>
                <w:color w:val="auto"/>
                <w:sz w:val="22"/>
                <w:szCs w:val="22"/>
                <w:highlight w:val="none"/>
              </w:rPr>
              <w:t>5</w:t>
            </w:r>
            <w:r>
              <w:rPr>
                <w:rFonts w:ascii="仿宋" w:hAnsi="仿宋" w:eastAsia="仿宋" w:cs="仿宋"/>
                <w:color w:val="auto"/>
                <w:sz w:val="22"/>
                <w:szCs w:val="22"/>
                <w:highlight w:val="none"/>
                <w:lang w:val="zh-TW"/>
              </w:rPr>
              <w:t>）</w:t>
            </w:r>
            <w:r>
              <w:rPr>
                <w:rFonts w:hint="default" w:ascii="仿宋" w:hAnsi="仿宋" w:eastAsia="仿宋" w:cs="仿宋"/>
                <w:color w:val="auto"/>
                <w:sz w:val="22"/>
                <w:szCs w:val="22"/>
                <w:highlight w:val="none"/>
                <w:lang w:val="zh-TW" w:eastAsia="zh-TW"/>
              </w:rPr>
              <w:t>询比价报价截止当天及之后</w:t>
            </w:r>
            <w:r>
              <w:rPr>
                <w:rFonts w:ascii="仿宋" w:hAnsi="仿宋" w:eastAsia="仿宋" w:cs="仿宋"/>
                <w:color w:val="auto"/>
                <w:sz w:val="22"/>
                <w:szCs w:val="22"/>
                <w:highlight w:val="none"/>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ascii="仿宋" w:hAnsi="仿宋" w:eastAsia="仿宋" w:cs="仿宋"/>
                <w:color w:val="auto"/>
                <w:sz w:val="22"/>
                <w:szCs w:val="22"/>
                <w:highlight w:val="none"/>
                <w:lang w:val="zh-TW"/>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numPr>
                <w:ilvl w:val="0"/>
                <w:numId w:val="10"/>
              </w:numPr>
              <w:tabs>
                <w:tab w:val="left" w:pos="220"/>
                <w:tab w:val="clear" w:pos="0"/>
              </w:tabs>
              <w:adjustRightInd w:val="0"/>
              <w:snapToGrid w:val="0"/>
              <w:jc w:val="both"/>
              <w:rPr>
                <w:rFonts w:hint="default" w:ascii="仿宋" w:hAnsi="仿宋" w:eastAsia="仿宋" w:cs="仿宋"/>
                <w:color w:val="auto"/>
                <w:highlight w:val="none"/>
              </w:rPr>
            </w:pPr>
          </w:p>
        </w:tc>
        <w:tc>
          <w:tcPr>
            <w:tcW w:w="1765" w:type="dxa"/>
            <w:vAlign w:val="center"/>
          </w:tcPr>
          <w:p w14:paraId="320850EB">
            <w:pPr>
              <w:pStyle w:val="31"/>
              <w:spacing w:line="360" w:lineRule="auto"/>
              <w:ind w:left="420" w:leftChars="200" w:firstLine="0" w:firstLineChars="0"/>
              <w:jc w:val="left"/>
              <w:rPr>
                <w:rFonts w:hint="default"/>
                <w:color w:val="auto"/>
                <w:highlight w:val="none"/>
                <w:lang w:val="zh-TW" w:eastAsia="zh-TW"/>
              </w:rPr>
            </w:pPr>
            <w:r>
              <w:rPr>
                <w:rFonts w:ascii="仿宋" w:hAnsi="仿宋" w:eastAsia="仿宋" w:cs="仿宋"/>
                <w:color w:val="auto"/>
                <w:highlight w:val="none"/>
                <w:lang w:val="zh-TW" w:eastAsia="zh-TW"/>
              </w:rPr>
              <w:t>总体说明</w:t>
            </w:r>
          </w:p>
        </w:tc>
        <w:tc>
          <w:tcPr>
            <w:tcW w:w="6801" w:type="dxa"/>
            <w:vAlign w:val="center"/>
          </w:tcPr>
          <w:p w14:paraId="04150F4E">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(1)参与询比价产生的一切费用由供应商自行承担。</w:t>
            </w:r>
          </w:p>
          <w:p w14:paraId="36F8E533">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(2)本采购文件中的条款为实质性要求，供应商必须符合和满足，否则将视为无效响应处理。</w:t>
            </w:r>
          </w:p>
          <w:p w14:paraId="057DA268">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(3)“采购人”系指本次组织采购项目的四川省人民医院。</w:t>
            </w:r>
          </w:p>
          <w:p w14:paraId="3FCC3132">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(4)本文件中的“供应商”系指获取了本项目采购文件，拟参与本次询比价采购活动的潜在供应商。</w:t>
            </w:r>
          </w:p>
          <w:p w14:paraId="17881499">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(5)若遇特殊情况，采购人有权终止采购项目。</w:t>
            </w:r>
          </w:p>
          <w:p w14:paraId="5A8AE55B">
            <w:pPr>
              <w:spacing w:line="360" w:lineRule="auto"/>
              <w:ind w:left="210" w:leftChars="100"/>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4"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2"/>
        <w:ind w:firstLine="0"/>
        <w:rPr>
          <w:rStyle w:val="20"/>
          <w:rFonts w:asciiTheme="majorEastAsia" w:hAnsiTheme="majorEastAsia" w:eastAsiaTheme="majorEastAsia"/>
          <w:color w:val="auto"/>
          <w:sz w:val="32"/>
          <w:szCs w:val="32"/>
          <w:highlight w:val="none"/>
          <w:u w:val="none"/>
          <w:lang w:eastAsia="zh-TW"/>
        </w:rPr>
      </w:pPr>
      <w:bookmarkStart w:id="5"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5"/>
    </w:p>
    <w:bookmarkEnd w:id="4"/>
    <w:p w14:paraId="50F41384">
      <w:pPr>
        <w:pStyle w:val="3"/>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6"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0"/>
        <w:gridCol w:w="4046"/>
        <w:gridCol w:w="3813"/>
        <w:gridCol w:w="1900"/>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3"/>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7"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7"/>
    </w:p>
    <w:p w14:paraId="686EFE35">
      <w:pPr>
        <w:pStyle w:val="5"/>
        <w:pageBreakBefore w:val="0"/>
        <w:numPr>
          <w:ilvl w:val="0"/>
          <w:numId w:val="0"/>
        </w:numPr>
        <w:kinsoku/>
        <w:wordWrap/>
        <w:overflowPunct/>
        <w:topLinePunct w:val="0"/>
        <w:autoSpaceDN/>
        <w:bidi w:val="0"/>
        <w:adjustRightInd/>
        <w:snapToGrid/>
        <w:spacing w:beforeAutospacing="0" w:afterAutospacing="0" w:line="288" w:lineRule="auto"/>
        <w:ind w:left="0" w:leftChars="0" w:hanging="227"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587B7C22">
      <w:pPr>
        <w:pStyle w:val="5"/>
        <w:pageBreakBefore w:val="0"/>
        <w:numPr>
          <w:ilvl w:val="0"/>
          <w:numId w:val="0"/>
        </w:numPr>
        <w:kinsoku/>
        <w:wordWrap/>
        <w:overflowPunct/>
        <w:topLinePunct w:val="0"/>
        <w:autoSpaceDN/>
        <w:bidi w:val="0"/>
        <w:adjustRightInd/>
        <w:snapToGrid/>
        <w:spacing w:beforeAutospacing="0" w:afterAutospacing="0" w:line="288" w:lineRule="auto"/>
        <w:ind w:left="0" w:leftChars="0" w:hanging="227" w:firstLineChars="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2"/>
          <w:sz w:val="24"/>
          <w:szCs w:val="24"/>
          <w:highlight w:val="none"/>
          <w:u w:color="000000"/>
          <w:lang w:val="en-US" w:eastAsia="zh-CN" w:bidi="ar-SA"/>
        </w:rPr>
        <w:t>1.1</w:t>
      </w:r>
      <w:r>
        <w:rPr>
          <w:rStyle w:val="47"/>
          <w:rFonts w:hint="eastAsia" w:ascii="仿宋" w:hAnsi="仿宋" w:eastAsia="仿宋" w:cs="仿宋"/>
          <w:b/>
          <w:bCs/>
          <w:color w:val="auto"/>
          <w:kern w:val="2"/>
          <w:sz w:val="24"/>
          <w:szCs w:val="24"/>
          <w:highlight w:val="none"/>
          <w:lang w:val="en-US" w:eastAsia="zh-CN"/>
        </w:rPr>
        <w:t>采购</w:t>
      </w:r>
      <w:r>
        <w:rPr>
          <w:rStyle w:val="47"/>
          <w:rFonts w:hint="eastAsia" w:ascii="仿宋" w:hAnsi="仿宋" w:eastAsia="仿宋" w:cs="仿宋"/>
          <w:b/>
          <w:bCs/>
          <w:color w:val="auto"/>
          <w:kern w:val="2"/>
          <w:sz w:val="24"/>
          <w:szCs w:val="24"/>
          <w:highlight w:val="none"/>
        </w:rPr>
        <w:t>清单</w:t>
      </w:r>
    </w:p>
    <w:tbl>
      <w:tblPr>
        <w:tblStyle w:val="1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84"/>
        <w:gridCol w:w="4552"/>
        <w:gridCol w:w="1202"/>
        <w:gridCol w:w="1229"/>
        <w:gridCol w:w="2541"/>
      </w:tblGrid>
      <w:tr w14:paraId="5C68A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425" w:type="pct"/>
            <w:shd w:val="clear" w:color="auto" w:fill="auto"/>
            <w:tcMar>
              <w:top w:w="0" w:type="dxa"/>
              <w:left w:w="105" w:type="dxa"/>
              <w:bottom w:w="0" w:type="dxa"/>
              <w:right w:w="105" w:type="dxa"/>
            </w:tcMar>
            <w:vAlign w:val="center"/>
          </w:tcPr>
          <w:p w14:paraId="57F76C45">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val="0"/>
                <w:sz w:val="24"/>
                <w:szCs w:val="24"/>
              </w:rPr>
              <w:t>序号</w:t>
            </w:r>
          </w:p>
        </w:tc>
        <w:tc>
          <w:tcPr>
            <w:tcW w:w="2186" w:type="pct"/>
            <w:shd w:val="clear" w:color="auto" w:fill="auto"/>
            <w:tcMar>
              <w:top w:w="0" w:type="dxa"/>
              <w:left w:w="105" w:type="dxa"/>
              <w:bottom w:w="0" w:type="dxa"/>
              <w:right w:w="105" w:type="dxa"/>
            </w:tcMar>
            <w:vAlign w:val="center"/>
          </w:tcPr>
          <w:p w14:paraId="5051640C">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val="0"/>
                <w:sz w:val="24"/>
                <w:szCs w:val="24"/>
              </w:rPr>
              <w:t>品名</w:t>
            </w:r>
          </w:p>
        </w:tc>
        <w:tc>
          <w:tcPr>
            <w:tcW w:w="577" w:type="pct"/>
            <w:shd w:val="clear" w:color="auto" w:fill="auto"/>
            <w:tcMar>
              <w:top w:w="0" w:type="dxa"/>
              <w:left w:w="105" w:type="dxa"/>
              <w:bottom w:w="0" w:type="dxa"/>
              <w:right w:w="105" w:type="dxa"/>
            </w:tcMar>
            <w:vAlign w:val="center"/>
          </w:tcPr>
          <w:p w14:paraId="07E1AB23">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val="0"/>
                <w:sz w:val="24"/>
                <w:szCs w:val="24"/>
              </w:rPr>
              <w:t>数量</w:t>
            </w:r>
          </w:p>
        </w:tc>
        <w:tc>
          <w:tcPr>
            <w:tcW w:w="590" w:type="pct"/>
            <w:shd w:val="clear" w:color="auto" w:fill="auto"/>
            <w:tcMar>
              <w:top w:w="0" w:type="dxa"/>
              <w:left w:w="105" w:type="dxa"/>
              <w:bottom w:w="0" w:type="dxa"/>
              <w:right w:w="105" w:type="dxa"/>
            </w:tcMar>
            <w:vAlign w:val="center"/>
          </w:tcPr>
          <w:p w14:paraId="19F38B20">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val="0"/>
                <w:sz w:val="24"/>
                <w:szCs w:val="24"/>
              </w:rPr>
              <w:t>单位</w:t>
            </w:r>
          </w:p>
        </w:tc>
        <w:tc>
          <w:tcPr>
            <w:tcW w:w="1220" w:type="pct"/>
            <w:shd w:val="clear" w:color="auto" w:fill="auto"/>
            <w:tcMar>
              <w:top w:w="0" w:type="dxa"/>
              <w:left w:w="105" w:type="dxa"/>
              <w:bottom w:w="0" w:type="dxa"/>
              <w:right w:w="105" w:type="dxa"/>
            </w:tcMar>
            <w:vAlign w:val="center"/>
          </w:tcPr>
          <w:p w14:paraId="1B8D8DC0">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val="0"/>
                <w:sz w:val="24"/>
                <w:szCs w:val="24"/>
              </w:rPr>
              <w:t>限高单价（元）</w:t>
            </w:r>
          </w:p>
        </w:tc>
      </w:tr>
      <w:tr w14:paraId="237C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425" w:type="pct"/>
            <w:shd w:val="clear" w:color="auto" w:fill="auto"/>
            <w:tcMar>
              <w:top w:w="0" w:type="dxa"/>
              <w:left w:w="105" w:type="dxa"/>
              <w:bottom w:w="0" w:type="dxa"/>
              <w:right w:w="105" w:type="dxa"/>
            </w:tcMar>
            <w:vAlign w:val="center"/>
          </w:tcPr>
          <w:p w14:paraId="796A5CC8">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val="0"/>
                <w:sz w:val="24"/>
                <w:szCs w:val="24"/>
              </w:rPr>
              <w:t>1</w:t>
            </w:r>
          </w:p>
        </w:tc>
        <w:tc>
          <w:tcPr>
            <w:tcW w:w="2186" w:type="pct"/>
            <w:shd w:val="clear" w:color="auto" w:fill="auto"/>
            <w:tcMar>
              <w:top w:w="0" w:type="dxa"/>
              <w:left w:w="105" w:type="dxa"/>
              <w:bottom w:w="0" w:type="dxa"/>
              <w:right w:w="105" w:type="dxa"/>
            </w:tcMar>
            <w:vAlign w:val="center"/>
          </w:tcPr>
          <w:p w14:paraId="52DFB708">
            <w:pPr>
              <w:pStyle w:val="48"/>
              <w:keepNext w:val="0"/>
              <w:keepLines w:val="0"/>
              <w:widowControl/>
              <w:suppressLineNumbers w:val="0"/>
              <w:wordWrap w:val="0"/>
              <w:autoSpaceDE w:val="0"/>
              <w:autoSpaceDN/>
              <w:jc w:val="center"/>
              <w:rPr>
                <w:rFonts w:hint="eastAsia" w:ascii="仿宋" w:hAnsi="仿宋" w:eastAsia="仿宋" w:cs="仿宋"/>
                <w:kern w:val="0"/>
                <w:sz w:val="24"/>
                <w:szCs w:val="24"/>
                <w:u w:val="none" w:color="auto"/>
              </w:rPr>
            </w:pPr>
            <w:r>
              <w:rPr>
                <w:rFonts w:hint="eastAsia" w:ascii="仿宋" w:hAnsi="仿宋" w:eastAsia="仿宋" w:cs="仿宋"/>
                <w:kern w:val="0"/>
                <w:sz w:val="24"/>
                <w:szCs w:val="24"/>
                <w:u w:val="none" w:color="auto"/>
              </w:rPr>
              <w:t>移动设备智能管理柜主柜</w:t>
            </w:r>
          </w:p>
        </w:tc>
        <w:tc>
          <w:tcPr>
            <w:tcW w:w="577" w:type="pct"/>
            <w:shd w:val="clear" w:color="auto" w:fill="auto"/>
            <w:tcMar>
              <w:top w:w="0" w:type="dxa"/>
              <w:left w:w="105" w:type="dxa"/>
              <w:bottom w:w="0" w:type="dxa"/>
              <w:right w:w="105" w:type="dxa"/>
            </w:tcMar>
            <w:vAlign w:val="center"/>
          </w:tcPr>
          <w:p w14:paraId="6C17D3D8">
            <w:pPr>
              <w:pStyle w:val="48"/>
              <w:keepNext w:val="0"/>
              <w:keepLines w:val="0"/>
              <w:widowControl/>
              <w:suppressLineNumbers w:val="0"/>
              <w:autoSpaceDE w:val="0"/>
              <w:autoSpaceDN/>
              <w:jc w:val="center"/>
              <w:rPr>
                <w:rFonts w:hint="eastAsia" w:ascii="仿宋" w:hAnsi="仿宋" w:eastAsia="仿宋" w:cs="仿宋"/>
                <w:kern w:val="0"/>
                <w:sz w:val="24"/>
                <w:szCs w:val="24"/>
                <w:u w:val="none" w:color="auto"/>
              </w:rPr>
            </w:pPr>
            <w:r>
              <w:rPr>
                <w:rFonts w:hint="eastAsia" w:ascii="仿宋" w:hAnsi="仿宋" w:eastAsia="仿宋" w:cs="仿宋"/>
                <w:kern w:val="0"/>
                <w:sz w:val="24"/>
                <w:szCs w:val="24"/>
                <w:u w:val="none" w:color="auto"/>
              </w:rPr>
              <w:t>1</w:t>
            </w:r>
          </w:p>
        </w:tc>
        <w:tc>
          <w:tcPr>
            <w:tcW w:w="590" w:type="pct"/>
            <w:shd w:val="clear" w:color="auto" w:fill="auto"/>
            <w:tcMar>
              <w:top w:w="0" w:type="dxa"/>
              <w:left w:w="105" w:type="dxa"/>
              <w:bottom w:w="0" w:type="dxa"/>
              <w:right w:w="105" w:type="dxa"/>
            </w:tcMar>
            <w:vAlign w:val="center"/>
          </w:tcPr>
          <w:p w14:paraId="78C70BF9">
            <w:pPr>
              <w:pStyle w:val="48"/>
              <w:keepNext w:val="0"/>
              <w:keepLines w:val="0"/>
              <w:widowControl/>
              <w:suppressLineNumbers w:val="0"/>
              <w:autoSpaceDE w:val="0"/>
              <w:autoSpaceDN/>
              <w:jc w:val="center"/>
              <w:rPr>
                <w:rFonts w:hint="eastAsia" w:ascii="仿宋" w:hAnsi="仿宋" w:eastAsia="仿宋" w:cs="仿宋"/>
                <w:kern w:val="0"/>
                <w:sz w:val="24"/>
                <w:szCs w:val="24"/>
                <w:u w:val="none" w:color="auto"/>
              </w:rPr>
            </w:pPr>
            <w:r>
              <w:rPr>
                <w:rFonts w:hint="eastAsia" w:ascii="仿宋" w:hAnsi="仿宋" w:eastAsia="仿宋" w:cs="仿宋"/>
                <w:kern w:val="0"/>
                <w:sz w:val="24"/>
                <w:szCs w:val="24"/>
                <w:u w:val="none" w:color="auto"/>
              </w:rPr>
              <w:t>套</w:t>
            </w:r>
          </w:p>
        </w:tc>
        <w:tc>
          <w:tcPr>
            <w:tcW w:w="1220" w:type="pct"/>
            <w:shd w:val="clear" w:color="auto" w:fill="auto"/>
            <w:tcMar>
              <w:top w:w="0" w:type="dxa"/>
              <w:left w:w="105" w:type="dxa"/>
              <w:bottom w:w="0" w:type="dxa"/>
              <w:right w:w="105" w:type="dxa"/>
            </w:tcMar>
            <w:vAlign w:val="center"/>
          </w:tcPr>
          <w:p w14:paraId="473CFE01">
            <w:pPr>
              <w:pStyle w:val="48"/>
              <w:keepNext w:val="0"/>
              <w:keepLines w:val="0"/>
              <w:widowControl/>
              <w:suppressLineNumbers w:val="0"/>
              <w:jc w:val="center"/>
              <w:rPr>
                <w:rFonts w:hint="eastAsia" w:ascii="仿宋" w:hAnsi="仿宋" w:eastAsia="仿宋" w:cs="仿宋"/>
                <w:kern w:val="0"/>
                <w:sz w:val="24"/>
                <w:szCs w:val="24"/>
                <w:u w:val="none" w:color="auto"/>
              </w:rPr>
            </w:pPr>
            <w:r>
              <w:rPr>
                <w:rFonts w:hint="eastAsia" w:ascii="仿宋" w:hAnsi="仿宋" w:eastAsia="仿宋" w:cs="仿宋"/>
                <w:kern w:val="0"/>
                <w:sz w:val="24"/>
                <w:szCs w:val="24"/>
                <w:u w:val="none" w:color="auto"/>
              </w:rPr>
              <w:t>40000</w:t>
            </w:r>
          </w:p>
        </w:tc>
      </w:tr>
      <w:tr w14:paraId="0333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425" w:type="pct"/>
            <w:shd w:val="clear" w:color="auto" w:fill="auto"/>
            <w:tcMar>
              <w:top w:w="0" w:type="dxa"/>
              <w:left w:w="105" w:type="dxa"/>
              <w:bottom w:w="0" w:type="dxa"/>
              <w:right w:w="105" w:type="dxa"/>
            </w:tcMar>
            <w:vAlign w:val="center"/>
          </w:tcPr>
          <w:p w14:paraId="107284E6">
            <w:pPr>
              <w:pStyle w:val="48"/>
              <w:keepNext w:val="0"/>
              <w:keepLines w:val="0"/>
              <w:widowControl/>
              <w:suppressLineNumbers w:val="0"/>
              <w:autoSpaceDE w:val="0"/>
              <w:autoSpaceDN/>
              <w:jc w:val="center"/>
              <w:rPr>
                <w:rFonts w:hint="eastAsia" w:ascii="仿宋" w:hAnsi="仿宋" w:eastAsia="仿宋" w:cs="仿宋"/>
                <w:kern w:val="0"/>
                <w:sz w:val="24"/>
                <w:szCs w:val="24"/>
              </w:rPr>
            </w:pPr>
            <w:r>
              <w:rPr>
                <w:rStyle w:val="47"/>
                <w:rFonts w:hint="eastAsia" w:ascii="仿宋" w:hAnsi="仿宋" w:eastAsia="仿宋" w:cs="仿宋"/>
                <w:b/>
                <w:bCs w:val="0"/>
                <w:sz w:val="24"/>
                <w:szCs w:val="24"/>
              </w:rPr>
              <w:t>2</w:t>
            </w:r>
          </w:p>
        </w:tc>
        <w:tc>
          <w:tcPr>
            <w:tcW w:w="2186" w:type="pct"/>
            <w:shd w:val="clear" w:color="auto" w:fill="auto"/>
            <w:tcMar>
              <w:top w:w="0" w:type="dxa"/>
              <w:left w:w="105" w:type="dxa"/>
              <w:bottom w:w="0" w:type="dxa"/>
              <w:right w:w="105" w:type="dxa"/>
            </w:tcMar>
            <w:vAlign w:val="center"/>
          </w:tcPr>
          <w:p w14:paraId="26091351">
            <w:pPr>
              <w:pStyle w:val="48"/>
              <w:keepNext w:val="0"/>
              <w:keepLines w:val="0"/>
              <w:widowControl/>
              <w:suppressLineNumbers w:val="0"/>
              <w:autoSpaceDE w:val="0"/>
              <w:autoSpaceDN/>
              <w:jc w:val="center"/>
              <w:rPr>
                <w:rFonts w:hint="eastAsia" w:ascii="仿宋" w:hAnsi="仿宋" w:eastAsia="仿宋" w:cs="仿宋"/>
                <w:kern w:val="0"/>
                <w:sz w:val="24"/>
                <w:szCs w:val="24"/>
                <w:u w:val="none" w:color="auto"/>
              </w:rPr>
            </w:pPr>
            <w:r>
              <w:rPr>
                <w:rFonts w:hint="eastAsia" w:ascii="仿宋" w:hAnsi="仿宋" w:eastAsia="仿宋" w:cs="仿宋"/>
                <w:kern w:val="0"/>
                <w:sz w:val="24"/>
                <w:szCs w:val="24"/>
                <w:u w:val="none" w:color="auto"/>
              </w:rPr>
              <w:t>移动设备智能管理柜副柜</w:t>
            </w:r>
          </w:p>
        </w:tc>
        <w:tc>
          <w:tcPr>
            <w:tcW w:w="577" w:type="pct"/>
            <w:shd w:val="clear" w:color="auto" w:fill="auto"/>
            <w:tcMar>
              <w:top w:w="0" w:type="dxa"/>
              <w:left w:w="105" w:type="dxa"/>
              <w:bottom w:w="0" w:type="dxa"/>
              <w:right w:w="105" w:type="dxa"/>
            </w:tcMar>
            <w:vAlign w:val="center"/>
          </w:tcPr>
          <w:p w14:paraId="0A62C237">
            <w:pPr>
              <w:pStyle w:val="48"/>
              <w:keepNext w:val="0"/>
              <w:keepLines w:val="0"/>
              <w:widowControl/>
              <w:suppressLineNumbers w:val="0"/>
              <w:autoSpaceDE w:val="0"/>
              <w:autoSpaceDN/>
              <w:jc w:val="center"/>
              <w:rPr>
                <w:rFonts w:hint="eastAsia" w:ascii="仿宋" w:hAnsi="仿宋" w:eastAsia="仿宋" w:cs="仿宋"/>
                <w:kern w:val="0"/>
                <w:sz w:val="24"/>
                <w:szCs w:val="24"/>
                <w:u w:val="none" w:color="auto"/>
              </w:rPr>
            </w:pPr>
            <w:r>
              <w:rPr>
                <w:rFonts w:hint="eastAsia" w:ascii="仿宋" w:hAnsi="仿宋" w:eastAsia="仿宋" w:cs="仿宋"/>
                <w:kern w:val="0"/>
                <w:sz w:val="24"/>
                <w:szCs w:val="24"/>
                <w:u w:val="none" w:color="auto"/>
              </w:rPr>
              <w:t>2</w:t>
            </w:r>
          </w:p>
        </w:tc>
        <w:tc>
          <w:tcPr>
            <w:tcW w:w="590" w:type="pct"/>
            <w:shd w:val="clear" w:color="auto" w:fill="auto"/>
            <w:tcMar>
              <w:top w:w="0" w:type="dxa"/>
              <w:left w:w="105" w:type="dxa"/>
              <w:bottom w:w="0" w:type="dxa"/>
              <w:right w:w="105" w:type="dxa"/>
            </w:tcMar>
            <w:vAlign w:val="center"/>
          </w:tcPr>
          <w:p w14:paraId="5FCED021">
            <w:pPr>
              <w:pStyle w:val="48"/>
              <w:keepNext w:val="0"/>
              <w:keepLines w:val="0"/>
              <w:widowControl/>
              <w:suppressLineNumbers w:val="0"/>
              <w:autoSpaceDE w:val="0"/>
              <w:autoSpaceDN/>
              <w:jc w:val="center"/>
              <w:rPr>
                <w:rFonts w:hint="eastAsia" w:ascii="仿宋" w:hAnsi="仿宋" w:eastAsia="仿宋" w:cs="仿宋"/>
                <w:kern w:val="0"/>
                <w:sz w:val="24"/>
                <w:szCs w:val="24"/>
                <w:u w:val="none" w:color="auto"/>
              </w:rPr>
            </w:pPr>
            <w:r>
              <w:rPr>
                <w:rFonts w:hint="eastAsia" w:ascii="仿宋" w:hAnsi="仿宋" w:eastAsia="仿宋" w:cs="仿宋"/>
                <w:kern w:val="0"/>
                <w:sz w:val="24"/>
                <w:szCs w:val="24"/>
                <w:u w:val="none" w:color="auto"/>
              </w:rPr>
              <w:t>套</w:t>
            </w:r>
          </w:p>
        </w:tc>
        <w:tc>
          <w:tcPr>
            <w:tcW w:w="1220" w:type="pct"/>
            <w:shd w:val="clear" w:color="auto" w:fill="auto"/>
            <w:tcMar>
              <w:top w:w="0" w:type="dxa"/>
              <w:left w:w="105" w:type="dxa"/>
              <w:bottom w:w="0" w:type="dxa"/>
              <w:right w:w="105" w:type="dxa"/>
            </w:tcMar>
            <w:vAlign w:val="center"/>
          </w:tcPr>
          <w:p w14:paraId="4CFA9BB0">
            <w:pPr>
              <w:pStyle w:val="48"/>
              <w:keepNext w:val="0"/>
              <w:keepLines w:val="0"/>
              <w:widowControl/>
              <w:suppressLineNumbers w:val="0"/>
              <w:jc w:val="center"/>
              <w:rPr>
                <w:rFonts w:hint="eastAsia" w:ascii="仿宋" w:hAnsi="仿宋" w:eastAsia="仿宋" w:cs="仿宋"/>
                <w:kern w:val="0"/>
                <w:sz w:val="24"/>
                <w:szCs w:val="24"/>
                <w:u w:val="none" w:color="auto"/>
              </w:rPr>
            </w:pPr>
            <w:r>
              <w:rPr>
                <w:rFonts w:hint="eastAsia" w:ascii="仿宋" w:hAnsi="仿宋" w:eastAsia="仿宋" w:cs="仿宋"/>
                <w:kern w:val="0"/>
                <w:sz w:val="24"/>
                <w:szCs w:val="24"/>
                <w:u w:val="none" w:color="auto"/>
              </w:rPr>
              <w:t>20000</w:t>
            </w:r>
          </w:p>
        </w:tc>
      </w:tr>
    </w:tbl>
    <w:p w14:paraId="0D44EFC6">
      <w:pPr>
        <w:pStyle w:val="5"/>
        <w:pageBreakBefore w:val="0"/>
        <w:numPr>
          <w:ilvl w:val="0"/>
          <w:numId w:val="0"/>
        </w:numPr>
        <w:kinsoku/>
        <w:wordWrap/>
        <w:overflowPunct/>
        <w:topLinePunct w:val="0"/>
        <w:autoSpaceDN/>
        <w:bidi w:val="0"/>
        <w:adjustRightInd/>
        <w:snapToGrid/>
        <w:spacing w:beforeAutospacing="0" w:afterAutospacing="0" w:line="360" w:lineRule="auto"/>
        <w:ind w:left="0" w:leftChars="0" w:hanging="227"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1.2接口清单</w:t>
      </w:r>
    </w:p>
    <w:p w14:paraId="1F01B341">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供应商</w:t>
      </w:r>
      <w:r>
        <w:rPr>
          <w:rFonts w:hint="eastAsia" w:ascii="仿宋" w:hAnsi="仿宋" w:eastAsia="仿宋" w:cs="仿宋"/>
          <w:sz w:val="24"/>
          <w:szCs w:val="24"/>
        </w:rPr>
        <w:t>应提前与现有系统生产厂商（深圳市智莱科技股份有限公司）联</w:t>
      </w:r>
      <w:r>
        <w:rPr>
          <w:rFonts w:hint="eastAsia" w:ascii="仿宋" w:hAnsi="仿宋" w:eastAsia="仿宋" w:cs="仿宋"/>
          <w:i w:val="0"/>
          <w:iCs w:val="0"/>
          <w:caps w:val="0"/>
          <w:spacing w:val="8"/>
          <w:sz w:val="24"/>
          <w:szCs w:val="24"/>
          <w:shd w:val="clear" w:fill="FFFFFF"/>
        </w:rPr>
        <w:t>系</w:t>
      </w:r>
      <w:r>
        <w:rPr>
          <w:rFonts w:hint="eastAsia" w:ascii="仿宋" w:hAnsi="仿宋" w:eastAsia="仿宋" w:cs="仿宋"/>
          <w:sz w:val="24"/>
          <w:szCs w:val="24"/>
        </w:rPr>
        <w:t>，自行协商软件对接相关事宜；如涉及接口费用，由</w:t>
      </w:r>
      <w:r>
        <w:rPr>
          <w:rFonts w:hint="eastAsia" w:ascii="仿宋" w:hAnsi="仿宋" w:eastAsia="仿宋" w:cs="仿宋"/>
          <w:sz w:val="24"/>
          <w:szCs w:val="24"/>
          <w:lang w:val="en-US" w:eastAsia="zh-CN"/>
        </w:rPr>
        <w:t>响应供应商</w:t>
      </w:r>
      <w:r>
        <w:rPr>
          <w:rFonts w:hint="eastAsia" w:ascii="仿宋" w:hAnsi="仿宋" w:eastAsia="仿宋" w:cs="仿宋"/>
          <w:sz w:val="24"/>
          <w:szCs w:val="24"/>
        </w:rPr>
        <w:t>商自行与厂商沟通解决，</w:t>
      </w:r>
      <w:r>
        <w:rPr>
          <w:rFonts w:hint="eastAsia" w:ascii="仿宋" w:hAnsi="仿宋" w:eastAsia="仿宋" w:cs="仿宋"/>
          <w:sz w:val="24"/>
          <w:szCs w:val="24"/>
          <w:lang w:val="en-US" w:eastAsia="zh-CN"/>
        </w:rPr>
        <w:t>响应</w:t>
      </w:r>
      <w:r>
        <w:rPr>
          <w:rFonts w:hint="eastAsia" w:ascii="仿宋" w:hAnsi="仿宋" w:eastAsia="仿宋" w:cs="仿宋"/>
          <w:sz w:val="24"/>
          <w:szCs w:val="24"/>
        </w:rPr>
        <w:t>报价已包含本次项目所需全部相关费用，采购人不再另行支付。</w:t>
      </w:r>
    </w:p>
    <w:tbl>
      <w:tblPr>
        <w:tblStyle w:val="1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235"/>
        <w:gridCol w:w="3811"/>
        <w:gridCol w:w="5372"/>
      </w:tblGrid>
      <w:tr w14:paraId="30B19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exact"/>
        </w:trPr>
        <w:tc>
          <w:tcPr>
            <w:tcW w:w="593" w:type="pct"/>
            <w:shd w:val="clear" w:color="auto" w:fill="auto"/>
            <w:vAlign w:val="center"/>
          </w:tcPr>
          <w:p w14:paraId="08690F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序号</w:t>
            </w:r>
          </w:p>
        </w:tc>
        <w:tc>
          <w:tcPr>
            <w:tcW w:w="1829" w:type="pct"/>
            <w:shd w:val="clear" w:color="auto" w:fill="auto"/>
            <w:vAlign w:val="center"/>
          </w:tcPr>
          <w:p w14:paraId="35F9B7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软件</w:t>
            </w:r>
          </w:p>
        </w:tc>
        <w:tc>
          <w:tcPr>
            <w:tcW w:w="2577" w:type="pct"/>
            <w:shd w:val="clear" w:color="auto" w:fill="auto"/>
            <w:vAlign w:val="center"/>
          </w:tcPr>
          <w:p w14:paraId="3D8D5E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生产厂商（全称）</w:t>
            </w:r>
          </w:p>
        </w:tc>
      </w:tr>
      <w:tr w14:paraId="43367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10" w:hRule="exact"/>
        </w:trPr>
        <w:tc>
          <w:tcPr>
            <w:tcW w:w="593" w:type="pct"/>
            <w:shd w:val="clear" w:color="auto" w:fill="auto"/>
            <w:vAlign w:val="center"/>
          </w:tcPr>
          <w:p w14:paraId="759EB4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1829" w:type="pct"/>
            <w:shd w:val="clear" w:color="auto" w:fill="auto"/>
            <w:vAlign w:val="center"/>
          </w:tcPr>
          <w:p w14:paraId="6BB82E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kern w:val="0"/>
                <w:sz w:val="24"/>
                <w:szCs w:val="24"/>
                <w:u w:val="none"/>
                <w:lang w:val="en-US" w:eastAsia="zh-CN" w:bidi="ar"/>
              </w:rPr>
            </w:pPr>
            <w:r>
              <w:rPr>
                <w:rFonts w:hint="eastAsia" w:ascii="仿宋" w:hAnsi="仿宋" w:eastAsia="仿宋" w:cs="仿宋"/>
                <w:color w:val="000000"/>
                <w:kern w:val="0"/>
                <w:sz w:val="24"/>
                <w:szCs w:val="24"/>
                <w:u w:val="none"/>
                <w:lang w:val="en-US" w:eastAsia="zh-CN" w:bidi="ar"/>
              </w:rPr>
              <w:t>充电柜管理系统v1.0</w:t>
            </w:r>
          </w:p>
        </w:tc>
        <w:tc>
          <w:tcPr>
            <w:tcW w:w="2577" w:type="pct"/>
            <w:shd w:val="clear" w:color="auto" w:fill="auto"/>
            <w:vAlign w:val="center"/>
          </w:tcPr>
          <w:p w14:paraId="35FCEE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kern w:val="0"/>
                <w:sz w:val="24"/>
                <w:szCs w:val="24"/>
                <w:u w:val="none"/>
                <w:lang w:val="en-US" w:eastAsia="zh-CN" w:bidi="ar"/>
              </w:rPr>
            </w:pPr>
            <w:r>
              <w:rPr>
                <w:rFonts w:hint="eastAsia" w:ascii="仿宋" w:hAnsi="仿宋" w:eastAsia="仿宋" w:cs="仿宋"/>
                <w:color w:val="000000"/>
                <w:kern w:val="0"/>
                <w:sz w:val="24"/>
                <w:szCs w:val="24"/>
                <w:u w:val="none"/>
                <w:lang w:val="en-US" w:eastAsia="zh-CN" w:bidi="ar"/>
              </w:rPr>
              <w:t>深圳市智莱科技股份有限公司</w:t>
            </w:r>
          </w:p>
        </w:tc>
      </w:tr>
    </w:tbl>
    <w:p w14:paraId="0DD5DB14">
      <w:pPr>
        <w:pStyle w:val="5"/>
        <w:pageBreakBefore w:val="0"/>
        <w:numPr>
          <w:ilvl w:val="0"/>
          <w:numId w:val="0"/>
        </w:numPr>
        <w:kinsoku/>
        <w:wordWrap/>
        <w:overflowPunct/>
        <w:topLinePunct w:val="0"/>
        <w:autoSpaceDN/>
        <w:bidi w:val="0"/>
        <w:adjustRightInd/>
        <w:snapToGrid/>
        <w:spacing w:beforeAutospacing="0" w:afterAutospacing="0" w:line="360" w:lineRule="auto"/>
        <w:ind w:left="0" w:leftChars="0" w:hanging="227" w:firstLineChars="0"/>
        <w:textAlignment w:val="auto"/>
        <w:rPr>
          <w:rFonts w:hint="eastAsia" w:ascii="仿宋" w:hAnsi="仿宋" w:eastAsia="仿宋" w:cs="仿宋"/>
          <w:b/>
          <w:bCs/>
          <w:color w:val="auto"/>
          <w:kern w:val="2"/>
          <w:sz w:val="24"/>
          <w:szCs w:val="24"/>
          <w:highlight w:val="none"/>
          <w:u w:color="000000"/>
          <w:lang w:val="en-US" w:eastAsia="zh-CN" w:bidi="ar-SA"/>
        </w:rPr>
      </w:pPr>
    </w:p>
    <w:p w14:paraId="63A6868D">
      <w:pPr>
        <w:pStyle w:val="5"/>
        <w:pageBreakBefore w:val="0"/>
        <w:numPr>
          <w:ilvl w:val="0"/>
          <w:numId w:val="0"/>
        </w:numPr>
        <w:kinsoku/>
        <w:wordWrap/>
        <w:overflowPunct/>
        <w:topLinePunct w:val="0"/>
        <w:autoSpaceDN/>
        <w:bidi w:val="0"/>
        <w:adjustRightInd/>
        <w:snapToGrid/>
        <w:spacing w:beforeAutospacing="0" w:afterAutospacing="0" w:line="288" w:lineRule="auto"/>
        <w:ind w:left="0" w:leftChars="0" w:hanging="227"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2.参数设置</w:t>
      </w:r>
      <w:r>
        <w:rPr>
          <w:rFonts w:hint="eastAsia" w:ascii="仿宋" w:hAnsi="仿宋" w:eastAsia="仿宋" w:cs="仿宋"/>
          <w:b/>
          <w:bCs/>
          <w:color w:val="auto"/>
          <w:sz w:val="24"/>
          <w:szCs w:val="24"/>
          <w:highlight w:val="none"/>
        </w:rPr>
        <w:t>及</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p w14:paraId="3D9E1749">
      <w:pPr>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参数设置</w:t>
      </w:r>
    </w:p>
    <w:tbl>
      <w:tblPr>
        <w:tblStyle w:val="14"/>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23"/>
        <w:gridCol w:w="1219"/>
        <w:gridCol w:w="8172"/>
      </w:tblGrid>
      <w:tr w14:paraId="60D3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23" w:type="dxa"/>
            <w:shd w:val="clear" w:color="auto" w:fill="auto"/>
            <w:tcMar>
              <w:top w:w="0" w:type="dxa"/>
              <w:left w:w="105" w:type="dxa"/>
              <w:bottom w:w="0" w:type="dxa"/>
              <w:right w:w="105" w:type="dxa"/>
            </w:tcMar>
            <w:vAlign w:val="center"/>
          </w:tcPr>
          <w:p w14:paraId="47E8CD18">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rPr>
            </w:pPr>
            <w:r>
              <w:rPr>
                <w:rStyle w:val="47"/>
                <w:rFonts w:hint="eastAsia" w:ascii="仿宋" w:hAnsi="仿宋" w:eastAsia="仿宋" w:cs="仿宋"/>
                <w:b/>
                <w:bCs w:val="0"/>
                <w:sz w:val="24"/>
                <w:szCs w:val="24"/>
                <w:highlight w:val="none"/>
              </w:rPr>
              <w:t>序号</w:t>
            </w:r>
          </w:p>
        </w:tc>
        <w:tc>
          <w:tcPr>
            <w:tcW w:w="1219" w:type="dxa"/>
            <w:shd w:val="clear" w:color="auto" w:fill="auto"/>
            <w:tcMar>
              <w:top w:w="0" w:type="dxa"/>
              <w:left w:w="105" w:type="dxa"/>
              <w:bottom w:w="0" w:type="dxa"/>
              <w:right w:w="105" w:type="dxa"/>
            </w:tcMar>
            <w:vAlign w:val="center"/>
          </w:tcPr>
          <w:p w14:paraId="6E9E7BDE">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rPr>
            </w:pPr>
            <w:r>
              <w:rPr>
                <w:rStyle w:val="47"/>
                <w:rFonts w:hint="eastAsia" w:ascii="仿宋" w:hAnsi="仿宋" w:eastAsia="仿宋" w:cs="仿宋"/>
                <w:b/>
                <w:bCs w:val="0"/>
                <w:sz w:val="24"/>
                <w:szCs w:val="24"/>
                <w:highlight w:val="none"/>
              </w:rPr>
              <w:t>设备名称</w:t>
            </w:r>
          </w:p>
        </w:tc>
        <w:tc>
          <w:tcPr>
            <w:tcW w:w="8172" w:type="dxa"/>
            <w:shd w:val="clear" w:color="auto" w:fill="auto"/>
            <w:tcMar>
              <w:top w:w="0" w:type="dxa"/>
              <w:left w:w="105" w:type="dxa"/>
              <w:bottom w:w="0" w:type="dxa"/>
              <w:right w:w="105" w:type="dxa"/>
            </w:tcMar>
            <w:vAlign w:val="center"/>
          </w:tcPr>
          <w:p w14:paraId="625376AB">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jc w:val="center"/>
              <w:rPr>
                <w:rFonts w:hint="eastAsia" w:ascii="仿宋" w:hAnsi="仿宋" w:eastAsia="仿宋" w:cs="仿宋"/>
                <w:kern w:val="0"/>
                <w:sz w:val="24"/>
                <w:szCs w:val="24"/>
                <w:highlight w:val="none"/>
              </w:rPr>
            </w:pPr>
            <w:r>
              <w:rPr>
                <w:rStyle w:val="47"/>
                <w:rFonts w:hint="eastAsia" w:ascii="仿宋" w:hAnsi="仿宋" w:eastAsia="仿宋" w:cs="仿宋"/>
                <w:b/>
                <w:bCs w:val="0"/>
                <w:sz w:val="24"/>
                <w:szCs w:val="24"/>
                <w:highlight w:val="none"/>
                <w:lang w:val="en-US" w:eastAsia="zh-CN"/>
              </w:rPr>
              <w:t>技术</w:t>
            </w:r>
            <w:r>
              <w:rPr>
                <w:rStyle w:val="47"/>
                <w:rFonts w:hint="eastAsia" w:ascii="仿宋" w:hAnsi="仿宋" w:eastAsia="仿宋" w:cs="仿宋"/>
                <w:b/>
                <w:bCs w:val="0"/>
                <w:sz w:val="24"/>
                <w:szCs w:val="24"/>
                <w:highlight w:val="none"/>
              </w:rPr>
              <w:t>参数</w:t>
            </w:r>
          </w:p>
        </w:tc>
      </w:tr>
      <w:tr w14:paraId="799A9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23" w:type="dxa"/>
            <w:shd w:val="clear" w:color="auto" w:fill="auto"/>
            <w:tcMar>
              <w:top w:w="0" w:type="dxa"/>
              <w:left w:w="105" w:type="dxa"/>
              <w:bottom w:w="0" w:type="dxa"/>
              <w:right w:w="105" w:type="dxa"/>
            </w:tcMar>
            <w:vAlign w:val="center"/>
          </w:tcPr>
          <w:p w14:paraId="65F71D0F">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jc w:val="center"/>
              <w:textAlignment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p>
        </w:tc>
        <w:tc>
          <w:tcPr>
            <w:tcW w:w="1219" w:type="dxa"/>
            <w:shd w:val="clear" w:color="auto" w:fill="auto"/>
            <w:tcMar>
              <w:top w:w="0" w:type="dxa"/>
              <w:left w:w="105" w:type="dxa"/>
              <w:bottom w:w="0" w:type="dxa"/>
              <w:right w:w="105" w:type="dxa"/>
            </w:tcMar>
            <w:vAlign w:val="center"/>
          </w:tcPr>
          <w:p w14:paraId="349DD902">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jc w:val="center"/>
              <w:textAlignment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移动设备智能管理柜主柜</w:t>
            </w:r>
          </w:p>
        </w:tc>
        <w:tc>
          <w:tcPr>
            <w:tcW w:w="8172" w:type="dxa"/>
            <w:shd w:val="clear" w:color="auto" w:fill="auto"/>
            <w:tcMar>
              <w:top w:w="0" w:type="dxa"/>
              <w:left w:w="105" w:type="dxa"/>
              <w:bottom w:w="0" w:type="dxa"/>
              <w:right w:w="105" w:type="dxa"/>
            </w:tcMar>
            <w:vAlign w:val="top"/>
          </w:tcPr>
          <w:p w14:paraId="3EA57933">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1.支持与</w:t>
            </w:r>
            <w:r>
              <w:rPr>
                <w:rFonts w:hint="eastAsia" w:ascii="仿宋" w:hAnsi="仿宋" w:eastAsia="仿宋" w:cs="仿宋"/>
                <w:kern w:val="0"/>
                <w:sz w:val="24"/>
                <w:szCs w:val="24"/>
                <w:highlight w:val="none"/>
                <w:lang w:val="en-US" w:eastAsia="zh-CN"/>
              </w:rPr>
              <w:t>采购人</w:t>
            </w:r>
            <w:r>
              <w:rPr>
                <w:rFonts w:hint="eastAsia" w:ascii="仿宋" w:hAnsi="仿宋" w:eastAsia="仿宋" w:cs="仿宋"/>
                <w:kern w:val="0"/>
                <w:sz w:val="24"/>
                <w:szCs w:val="24"/>
                <w:highlight w:val="none"/>
              </w:rPr>
              <w:t>现有移动设备智能管理柜管理系统无缝连接，可以后台统一管理。</w:t>
            </w:r>
            <w:r>
              <w:rPr>
                <w:rFonts w:hint="eastAsia" w:ascii="仿宋" w:hAnsi="仿宋" w:eastAsia="仿宋" w:cs="仿宋"/>
                <w:kern w:val="0"/>
                <w:sz w:val="24"/>
                <w:szCs w:val="24"/>
                <w:highlight w:val="none"/>
                <w:lang w:eastAsia="zh-CN"/>
              </w:rPr>
              <w:t>采购人</w:t>
            </w:r>
            <w:r>
              <w:rPr>
                <w:rFonts w:hint="eastAsia" w:ascii="仿宋" w:hAnsi="仿宋" w:eastAsia="仿宋" w:cs="仿宋"/>
                <w:kern w:val="0"/>
                <w:sz w:val="24"/>
                <w:szCs w:val="24"/>
                <w:highlight w:val="none"/>
              </w:rPr>
              <w:t>现有管理系统型号：深圳市智莱科技股份有限公司(充电柜管理系统v1.0)；</w:t>
            </w:r>
          </w:p>
          <w:p w14:paraId="4C9F08AB">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2.满足</w:t>
            </w:r>
            <w:r>
              <w:rPr>
                <w:rFonts w:hint="eastAsia" w:ascii="仿宋" w:hAnsi="仿宋" w:eastAsia="仿宋" w:cs="仿宋"/>
                <w:kern w:val="0"/>
                <w:sz w:val="24"/>
                <w:szCs w:val="24"/>
                <w:highlight w:val="none"/>
                <w:lang w:eastAsia="zh-CN"/>
              </w:rPr>
              <w:t>采购人</w:t>
            </w:r>
            <w:r>
              <w:rPr>
                <w:rFonts w:hint="eastAsia" w:ascii="仿宋" w:hAnsi="仿宋" w:eastAsia="仿宋" w:cs="仿宋"/>
                <w:kern w:val="0"/>
                <w:sz w:val="24"/>
                <w:szCs w:val="24"/>
                <w:highlight w:val="none"/>
              </w:rPr>
              <w:t>空间摆放条件，整柜外形尺寸不高于(W*D*H)600mm×400mm×1650mm；</w:t>
            </w:r>
          </w:p>
          <w:p w14:paraId="1118FF43">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3.显示屏：</w:t>
            </w:r>
            <w:r>
              <w:rPr>
                <w:rFonts w:hint="eastAsia" w:ascii="仿宋" w:hAnsi="仿宋" w:eastAsia="仿宋" w:cs="仿宋"/>
                <w:kern w:val="0"/>
                <w:sz w:val="24"/>
                <w:szCs w:val="24"/>
                <w:highlight w:val="none"/>
                <w:lang w:val="en-US" w:eastAsia="zh-CN"/>
              </w:rPr>
              <w:t>10</w:t>
            </w:r>
            <w:r>
              <w:rPr>
                <w:rFonts w:hint="eastAsia" w:ascii="仿宋" w:hAnsi="仿宋" w:eastAsia="仿宋" w:cs="仿宋"/>
                <w:b w:val="0"/>
                <w:bCs/>
                <w:color w:val="auto"/>
                <w:kern w:val="2"/>
                <w:sz w:val="24"/>
                <w:szCs w:val="24"/>
                <w:highlight w:val="none"/>
                <w:lang w:val="en-US" w:eastAsia="zh-CN" w:bidi="ar-SA"/>
              </w:rPr>
              <w:t>英寸</w:t>
            </w:r>
            <w:r>
              <w:rPr>
                <w:rFonts w:hint="eastAsia" w:ascii="仿宋" w:hAnsi="仿宋" w:eastAsia="仿宋" w:cs="仿宋"/>
                <w:kern w:val="0"/>
                <w:sz w:val="24"/>
                <w:szCs w:val="24"/>
                <w:highlight w:val="none"/>
              </w:rPr>
              <w:t>以上触摸显示屏，电容屏一体化集成内嵌于柜体；</w:t>
            </w:r>
          </w:p>
          <w:p w14:paraId="0F976B32">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4.柜体采用≥0.8mm优质镀锌钢板，选用优质镀锌钢板，表面经多道工艺处理；去油、去酸、磷化、防锈处理最后静电喷涂工艺。</w:t>
            </w:r>
          </w:p>
          <w:p w14:paraId="6A5322B5">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5.通讯及管理要求：使用</w:t>
            </w:r>
            <w:r>
              <w:rPr>
                <w:rFonts w:hint="eastAsia" w:ascii="仿宋" w:hAnsi="仿宋" w:eastAsia="仿宋" w:cs="仿宋"/>
                <w:kern w:val="0"/>
                <w:sz w:val="24"/>
                <w:szCs w:val="24"/>
                <w:highlight w:val="none"/>
                <w:lang w:eastAsia="zh-CN"/>
              </w:rPr>
              <w:t>采购人</w:t>
            </w:r>
            <w:r>
              <w:rPr>
                <w:rFonts w:hint="eastAsia" w:ascii="仿宋" w:hAnsi="仿宋" w:eastAsia="仿宋" w:cs="仿宋"/>
                <w:kern w:val="0"/>
                <w:sz w:val="24"/>
                <w:szCs w:val="24"/>
                <w:highlight w:val="none"/>
              </w:rPr>
              <w:t>局域网通过TCP/IP协议实现远程通讯和管理，读取IC卡或人脸识别开柜；</w:t>
            </w:r>
          </w:p>
          <w:p w14:paraId="1CCFA087">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主要功能：通过管理系统，感应授权过的IC卡或人脸识别开柜门借用资产。管理员人脸识别或刷卡进入管理界面，可实现资产上架、资产定位、柜体管理（打开格口、禁用格口、标记格口故障）、资产盘点、记录查询等功能。可通过网络远程管理，实现设备状态查询、手动归还、手动借出等功能。为保证安全性，系统具有完备的日志记录，所有使用者信息、存取操作、时间信息、使用卡号信息后台均有记录；</w:t>
            </w:r>
          </w:p>
          <w:p w14:paraId="4BBC4A23">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7.独特的门轴和可调地脚设计：门轴中加入轴套，加上可调式地脚，避免卡门现象；</w:t>
            </w:r>
          </w:p>
          <w:p w14:paraId="499025BD">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8.带有防撬应急盖板装置及专用锁具，保证无障碍取物和智能柜安全；</w:t>
            </w:r>
          </w:p>
          <w:p w14:paraId="21BEB7E0">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9.电控锁采用电磁设计原理，电控锁采用360度防撬、带防软片插入装置，具备箱门状态检测功能。</w:t>
            </w:r>
          </w:p>
          <w:p w14:paraId="3F9551AD">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10.箱门具有透明视窗设计，亚克力厚度≥3mm。</w:t>
            </w:r>
          </w:p>
          <w:p w14:paraId="2C066B0C">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ind w:left="0"/>
              <w:jc w:val="both"/>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11.符合GB/T 3325-2017《金属家具通用技术条件》，提供国家认可的第三方检测机构出具的具有CNAS或CMA标识的检测报告影印件并加盖供应商公章</w:t>
            </w:r>
            <w:r>
              <w:rPr>
                <w:rFonts w:hint="eastAsia" w:ascii="仿宋" w:hAnsi="仿宋" w:eastAsia="仿宋" w:cs="仿宋"/>
                <w:kern w:val="0"/>
                <w:sz w:val="24"/>
                <w:szCs w:val="24"/>
                <w:highlight w:val="none"/>
                <w:lang w:eastAsia="zh-CN"/>
              </w:rPr>
              <w:t>。</w:t>
            </w:r>
          </w:p>
        </w:tc>
      </w:tr>
      <w:tr w14:paraId="4BC22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23" w:type="dxa"/>
            <w:shd w:val="clear" w:color="auto" w:fill="auto"/>
            <w:tcMar>
              <w:top w:w="0" w:type="dxa"/>
              <w:left w:w="105" w:type="dxa"/>
              <w:bottom w:w="0" w:type="dxa"/>
              <w:right w:w="105" w:type="dxa"/>
            </w:tcMar>
            <w:vAlign w:val="center"/>
          </w:tcPr>
          <w:p w14:paraId="4004A6F3">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jc w:val="center"/>
              <w:textAlignment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w:t>
            </w:r>
          </w:p>
        </w:tc>
        <w:tc>
          <w:tcPr>
            <w:tcW w:w="1219" w:type="dxa"/>
            <w:shd w:val="clear" w:color="auto" w:fill="auto"/>
            <w:tcMar>
              <w:top w:w="0" w:type="dxa"/>
              <w:left w:w="105" w:type="dxa"/>
              <w:bottom w:w="0" w:type="dxa"/>
              <w:right w:w="105" w:type="dxa"/>
            </w:tcMar>
            <w:vAlign w:val="center"/>
          </w:tcPr>
          <w:p w14:paraId="629A1A9A">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jc w:val="center"/>
              <w:textAlignment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移动设备智能管理柜副柜</w:t>
            </w:r>
          </w:p>
        </w:tc>
        <w:tc>
          <w:tcPr>
            <w:tcW w:w="8172" w:type="dxa"/>
            <w:shd w:val="clear" w:color="auto" w:fill="auto"/>
            <w:tcMar>
              <w:top w:w="0" w:type="dxa"/>
              <w:left w:w="105" w:type="dxa"/>
              <w:bottom w:w="0" w:type="dxa"/>
              <w:right w:w="105" w:type="dxa"/>
            </w:tcMar>
            <w:vAlign w:val="top"/>
          </w:tcPr>
          <w:p w14:paraId="2D43390D">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1.支持与</w:t>
            </w:r>
            <w:r>
              <w:rPr>
                <w:rFonts w:hint="eastAsia" w:ascii="仿宋" w:hAnsi="仿宋" w:eastAsia="仿宋" w:cs="仿宋"/>
                <w:kern w:val="0"/>
                <w:sz w:val="24"/>
                <w:szCs w:val="24"/>
                <w:highlight w:val="none"/>
                <w:lang w:eastAsia="zh-CN"/>
              </w:rPr>
              <w:t>采购人</w:t>
            </w:r>
            <w:r>
              <w:rPr>
                <w:rFonts w:hint="eastAsia" w:ascii="仿宋" w:hAnsi="仿宋" w:eastAsia="仿宋" w:cs="仿宋"/>
                <w:kern w:val="0"/>
                <w:sz w:val="24"/>
                <w:szCs w:val="24"/>
                <w:highlight w:val="none"/>
              </w:rPr>
              <w:t>现有移动设备智能管理柜管理系统无缝连接，可以后台统一管理。</w:t>
            </w:r>
            <w:r>
              <w:rPr>
                <w:rFonts w:hint="eastAsia" w:ascii="仿宋" w:hAnsi="仿宋" w:eastAsia="仿宋" w:cs="仿宋"/>
                <w:kern w:val="0"/>
                <w:sz w:val="24"/>
                <w:szCs w:val="24"/>
                <w:highlight w:val="none"/>
                <w:lang w:eastAsia="zh-CN"/>
              </w:rPr>
              <w:t>采购人</w:t>
            </w:r>
            <w:r>
              <w:rPr>
                <w:rFonts w:hint="eastAsia" w:ascii="仿宋" w:hAnsi="仿宋" w:eastAsia="仿宋" w:cs="仿宋"/>
                <w:kern w:val="0"/>
                <w:sz w:val="24"/>
                <w:szCs w:val="24"/>
                <w:highlight w:val="none"/>
              </w:rPr>
              <w:t>现有管理系统型号：深圳市智莱科技股份有限公司(充电柜管理系统v1.0)；</w:t>
            </w:r>
          </w:p>
          <w:p w14:paraId="710F12B4">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2.满足</w:t>
            </w:r>
            <w:r>
              <w:rPr>
                <w:rFonts w:hint="eastAsia" w:ascii="仿宋" w:hAnsi="仿宋" w:eastAsia="仿宋" w:cs="仿宋"/>
                <w:kern w:val="0"/>
                <w:sz w:val="24"/>
                <w:szCs w:val="24"/>
                <w:highlight w:val="none"/>
                <w:lang w:val="en-US" w:eastAsia="zh-CN"/>
              </w:rPr>
              <w:t>采购人</w:t>
            </w:r>
            <w:r>
              <w:rPr>
                <w:rFonts w:hint="eastAsia" w:ascii="仿宋" w:hAnsi="仿宋" w:eastAsia="仿宋" w:cs="仿宋"/>
                <w:kern w:val="0"/>
                <w:sz w:val="24"/>
                <w:szCs w:val="24"/>
                <w:highlight w:val="none"/>
              </w:rPr>
              <w:t>空间摆放条件，整柜外形尺寸不</w:t>
            </w:r>
            <w:r>
              <w:rPr>
                <w:rFonts w:hint="eastAsia" w:ascii="仿宋" w:hAnsi="仿宋" w:eastAsia="仿宋" w:cs="仿宋"/>
                <w:kern w:val="0"/>
                <w:sz w:val="24"/>
                <w:szCs w:val="24"/>
                <w:highlight w:val="none"/>
                <w:lang w:val="en-US" w:eastAsia="zh-CN"/>
              </w:rPr>
              <w:t>超</w:t>
            </w:r>
            <w:bookmarkStart w:id="38" w:name="_GoBack"/>
            <w:bookmarkEnd w:id="38"/>
            <w:r>
              <w:rPr>
                <w:rFonts w:hint="eastAsia" w:ascii="仿宋" w:hAnsi="仿宋" w:eastAsia="仿宋" w:cs="仿宋"/>
                <w:kern w:val="0"/>
                <w:sz w:val="24"/>
                <w:szCs w:val="24"/>
                <w:highlight w:val="none"/>
                <w:lang w:val="en-US" w:eastAsia="zh-CN"/>
              </w:rPr>
              <w:t>过</w:t>
            </w:r>
            <w:r>
              <w:rPr>
                <w:rFonts w:hint="eastAsia" w:ascii="仿宋" w:hAnsi="仿宋" w:eastAsia="仿宋" w:cs="仿宋"/>
                <w:kern w:val="0"/>
                <w:sz w:val="24"/>
                <w:szCs w:val="24"/>
                <w:highlight w:val="none"/>
              </w:rPr>
              <w:t>(W*D*H)600mm×400mm×1650mm；</w:t>
            </w:r>
          </w:p>
          <w:p w14:paraId="33E9A2DD">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3.柜体采用≥0.8mm镀锌钢板，选用镀锌钢板，表面经多道工艺处理；去油、去酸、磷化、防锈处理静电喷涂工艺。箱柜每个格口都具有一根TYPE-C充电线；</w:t>
            </w:r>
          </w:p>
          <w:p w14:paraId="1D3C9719">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4.门轴和可调地脚设计：门轴中加入轴套，加上可调式地脚，避免卡门现象；</w:t>
            </w:r>
          </w:p>
          <w:p w14:paraId="411436FE">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5.带有防撬应急盖板装置及专用锁具，保证无障碍取物和智能柜安全；</w:t>
            </w:r>
          </w:p>
          <w:p w14:paraId="35212DDF">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6.电控锁采用电磁设计原理，电控锁采用360度防撬、带防软片插入装置，具备箱门状态检测功能。</w:t>
            </w:r>
          </w:p>
          <w:p w14:paraId="29F5EBDC">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7.箱门具有透明视窗设计，亚克力厚度≥3mm。</w:t>
            </w:r>
          </w:p>
          <w:p w14:paraId="6BC2269E">
            <w:pPr>
              <w:pStyle w:val="48"/>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8.符合GB/T 3325-2017《金属家具通用技术条件》，提提供国家认可的第三方检测机构出具的具有CNAS或CMA标识的检测报告影印件并加盖供应商公章</w:t>
            </w:r>
            <w:r>
              <w:rPr>
                <w:rFonts w:hint="eastAsia" w:ascii="仿宋" w:hAnsi="仿宋" w:eastAsia="仿宋" w:cs="仿宋"/>
                <w:kern w:val="0"/>
                <w:sz w:val="24"/>
                <w:szCs w:val="24"/>
                <w:highlight w:val="none"/>
                <w:lang w:eastAsia="zh-CN"/>
              </w:rPr>
              <w:t>。</w:t>
            </w:r>
          </w:p>
        </w:tc>
      </w:tr>
    </w:tbl>
    <w:p w14:paraId="4042BBBC">
      <w:pPr>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rPr>
        <w:t>服务要求</w:t>
      </w:r>
    </w:p>
    <w:tbl>
      <w:tblPr>
        <w:tblStyle w:val="14"/>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40"/>
        <w:gridCol w:w="1794"/>
        <w:gridCol w:w="6461"/>
        <w:gridCol w:w="1519"/>
      </w:tblGrid>
      <w:tr w14:paraId="5A276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top"/>
          </w:tcPr>
          <w:p w14:paraId="17EA6418">
            <w:pPr>
              <w:keepNext w:val="0"/>
              <w:keepLines w:val="0"/>
              <w:widowControl/>
              <w:suppressLineNumbers w:val="0"/>
              <w:jc w:val="left"/>
              <w:rPr>
                <w:rFonts w:hint="eastAsia" w:ascii="仿宋" w:hAnsi="仿宋" w:eastAsia="仿宋" w:cs="仿宋"/>
                <w:kern w:val="0"/>
                <w:sz w:val="24"/>
                <w:szCs w:val="24"/>
                <w:highlight w:val="none"/>
              </w:rPr>
            </w:pPr>
          </w:p>
        </w:tc>
        <w:tc>
          <w:tcPr>
            <w:tcW w:w="1470" w:type="dxa"/>
            <w:shd w:val="clear" w:color="auto" w:fill="auto"/>
            <w:tcMar>
              <w:top w:w="0" w:type="dxa"/>
              <w:left w:w="105" w:type="dxa"/>
              <w:bottom w:w="0" w:type="dxa"/>
              <w:right w:w="105" w:type="dxa"/>
            </w:tcMar>
            <w:vAlign w:val="top"/>
          </w:tcPr>
          <w:p w14:paraId="68F6DE87">
            <w:pPr>
              <w:pStyle w:val="48"/>
              <w:keepNext w:val="0"/>
              <w:keepLines w:val="0"/>
              <w:widowControl/>
              <w:suppressLineNumbers w:val="0"/>
              <w:autoSpaceDE w:val="0"/>
              <w:autoSpaceDN/>
              <w:spacing w:line="360" w:lineRule="auto"/>
              <w:jc w:val="center"/>
              <w:rPr>
                <w:rFonts w:hint="eastAsia" w:ascii="仿宋" w:hAnsi="仿宋" w:eastAsia="仿宋" w:cs="仿宋"/>
                <w:kern w:val="0"/>
                <w:sz w:val="24"/>
                <w:szCs w:val="24"/>
                <w:highlight w:val="none"/>
              </w:rPr>
            </w:pPr>
            <w:r>
              <w:rPr>
                <w:rStyle w:val="47"/>
                <w:rFonts w:hint="eastAsia" w:ascii="仿宋" w:hAnsi="仿宋" w:eastAsia="仿宋" w:cs="仿宋"/>
                <w:b/>
                <w:bCs w:val="0"/>
                <w:sz w:val="24"/>
                <w:szCs w:val="24"/>
                <w:highlight w:val="none"/>
              </w:rPr>
              <w:t>服务类型</w:t>
            </w:r>
          </w:p>
        </w:tc>
        <w:tc>
          <w:tcPr>
            <w:tcW w:w="5295" w:type="dxa"/>
            <w:shd w:val="clear" w:color="auto" w:fill="auto"/>
            <w:tcMar>
              <w:top w:w="0" w:type="dxa"/>
              <w:left w:w="105" w:type="dxa"/>
              <w:bottom w:w="0" w:type="dxa"/>
              <w:right w:w="105" w:type="dxa"/>
            </w:tcMar>
            <w:vAlign w:val="top"/>
          </w:tcPr>
          <w:p w14:paraId="7E394369">
            <w:pPr>
              <w:pStyle w:val="48"/>
              <w:keepNext w:val="0"/>
              <w:keepLines w:val="0"/>
              <w:widowControl/>
              <w:suppressLineNumbers w:val="0"/>
              <w:autoSpaceDE w:val="0"/>
              <w:autoSpaceDN/>
              <w:spacing w:line="360" w:lineRule="auto"/>
              <w:jc w:val="center"/>
              <w:rPr>
                <w:rFonts w:hint="eastAsia" w:ascii="仿宋" w:hAnsi="仿宋" w:eastAsia="仿宋" w:cs="仿宋"/>
                <w:kern w:val="0"/>
                <w:sz w:val="24"/>
                <w:szCs w:val="24"/>
                <w:highlight w:val="none"/>
              </w:rPr>
            </w:pPr>
            <w:r>
              <w:rPr>
                <w:rStyle w:val="47"/>
                <w:rFonts w:hint="eastAsia" w:ascii="仿宋" w:hAnsi="仿宋" w:eastAsia="仿宋" w:cs="仿宋"/>
                <w:b/>
                <w:bCs w:val="0"/>
                <w:sz w:val="24"/>
                <w:szCs w:val="24"/>
                <w:highlight w:val="none"/>
              </w:rPr>
              <w:t>服务内容</w:t>
            </w:r>
          </w:p>
        </w:tc>
        <w:tc>
          <w:tcPr>
            <w:tcW w:w="1245" w:type="dxa"/>
            <w:shd w:val="clear" w:color="auto" w:fill="auto"/>
            <w:tcMar>
              <w:top w:w="0" w:type="dxa"/>
              <w:left w:w="105" w:type="dxa"/>
              <w:bottom w:w="0" w:type="dxa"/>
              <w:right w:w="105" w:type="dxa"/>
            </w:tcMar>
            <w:vAlign w:val="top"/>
          </w:tcPr>
          <w:p w14:paraId="495E0017">
            <w:pPr>
              <w:pStyle w:val="48"/>
              <w:keepNext w:val="0"/>
              <w:keepLines w:val="0"/>
              <w:widowControl/>
              <w:suppressLineNumbers w:val="0"/>
              <w:autoSpaceDE w:val="0"/>
              <w:autoSpaceDN/>
              <w:spacing w:line="360" w:lineRule="auto"/>
              <w:jc w:val="center"/>
              <w:rPr>
                <w:rFonts w:hint="eastAsia" w:ascii="仿宋" w:hAnsi="仿宋" w:eastAsia="仿宋" w:cs="仿宋"/>
                <w:kern w:val="0"/>
                <w:sz w:val="24"/>
                <w:szCs w:val="24"/>
                <w:highlight w:val="none"/>
              </w:rPr>
            </w:pPr>
            <w:r>
              <w:rPr>
                <w:rStyle w:val="47"/>
                <w:rFonts w:hint="eastAsia" w:ascii="仿宋" w:hAnsi="仿宋" w:eastAsia="仿宋" w:cs="仿宋"/>
                <w:b/>
                <w:bCs w:val="0"/>
                <w:sz w:val="24"/>
                <w:szCs w:val="24"/>
                <w:highlight w:val="none"/>
              </w:rPr>
              <w:t>服务期</w:t>
            </w:r>
          </w:p>
        </w:tc>
      </w:tr>
      <w:tr w14:paraId="0B7D8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25" w:type="dxa"/>
            <w:shd w:val="clear" w:color="auto" w:fill="auto"/>
            <w:tcMar>
              <w:top w:w="0" w:type="dxa"/>
              <w:left w:w="105" w:type="dxa"/>
              <w:bottom w:w="0" w:type="dxa"/>
              <w:right w:w="105" w:type="dxa"/>
            </w:tcMar>
            <w:vAlign w:val="center"/>
          </w:tcPr>
          <w:p w14:paraId="33A7A6CD">
            <w:pPr>
              <w:pStyle w:val="48"/>
              <w:keepNext w:val="0"/>
              <w:keepLines w:val="0"/>
              <w:widowControl/>
              <w:suppressLineNumbers w:val="0"/>
              <w:autoSpaceDE w:val="0"/>
              <w:autoSpaceDN/>
              <w:spacing w:line="360" w:lineRule="auto"/>
              <w:jc w:val="center"/>
              <w:rPr>
                <w:rFonts w:hint="eastAsia" w:ascii="仿宋" w:hAnsi="仿宋" w:eastAsia="仿宋" w:cs="仿宋"/>
                <w:kern w:val="0"/>
                <w:sz w:val="24"/>
                <w:szCs w:val="24"/>
                <w:highlight w:val="none"/>
              </w:rPr>
            </w:pPr>
            <w:r>
              <w:rPr>
                <w:rStyle w:val="47"/>
                <w:rFonts w:hint="eastAsia" w:ascii="仿宋" w:hAnsi="仿宋" w:eastAsia="仿宋" w:cs="仿宋"/>
                <w:b/>
                <w:bCs w:val="0"/>
                <w:sz w:val="24"/>
                <w:szCs w:val="24"/>
                <w:highlight w:val="none"/>
              </w:rPr>
              <w:t>1</w:t>
            </w:r>
          </w:p>
        </w:tc>
        <w:tc>
          <w:tcPr>
            <w:tcW w:w="1470" w:type="dxa"/>
            <w:shd w:val="clear" w:color="auto" w:fill="auto"/>
            <w:tcMar>
              <w:top w:w="0" w:type="dxa"/>
              <w:left w:w="105" w:type="dxa"/>
              <w:bottom w:w="0" w:type="dxa"/>
              <w:right w:w="105" w:type="dxa"/>
            </w:tcMar>
            <w:vAlign w:val="center"/>
          </w:tcPr>
          <w:p w14:paraId="1651AA74">
            <w:pPr>
              <w:pStyle w:val="48"/>
              <w:keepNext w:val="0"/>
              <w:keepLines w:val="0"/>
              <w:widowControl/>
              <w:suppressLineNumbers w:val="0"/>
              <w:ind w:left="0" w:firstLine="0"/>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质保服务</w:t>
            </w:r>
          </w:p>
        </w:tc>
        <w:tc>
          <w:tcPr>
            <w:tcW w:w="5295" w:type="dxa"/>
            <w:shd w:val="clear" w:color="auto" w:fill="auto"/>
            <w:tcMar>
              <w:top w:w="0" w:type="dxa"/>
              <w:left w:w="105" w:type="dxa"/>
              <w:bottom w:w="0" w:type="dxa"/>
              <w:right w:w="105" w:type="dxa"/>
            </w:tcMar>
            <w:vAlign w:val="center"/>
          </w:tcPr>
          <w:p w14:paraId="03C41ECE">
            <w:pPr>
              <w:pStyle w:val="48"/>
              <w:keepNext w:val="0"/>
              <w:keepLines w:val="0"/>
              <w:widowControl/>
              <w:suppressLineNumbers w:val="0"/>
              <w:ind w:left="0" w:firstLine="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保证软硬件功能正常运行，提供7*24小时原厂质保服务。含所有货物（质保期内涉及维修、产品更换、人工费用等一切费用包含在本项目报价中）</w:t>
            </w:r>
          </w:p>
        </w:tc>
        <w:tc>
          <w:tcPr>
            <w:tcW w:w="1245" w:type="dxa"/>
            <w:shd w:val="clear" w:color="auto" w:fill="auto"/>
            <w:tcMar>
              <w:top w:w="0" w:type="dxa"/>
              <w:left w:w="105" w:type="dxa"/>
              <w:bottom w:w="0" w:type="dxa"/>
              <w:right w:w="105" w:type="dxa"/>
            </w:tcMar>
            <w:vAlign w:val="top"/>
          </w:tcPr>
          <w:p w14:paraId="2CE6D73F">
            <w:pPr>
              <w:pStyle w:val="48"/>
              <w:keepNext w:val="0"/>
              <w:keepLines w:val="0"/>
              <w:widowControl/>
              <w:suppressLineNumbers w:val="0"/>
              <w:autoSpaceDE w:val="0"/>
              <w:autoSpaceDN/>
              <w:ind w:left="0" w:firstLine="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验收合格之日起，提供不低于5年</w:t>
            </w:r>
          </w:p>
        </w:tc>
      </w:tr>
    </w:tbl>
    <w:p w14:paraId="2E0E11AE">
      <w:pPr>
        <w:pStyle w:val="13"/>
        <w:pageBreakBefore w:val="0"/>
        <w:kinsoku/>
        <w:wordWrap/>
        <w:overflowPunct/>
        <w:topLinePunct w:val="0"/>
        <w:autoSpaceDN/>
        <w:bidi w:val="0"/>
        <w:adjustRightInd/>
        <w:snapToGrid/>
        <w:spacing w:beforeAutospacing="0" w:afterAutospacing="0" w:line="288" w:lineRule="auto"/>
        <w:ind w:left="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5A76180E">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交付时间：合同签订后生效后60日内，供应商须将所有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051E6825">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3.2交付地点：本项目涉及的四川省人民医院所有院区。</w:t>
      </w:r>
    </w:p>
    <w:p w14:paraId="7B914D43">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付款条件：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5BDFD460">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3.4履约验收方案</w:t>
      </w:r>
    </w:p>
    <w:p w14:paraId="0FE2EA15">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（1）验收主体：采购人</w:t>
      </w:r>
    </w:p>
    <w:p w14:paraId="2120A094">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（2）验收组织方式：自行验收</w:t>
      </w:r>
    </w:p>
    <w:p w14:paraId="0FFEFAA1">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（3）验收程序：一次性验收</w:t>
      </w:r>
    </w:p>
    <w:p w14:paraId="4F506E7C">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（4）验收方式：现场整体验收</w:t>
      </w:r>
    </w:p>
    <w:p w14:paraId="2FD5717D">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（5）验收内容：按照基于本项目采购需求编制的采购文件要求及供应商响应文件情况，由供应商向采购人交付的全部内容。</w:t>
      </w:r>
    </w:p>
    <w:p w14:paraId="2556499A">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（6）验收时间：供应商完成本项目涉及的所有货物的安装、调试并具备验收条件后，于5日内通知采购人验收，采购人接供应商通知后10日内组织验收。</w:t>
      </w:r>
    </w:p>
    <w:p w14:paraId="33DABCE1">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（7）是否邀请本项目的其他供应商：否</w:t>
      </w:r>
    </w:p>
    <w:p w14:paraId="7CFD1BF0">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（8）是否邀请专家：否</w:t>
      </w:r>
    </w:p>
    <w:p w14:paraId="5073EC15">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（9）是否邀请服务对象：否</w:t>
      </w:r>
    </w:p>
    <w:p w14:paraId="7270B2BF">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（10）是否邀请第三方检测机构：否</w:t>
      </w:r>
    </w:p>
    <w:p w14:paraId="63A59313">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（11）验收标准</w:t>
      </w:r>
    </w:p>
    <w:p w14:paraId="19BBCEDD">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7FD998FE">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2）基于本项目采购需求编制的采购文件相关技术、服务要求、供应商响应文件相关响应内容。</w:t>
      </w:r>
    </w:p>
    <w:p w14:paraId="629006F4">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3）产品生产厂家出具的产品说明书、技术白皮书等官方技术资料（如涉及）。</w:t>
      </w:r>
    </w:p>
    <w:p w14:paraId="6A257255">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37A9B686">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1365AD5E">
      <w:pPr>
        <w:pStyle w:val="5"/>
        <w:pageBreakBefore w:val="0"/>
        <w:kinsoku/>
        <w:wordWrap/>
        <w:overflowPunct/>
        <w:topLinePunct w:val="0"/>
        <w:autoSpaceDN/>
        <w:bidi w:val="0"/>
        <w:adjustRightInd/>
        <w:snapToGrid/>
        <w:spacing w:beforeAutospacing="0" w:afterAutospacing="0" w:line="288" w:lineRule="auto"/>
        <w:ind w:left="0"/>
        <w:textAlignment w:val="auto"/>
        <w:rPr>
          <w:rFonts w:hint="eastAsia" w:ascii="宋体" w:hAnsi="宋体" w:eastAsia="宋体" w:cs="宋体"/>
          <w:color w:val="auto"/>
          <w:sz w:val="21"/>
          <w:szCs w:val="21"/>
          <w:highlight w:val="none"/>
        </w:rPr>
      </w:pPr>
      <w:r>
        <w:rPr>
          <w:rFonts w:hint="eastAsia" w:ascii="仿宋" w:hAnsi="仿宋" w:eastAsia="仿宋" w:cs="仿宋"/>
          <w:color w:val="auto"/>
          <w:sz w:val="24"/>
          <w:szCs w:val="24"/>
          <w:highlight w:val="none"/>
          <w:lang w:val="en-US" w:eastAsia="zh-CN"/>
        </w:rPr>
        <w:t>6）其它标准：无。</w:t>
      </w:r>
    </w:p>
    <w:p w14:paraId="53E9A719">
      <w:pPr>
        <w:pStyle w:val="2"/>
        <w:keepNext w:val="0"/>
        <w:keepLines w:val="0"/>
        <w:widowControl/>
        <w:numPr>
          <w:ilvl w:val="0"/>
          <w:numId w:val="0"/>
        </w:numPr>
        <w:suppressLineNumbers w:val="0"/>
        <w:spacing w:before="0" w:beforeAutospacing="0" w:after="0" w:afterAutospacing="0"/>
        <w:ind w:leftChars="0"/>
        <w:jc w:val="both"/>
        <w:rPr>
          <w:rFonts w:hint="default" w:ascii="仿宋" w:hAnsi="仿宋" w:eastAsia="仿宋" w:cs="仿宋"/>
          <w:b w:val="0"/>
          <w:bCs w:val="0"/>
          <w:color w:val="auto"/>
          <w:kern w:val="2"/>
          <w:sz w:val="24"/>
          <w:szCs w:val="24"/>
          <w:highlight w:val="none"/>
          <w:u w:color="000000"/>
          <w:lang w:val="en-US" w:eastAsia="zh-CN" w:bidi="ar-SA"/>
        </w:rPr>
      </w:pPr>
      <w:bookmarkStart w:id="8" w:name="_Toc15867"/>
      <w:bookmarkStart w:id="9" w:name="第四章"/>
      <w:r>
        <w:rPr>
          <w:rFonts w:hint="eastAsia" w:ascii="仿宋" w:hAnsi="仿宋" w:eastAsia="仿宋" w:cs="仿宋"/>
          <w:b w:val="0"/>
          <w:bCs w:val="0"/>
          <w:color w:val="auto"/>
          <w:kern w:val="2"/>
          <w:sz w:val="24"/>
          <w:szCs w:val="24"/>
          <w:highlight w:val="none"/>
          <w:u w:color="000000"/>
          <w:lang w:val="zh-TW" w:eastAsia="zh-CN" w:bidi="ar-SA"/>
        </w:rPr>
        <w:t>（</w:t>
      </w:r>
      <w:r>
        <w:rPr>
          <w:rFonts w:hint="eastAsia" w:ascii="仿宋" w:hAnsi="仿宋" w:eastAsia="仿宋" w:cs="仿宋"/>
          <w:b w:val="0"/>
          <w:bCs w:val="0"/>
          <w:color w:val="auto"/>
          <w:kern w:val="2"/>
          <w:sz w:val="24"/>
          <w:szCs w:val="24"/>
          <w:highlight w:val="none"/>
          <w:u w:color="000000"/>
          <w:lang w:val="en-US" w:eastAsia="zh-CN" w:bidi="ar-SA"/>
        </w:rPr>
        <w:t>12</w:t>
      </w:r>
      <w:r>
        <w:rPr>
          <w:rFonts w:hint="eastAsia" w:ascii="仿宋" w:hAnsi="仿宋" w:eastAsia="仿宋" w:cs="仿宋"/>
          <w:b w:val="0"/>
          <w:bCs w:val="0"/>
          <w:color w:val="auto"/>
          <w:kern w:val="2"/>
          <w:sz w:val="24"/>
          <w:szCs w:val="24"/>
          <w:highlight w:val="none"/>
          <w:u w:color="000000"/>
          <w:lang w:val="zh-TW" w:eastAsia="zh-CN" w:bidi="ar-SA"/>
        </w:rPr>
        <w:t>）履约验收其它事项：</w:t>
      </w:r>
      <w:r>
        <w:rPr>
          <w:rFonts w:hint="eastAsia" w:ascii="仿宋" w:hAnsi="仿宋" w:eastAsia="仿宋" w:cs="仿宋"/>
          <w:b w:val="0"/>
          <w:bCs w:val="0"/>
          <w:color w:val="auto"/>
          <w:kern w:val="2"/>
          <w:sz w:val="24"/>
          <w:szCs w:val="24"/>
          <w:highlight w:val="none"/>
          <w:u w:color="000000"/>
          <w:lang w:val="en-US" w:eastAsia="zh-CN" w:bidi="ar-SA"/>
        </w:rPr>
        <w:t>无。</w:t>
      </w:r>
    </w:p>
    <w:p w14:paraId="0E9E3BFA">
      <w:pPr>
        <w:ind w:firstLine="420" w:firstLineChars="200"/>
        <w:rPr>
          <w:rFonts w:hint="default"/>
          <w:color w:val="auto"/>
          <w:highlight w:val="none"/>
          <w:lang w:val="zh-TW"/>
        </w:rPr>
      </w:pPr>
      <w:r>
        <w:rPr>
          <w:rFonts w:hint="default"/>
          <w:color w:val="auto"/>
          <w:highlight w:val="none"/>
          <w:lang w:val="zh-TW"/>
        </w:rPr>
        <w:br w:type="page"/>
      </w:r>
    </w:p>
    <w:p w14:paraId="0B19A78B">
      <w:pPr>
        <w:rPr>
          <w:rFonts w:hint="default"/>
          <w:color w:val="auto"/>
          <w:highlight w:val="none"/>
          <w:lang w:val="zh-TW"/>
        </w:rPr>
      </w:pPr>
    </w:p>
    <w:p w14:paraId="676F9ACB">
      <w:pPr>
        <w:pStyle w:val="2"/>
        <w:rPr>
          <w:rFonts w:cs="Times New Roman" w:asciiTheme="majorEastAsia" w:hAnsiTheme="majorEastAsia" w:eastAsiaTheme="majorEastAsia"/>
          <w:color w:val="auto"/>
          <w:szCs w:val="36"/>
          <w:highlight w:val="none"/>
          <w:lang w:val="zh-TW"/>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8"/>
      <w:r>
        <w:rPr>
          <w:rFonts w:hint="eastAsia"/>
          <w:color w:val="auto"/>
          <w:highlight w:val="none"/>
          <w:lang w:val="en-US"/>
        </w:rPr>
        <w:t>格式</w:t>
      </w:r>
    </w:p>
    <w:bookmarkEnd w:id="9"/>
    <w:p w14:paraId="3F9247B2">
      <w:pPr>
        <w:pStyle w:val="5"/>
        <w:numPr>
          <w:ilvl w:val="0"/>
          <w:numId w:val="13"/>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5"/>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5"/>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0" w:name="_Toc30609"/>
      <w:bookmarkStart w:id="11" w:name="_Toc19851"/>
      <w:bookmarkStart w:id="12" w:name="_Toc9428"/>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3" w:name="_Toc1544"/>
      <w:bookmarkStart w:id="14" w:name="_Toc32352"/>
      <w:bookmarkStart w:id="15" w:name="_Toc9041"/>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14FDF0E6">
      <w:pPr>
        <w:rPr>
          <w:rFonts w:hint="default" w:ascii="Times New Roman" w:hAnsi="Times New Roman" w:eastAsia="宋体" w:cs="Times New Roman"/>
          <w:color w:val="auto"/>
          <w:highlight w:val="none"/>
        </w:rPr>
      </w:pPr>
    </w:p>
    <w:p w14:paraId="6D0F6DD6">
      <w:pPr>
        <w:rPr>
          <w:rFonts w:hint="default" w:ascii="Times New Roman" w:hAnsi="Times New Roman" w:eastAsia="宋体" w:cs="Times New Roman"/>
          <w:color w:val="auto"/>
          <w:highlight w:val="none"/>
        </w:rPr>
      </w:pPr>
    </w:p>
    <w:p w14:paraId="03F5931F">
      <w:pPr>
        <w:rPr>
          <w:rFonts w:hint="default" w:ascii="Times New Roman" w:hAnsi="Times New Roman" w:eastAsia="宋体" w:cs="Times New Roman"/>
          <w:color w:val="auto"/>
          <w:highlight w:val="none"/>
        </w:rPr>
      </w:pPr>
    </w:p>
    <w:p w14:paraId="7F19C0C8">
      <w:pPr>
        <w:rPr>
          <w:rFonts w:hint="default" w:ascii="Times New Roman" w:hAnsi="Times New Roman" w:eastAsia="宋体" w:cs="Times New Roman"/>
          <w:color w:val="auto"/>
          <w:highlight w:val="none"/>
        </w:rPr>
      </w:pPr>
    </w:p>
    <w:p w14:paraId="1A05C586">
      <w:pPr>
        <w:jc w:val="left"/>
        <w:rPr>
          <w:rFonts w:hint="default" w:ascii="Times New Roman" w:hAnsi="Times New Roman" w:eastAsia="宋体" w:cs="Times New Roman"/>
          <w:color w:val="auto"/>
          <w:sz w:val="28"/>
          <w:szCs w:val="24"/>
          <w:highlight w:val="none"/>
        </w:rPr>
      </w:pPr>
      <w:bookmarkStart w:id="18" w:name="_Toc17163"/>
      <w:bookmarkStart w:id="19" w:name="_Toc32749"/>
      <w:bookmarkStart w:id="20" w:name="_Toc1690"/>
      <w:bookmarkStart w:id="21" w:name="_Toc24859"/>
    </w:p>
    <w:p w14:paraId="6A776BBC">
      <w:pPr>
        <w:jc w:val="left"/>
        <w:rPr>
          <w:rFonts w:hint="default" w:ascii="Times New Roman" w:hAnsi="Times New Roman" w:eastAsia="宋体" w:cs="Times New Roman"/>
          <w:color w:val="auto"/>
          <w:sz w:val="28"/>
          <w:szCs w:val="24"/>
          <w:highlight w:val="none"/>
        </w:rPr>
      </w:pPr>
    </w:p>
    <w:p w14:paraId="026D0522">
      <w:pPr>
        <w:jc w:val="left"/>
        <w:rPr>
          <w:rFonts w:hint="default" w:ascii="Times New Roman" w:hAnsi="Times New Roman" w:eastAsia="宋体" w:cs="Times New Roman"/>
          <w:color w:val="auto"/>
          <w:sz w:val="28"/>
          <w:szCs w:val="24"/>
          <w:highlight w:val="none"/>
        </w:rPr>
      </w:pPr>
    </w:p>
    <w:p w14:paraId="2B6AAA2B">
      <w:pPr>
        <w:jc w:val="left"/>
        <w:rPr>
          <w:rFonts w:hint="default" w:ascii="Times New Roman" w:hAnsi="Times New Roman" w:eastAsia="宋体" w:cs="Times New Roman"/>
          <w:color w:val="auto"/>
          <w:sz w:val="28"/>
          <w:szCs w:val="24"/>
          <w:highlight w:val="none"/>
        </w:rPr>
      </w:pPr>
    </w:p>
    <w:p w14:paraId="360EEBAC">
      <w:pPr>
        <w:jc w:val="left"/>
        <w:rPr>
          <w:rFonts w:hint="default" w:ascii="Times New Roman" w:hAnsi="Times New Roman" w:eastAsia="宋体" w:cs="Times New Roman"/>
          <w:color w:val="auto"/>
          <w:sz w:val="28"/>
          <w:szCs w:val="24"/>
          <w:highlight w:val="none"/>
        </w:rPr>
      </w:pPr>
    </w:p>
    <w:p w14:paraId="7573EADD">
      <w:pPr>
        <w:jc w:val="left"/>
        <w:rPr>
          <w:rFonts w:hint="default" w:ascii="Times New Roman" w:hAnsi="Times New Roman" w:eastAsia="宋体" w:cs="Times New Roman"/>
          <w:color w:val="auto"/>
          <w:sz w:val="28"/>
          <w:szCs w:val="24"/>
          <w:highlight w:val="none"/>
        </w:rPr>
      </w:pPr>
    </w:p>
    <w:p w14:paraId="7B062820">
      <w:pPr>
        <w:jc w:val="left"/>
        <w:rPr>
          <w:rFonts w:hint="default" w:ascii="Times New Roman" w:hAnsi="Times New Roman" w:eastAsia="宋体" w:cs="Times New Roman"/>
          <w:color w:val="auto"/>
          <w:sz w:val="28"/>
          <w:szCs w:val="24"/>
          <w:highlight w:val="none"/>
        </w:rPr>
      </w:pPr>
    </w:p>
    <w:p w14:paraId="363E5FF7">
      <w:pPr>
        <w:jc w:val="left"/>
        <w:rPr>
          <w:rFonts w:hint="default" w:ascii="Times New Roman" w:hAnsi="Times New Roman" w:eastAsia="宋体" w:cs="Times New Roman"/>
          <w:color w:val="auto"/>
          <w:sz w:val="28"/>
          <w:szCs w:val="24"/>
          <w:highlight w:val="none"/>
        </w:rPr>
      </w:pPr>
    </w:p>
    <w:p w14:paraId="11F468D1">
      <w:pPr>
        <w:jc w:val="left"/>
        <w:rPr>
          <w:rFonts w:hint="default" w:ascii="Times New Roman" w:hAnsi="Times New Roman" w:eastAsia="宋体" w:cs="Times New Roman"/>
          <w:color w:val="auto"/>
          <w:sz w:val="28"/>
          <w:szCs w:val="24"/>
          <w:highlight w:val="none"/>
        </w:rPr>
      </w:pPr>
    </w:p>
    <w:p w14:paraId="6865C47C">
      <w:pPr>
        <w:jc w:val="left"/>
        <w:rPr>
          <w:rFonts w:hint="default" w:ascii="Times New Roman" w:hAnsi="Times New Roman" w:eastAsia="宋体" w:cs="Times New Roman"/>
          <w:color w:val="auto"/>
          <w:sz w:val="28"/>
          <w:szCs w:val="24"/>
          <w:highlight w:val="none"/>
        </w:rPr>
      </w:pPr>
    </w:p>
    <w:p w14:paraId="232FA97B">
      <w:pPr>
        <w:jc w:val="left"/>
        <w:rPr>
          <w:rFonts w:hint="default" w:ascii="Times New Roman" w:hAnsi="Times New Roman" w:eastAsia="宋体" w:cs="Times New Roman"/>
          <w:color w:val="auto"/>
          <w:sz w:val="28"/>
          <w:szCs w:val="24"/>
          <w:highlight w:val="none"/>
        </w:rPr>
      </w:pPr>
    </w:p>
    <w:p w14:paraId="7685A4C1">
      <w:pPr>
        <w:jc w:val="left"/>
        <w:rPr>
          <w:rFonts w:hint="default" w:ascii="Times New Roman" w:hAnsi="Times New Roman" w:eastAsia="宋体" w:cs="Times New Roman"/>
          <w:color w:val="auto"/>
          <w:sz w:val="28"/>
          <w:szCs w:val="24"/>
          <w:highlight w:val="none"/>
        </w:rPr>
      </w:pPr>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14:paraId="44B153F4">
      <w:pPr>
        <w:pStyle w:val="5"/>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5"/>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2" w:name="_Toc27526"/>
      <w:bookmarkStart w:id="23" w:name="_Toc2989"/>
      <w:bookmarkStart w:id="24" w:name="_Toc27135"/>
      <w:bookmarkStart w:id="25" w:name="_Toc5996"/>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14:paraId="76B027BA">
      <w:pPr>
        <w:pStyle w:val="5"/>
        <w:rPr>
          <w:rFonts w:hint="default" w:ascii="Times New Roman" w:hAnsi="Times New Roman" w:eastAsia="宋体" w:cs="Times New Roman"/>
          <w:color w:val="auto"/>
          <w:highlight w:val="none"/>
        </w:rPr>
      </w:pPr>
    </w:p>
    <w:p w14:paraId="5EF10334">
      <w:pPr>
        <w:pStyle w:val="5"/>
        <w:rPr>
          <w:rFonts w:hint="default" w:ascii="Times New Roman" w:hAnsi="Times New Roman" w:eastAsia="宋体" w:cs="Times New Roman"/>
          <w:color w:val="auto"/>
          <w:highlight w:val="none"/>
        </w:rPr>
      </w:pPr>
    </w:p>
    <w:p w14:paraId="5F14CCA9">
      <w:pPr>
        <w:pStyle w:val="5"/>
        <w:rPr>
          <w:rFonts w:hint="default" w:ascii="Times New Roman" w:hAnsi="Times New Roman" w:eastAsia="宋体" w:cs="Times New Roman"/>
          <w:color w:val="auto"/>
          <w:highlight w:val="none"/>
        </w:rPr>
      </w:pPr>
    </w:p>
    <w:p w14:paraId="3BFC6961">
      <w:pPr>
        <w:pStyle w:val="5"/>
        <w:rPr>
          <w:rFonts w:hint="default" w:ascii="Times New Roman" w:hAnsi="Times New Roman" w:eastAsia="宋体" w:cs="Times New Roman"/>
          <w:color w:val="auto"/>
          <w:highlight w:val="none"/>
        </w:rPr>
      </w:pPr>
    </w:p>
    <w:p w14:paraId="5D637CFD">
      <w:pPr>
        <w:pStyle w:val="5"/>
        <w:rPr>
          <w:rFonts w:hint="default" w:ascii="Times New Roman" w:hAnsi="Times New Roman" w:eastAsia="宋体" w:cs="Times New Roman"/>
          <w:color w:val="auto"/>
          <w:highlight w:val="none"/>
        </w:rPr>
      </w:pPr>
    </w:p>
    <w:p w14:paraId="4CBECC14">
      <w:pPr>
        <w:pStyle w:val="5"/>
        <w:jc w:val="center"/>
        <w:rPr>
          <w:rFonts w:hint="default" w:ascii="Times New Roman" w:hAnsi="Times New Roman" w:eastAsia="宋体" w:cs="Times New Roman"/>
          <w:b/>
          <w:bCs/>
          <w:color w:val="auto"/>
          <w:sz w:val="24"/>
          <w:szCs w:val="24"/>
          <w:highlight w:val="none"/>
          <w:lang w:val="zh-TW" w:eastAsia="zh-TW"/>
        </w:rPr>
      </w:pPr>
      <w:bookmarkStart w:id="26" w:name="_Toc5056"/>
      <w:bookmarkStart w:id="27" w:name="_Toc19987"/>
      <w:bookmarkStart w:id="28" w:name="_Toc2031"/>
      <w:bookmarkStart w:id="29" w:name="_Toc7233"/>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14:paraId="01D9F06B">
      <w:pPr>
        <w:pStyle w:val="5"/>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5"/>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5"/>
        <w:spacing w:line="360" w:lineRule="auto"/>
        <w:rPr>
          <w:rFonts w:hint="default" w:ascii="宋体" w:hAnsi="宋体" w:eastAsia="宋体" w:cs="宋体"/>
          <w:color w:val="auto"/>
          <w:highlight w:val="none"/>
        </w:rPr>
      </w:pPr>
    </w:p>
    <w:p w14:paraId="7893543D">
      <w:pPr>
        <w:pStyle w:val="5"/>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5"/>
        <w:spacing w:line="360" w:lineRule="auto"/>
        <w:contextualSpacing/>
        <w:jc w:val="left"/>
        <w:rPr>
          <w:rFonts w:hint="default" w:ascii="宋体" w:hAnsi="宋体" w:eastAsia="宋体" w:cs="宋体"/>
          <w:color w:val="auto"/>
          <w:highlight w:val="none"/>
        </w:rPr>
      </w:pPr>
    </w:p>
    <w:p w14:paraId="54747478">
      <w:pPr>
        <w:pStyle w:val="5"/>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highlight w:val="none"/>
          <w:lang w:val="zh-TW" w:eastAsia="zh-TW"/>
        </w:rPr>
      </w:pPr>
    </w:p>
    <w:p w14:paraId="486B3188">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5"/>
        <w:jc w:val="center"/>
        <w:rPr>
          <w:rFonts w:hint="default" w:ascii="Times New Roman" w:hAnsi="Times New Roman" w:eastAsia="宋体" w:cs="Times New Roman"/>
          <w:b/>
          <w:bCs/>
          <w:color w:val="auto"/>
          <w:sz w:val="36"/>
          <w:szCs w:val="36"/>
          <w:highlight w:val="none"/>
          <w:lang w:eastAsia="zh-TW"/>
        </w:rPr>
      </w:pPr>
    </w:p>
    <w:p w14:paraId="012E935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339"/>
        <w:gridCol w:w="5025"/>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1"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1"/>
    <w:p w14:paraId="67792911">
      <w:pPr>
        <w:spacing w:line="360" w:lineRule="auto"/>
        <w:ind w:firstLine="420" w:firstLineChars="200"/>
        <w:rPr>
          <w:rFonts w:hint="default" w:ascii="宋体" w:hAnsi="宋体" w:eastAsia="宋体" w:cs="宋体"/>
          <w:color w:val="auto"/>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4"/>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1912"/>
        <w:gridCol w:w="1224"/>
        <w:gridCol w:w="1170"/>
        <w:gridCol w:w="1415"/>
        <w:gridCol w:w="1392"/>
        <w:gridCol w:w="1182"/>
        <w:gridCol w:w="1487"/>
      </w:tblGrid>
      <w:tr w14:paraId="2F15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292" w:type="pct"/>
            <w:vAlign w:val="center"/>
          </w:tcPr>
          <w:p w14:paraId="2E296EC2">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920" w:type="pct"/>
            <w:vAlign w:val="center"/>
          </w:tcPr>
          <w:p w14:paraId="0B4A421F">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lang w:val="en-US" w:eastAsia="zh-CN"/>
              </w:rPr>
            </w:pPr>
            <w:r>
              <w:rPr>
                <w:rStyle w:val="47"/>
                <w:rFonts w:hint="eastAsia" w:ascii="宋体" w:hAnsi="宋体" w:eastAsia="宋体" w:cs="宋体"/>
                <w:b/>
                <w:bCs w:val="0"/>
                <w:sz w:val="24"/>
                <w:szCs w:val="24"/>
              </w:rPr>
              <w:t>品名</w:t>
            </w:r>
          </w:p>
        </w:tc>
        <w:tc>
          <w:tcPr>
            <w:tcW w:w="589" w:type="pct"/>
            <w:vAlign w:val="center"/>
          </w:tcPr>
          <w:p w14:paraId="29144366">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数量</w:t>
            </w:r>
          </w:p>
        </w:tc>
        <w:tc>
          <w:tcPr>
            <w:tcW w:w="563" w:type="pct"/>
            <w:vAlign w:val="center"/>
          </w:tcPr>
          <w:p w14:paraId="53F00214">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单位</w:t>
            </w:r>
          </w:p>
        </w:tc>
        <w:tc>
          <w:tcPr>
            <w:tcW w:w="681" w:type="pct"/>
            <w:vAlign w:val="center"/>
          </w:tcPr>
          <w:p w14:paraId="63AEC50D">
            <w:pPr>
              <w:pStyle w:val="48"/>
              <w:keepNext w:val="0"/>
              <w:keepLines w:val="0"/>
              <w:widowControl/>
              <w:suppressLineNumbers w:val="0"/>
              <w:autoSpaceDE w:val="0"/>
              <w:autoSpaceDN/>
              <w:ind w:left="0" w:leftChars="0" w:right="0" w:rightChars="0"/>
              <w:jc w:val="center"/>
              <w:rPr>
                <w:rFonts w:hint="eastAsia" w:ascii="宋体" w:hAnsi="宋体" w:eastAsia="宋体" w:cs="宋体"/>
                <w:b/>
                <w:bCs/>
                <w:color w:val="auto"/>
                <w:sz w:val="24"/>
                <w:szCs w:val="24"/>
                <w:highlight w:val="none"/>
              </w:rPr>
            </w:pPr>
            <w:r>
              <w:rPr>
                <w:rStyle w:val="47"/>
                <w:rFonts w:hint="eastAsia" w:ascii="宋体" w:hAnsi="宋体" w:eastAsia="宋体" w:cs="宋体"/>
                <w:b/>
                <w:bCs w:val="0"/>
                <w:sz w:val="24"/>
                <w:szCs w:val="24"/>
              </w:rPr>
              <w:t>单价（元）</w:t>
            </w:r>
          </w:p>
        </w:tc>
        <w:tc>
          <w:tcPr>
            <w:tcW w:w="670" w:type="pct"/>
            <w:vAlign w:val="center"/>
          </w:tcPr>
          <w:p w14:paraId="425DEF37">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总价</w:t>
            </w:r>
            <w:r>
              <w:rPr>
                <w:rStyle w:val="47"/>
                <w:rFonts w:hint="eastAsia" w:ascii="宋体" w:hAnsi="宋体" w:eastAsia="宋体" w:cs="宋体"/>
                <w:b/>
                <w:bCs w:val="0"/>
                <w:sz w:val="24"/>
                <w:szCs w:val="24"/>
              </w:rPr>
              <w:t>（元）</w:t>
            </w:r>
          </w:p>
        </w:tc>
        <w:tc>
          <w:tcPr>
            <w:tcW w:w="567" w:type="pct"/>
            <w:vAlign w:val="center"/>
          </w:tcPr>
          <w:p w14:paraId="34003D31">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服务期</w:t>
            </w:r>
          </w:p>
        </w:tc>
        <w:tc>
          <w:tcPr>
            <w:tcW w:w="715" w:type="pct"/>
            <w:vAlign w:val="center"/>
          </w:tcPr>
          <w:p w14:paraId="2896F854">
            <w:pPr>
              <w:spacing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其它与报价相关并需要说明的内容</w:t>
            </w:r>
          </w:p>
        </w:tc>
      </w:tr>
      <w:tr w14:paraId="2947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292" w:type="pct"/>
            <w:vAlign w:val="center"/>
          </w:tcPr>
          <w:p w14:paraId="0127BD89">
            <w:pPr>
              <w:spacing w:line="24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p>
        </w:tc>
        <w:tc>
          <w:tcPr>
            <w:tcW w:w="920" w:type="pct"/>
            <w:vAlign w:val="center"/>
          </w:tcPr>
          <w:p w14:paraId="1E8FD720">
            <w:pPr>
              <w:pStyle w:val="48"/>
              <w:keepNext w:val="0"/>
              <w:keepLines w:val="0"/>
              <w:widowControl/>
              <w:suppressLineNumbers w:val="0"/>
              <w:wordWrap w:val="0"/>
              <w:autoSpaceDE w:val="0"/>
              <w:autoSpaceDN/>
              <w:ind w:left="0" w:leftChars="0" w:right="0" w:rightChars="0"/>
              <w:jc w:val="center"/>
              <w:rPr>
                <w:rStyle w:val="47"/>
                <w:rFonts w:hint="eastAsia" w:ascii="宋体" w:hAnsi="宋体" w:eastAsia="宋体" w:cs="宋体"/>
                <w:b/>
                <w:bCs/>
                <w:color w:val="auto"/>
                <w:sz w:val="24"/>
                <w:szCs w:val="24"/>
                <w:highlight w:val="none"/>
              </w:rPr>
            </w:pPr>
            <w:r>
              <w:rPr>
                <w:rFonts w:hint="eastAsia" w:ascii="宋体" w:hAnsi="宋体" w:eastAsia="宋体" w:cs="宋体"/>
                <w:kern w:val="0"/>
                <w:sz w:val="24"/>
                <w:szCs w:val="24"/>
                <w:u w:val="none" w:color="auto"/>
              </w:rPr>
              <w:t>移动设备智能管理柜主柜</w:t>
            </w:r>
          </w:p>
        </w:tc>
        <w:tc>
          <w:tcPr>
            <w:tcW w:w="589" w:type="pct"/>
            <w:vAlign w:val="center"/>
          </w:tcPr>
          <w:p w14:paraId="7C6CAC25">
            <w:pPr>
              <w:pStyle w:val="48"/>
              <w:keepNext w:val="0"/>
              <w:keepLines w:val="0"/>
              <w:widowControl/>
              <w:suppressLineNumbers w:val="0"/>
              <w:autoSpaceDE w:val="0"/>
              <w:autoSpaceDN/>
              <w:ind w:left="0" w:leftChars="0" w:right="0" w:rightChars="0"/>
              <w:jc w:val="center"/>
              <w:rPr>
                <w:rStyle w:val="47"/>
                <w:rFonts w:hint="eastAsia" w:ascii="宋体" w:hAnsi="宋体" w:eastAsia="宋体" w:cs="宋体"/>
                <w:b/>
                <w:bCs/>
                <w:color w:val="auto"/>
                <w:sz w:val="24"/>
                <w:szCs w:val="24"/>
                <w:highlight w:val="none"/>
              </w:rPr>
            </w:pPr>
            <w:r>
              <w:rPr>
                <w:rFonts w:hint="eastAsia" w:ascii="宋体" w:hAnsi="宋体" w:eastAsia="宋体" w:cs="宋体"/>
                <w:kern w:val="0"/>
                <w:sz w:val="24"/>
                <w:szCs w:val="24"/>
                <w:u w:val="none" w:color="auto"/>
              </w:rPr>
              <w:t>1</w:t>
            </w:r>
          </w:p>
        </w:tc>
        <w:tc>
          <w:tcPr>
            <w:tcW w:w="563" w:type="pct"/>
            <w:vAlign w:val="center"/>
          </w:tcPr>
          <w:p w14:paraId="763DE279">
            <w:pPr>
              <w:pStyle w:val="48"/>
              <w:keepNext w:val="0"/>
              <w:keepLines w:val="0"/>
              <w:widowControl/>
              <w:suppressLineNumbers w:val="0"/>
              <w:autoSpaceDE w:val="0"/>
              <w:autoSpaceDN/>
              <w:ind w:left="0" w:leftChars="0" w:right="0" w:rightChars="0"/>
              <w:jc w:val="center"/>
              <w:rPr>
                <w:rStyle w:val="47"/>
                <w:rFonts w:hint="eastAsia" w:ascii="宋体" w:hAnsi="宋体" w:eastAsia="宋体" w:cs="宋体"/>
                <w:b/>
                <w:bCs/>
                <w:color w:val="auto"/>
                <w:sz w:val="24"/>
                <w:szCs w:val="24"/>
                <w:highlight w:val="none"/>
              </w:rPr>
            </w:pPr>
            <w:r>
              <w:rPr>
                <w:rFonts w:hint="eastAsia" w:ascii="宋体" w:hAnsi="宋体" w:eastAsia="宋体" w:cs="宋体"/>
                <w:kern w:val="0"/>
                <w:sz w:val="24"/>
                <w:szCs w:val="24"/>
                <w:u w:val="none" w:color="auto"/>
              </w:rPr>
              <w:t>套</w:t>
            </w:r>
          </w:p>
        </w:tc>
        <w:tc>
          <w:tcPr>
            <w:tcW w:w="681" w:type="pct"/>
            <w:vAlign w:val="center"/>
          </w:tcPr>
          <w:p w14:paraId="5807CE05">
            <w:pPr>
              <w:pStyle w:val="48"/>
              <w:keepNext w:val="0"/>
              <w:keepLines w:val="0"/>
              <w:widowControl/>
              <w:suppressLineNumbers w:val="0"/>
              <w:ind w:left="0" w:leftChars="0" w:right="0" w:rightChars="0"/>
              <w:jc w:val="center"/>
              <w:rPr>
                <w:rFonts w:hint="eastAsia" w:ascii="宋体" w:hAnsi="宋体" w:eastAsia="宋体" w:cs="宋体"/>
                <w:b/>
                <w:bCs/>
                <w:color w:val="auto"/>
                <w:sz w:val="24"/>
                <w:szCs w:val="24"/>
                <w:highlight w:val="none"/>
              </w:rPr>
            </w:pPr>
          </w:p>
        </w:tc>
        <w:tc>
          <w:tcPr>
            <w:tcW w:w="670" w:type="pct"/>
            <w:vAlign w:val="center"/>
          </w:tcPr>
          <w:p w14:paraId="2220C808">
            <w:pPr>
              <w:spacing w:line="240" w:lineRule="auto"/>
              <w:jc w:val="center"/>
              <w:rPr>
                <w:rFonts w:hint="eastAsia" w:ascii="宋体" w:hAnsi="宋体" w:eastAsia="宋体" w:cs="宋体"/>
                <w:b/>
                <w:bCs/>
                <w:color w:val="auto"/>
                <w:sz w:val="24"/>
                <w:szCs w:val="24"/>
                <w:highlight w:val="none"/>
              </w:rPr>
            </w:pPr>
          </w:p>
        </w:tc>
        <w:tc>
          <w:tcPr>
            <w:tcW w:w="567" w:type="pct"/>
            <w:vMerge w:val="restart"/>
            <w:vAlign w:val="center"/>
          </w:tcPr>
          <w:p w14:paraId="6EE23800">
            <w:pPr>
              <w:spacing w:line="240" w:lineRule="auto"/>
              <w:jc w:val="center"/>
              <w:rPr>
                <w:rFonts w:hint="eastAsia" w:ascii="宋体" w:hAnsi="宋体" w:eastAsia="宋体" w:cs="宋体"/>
                <w:b/>
                <w:bCs/>
                <w:color w:val="auto"/>
                <w:sz w:val="24"/>
                <w:szCs w:val="24"/>
                <w:highlight w:val="none"/>
              </w:rPr>
            </w:pPr>
          </w:p>
        </w:tc>
        <w:tc>
          <w:tcPr>
            <w:tcW w:w="715" w:type="pct"/>
            <w:vMerge w:val="restart"/>
            <w:vAlign w:val="center"/>
          </w:tcPr>
          <w:p w14:paraId="5D1F26BF">
            <w:pPr>
              <w:spacing w:line="240" w:lineRule="auto"/>
              <w:jc w:val="center"/>
              <w:rPr>
                <w:rFonts w:hint="eastAsia" w:ascii="宋体" w:hAnsi="宋体" w:eastAsia="宋体" w:cs="宋体"/>
                <w:b/>
                <w:bCs/>
                <w:color w:val="auto"/>
                <w:sz w:val="24"/>
                <w:szCs w:val="24"/>
                <w:highlight w:val="none"/>
              </w:rPr>
            </w:pPr>
          </w:p>
        </w:tc>
      </w:tr>
      <w:tr w14:paraId="612F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292" w:type="pct"/>
            <w:vAlign w:val="center"/>
          </w:tcPr>
          <w:p w14:paraId="144197E2">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920" w:type="pct"/>
            <w:vAlign w:val="center"/>
          </w:tcPr>
          <w:p w14:paraId="6F75E8B9">
            <w:pPr>
              <w:pStyle w:val="48"/>
              <w:keepNext w:val="0"/>
              <w:keepLines w:val="0"/>
              <w:widowControl/>
              <w:suppressLineNumbers w:val="0"/>
              <w:autoSpaceDE w:val="0"/>
              <w:autoSpaceDN/>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kern w:val="0"/>
                <w:sz w:val="24"/>
                <w:szCs w:val="24"/>
                <w:u w:val="none" w:color="auto"/>
              </w:rPr>
              <w:t>移动设备智能管理柜副柜</w:t>
            </w:r>
          </w:p>
        </w:tc>
        <w:tc>
          <w:tcPr>
            <w:tcW w:w="589" w:type="pct"/>
            <w:vAlign w:val="center"/>
          </w:tcPr>
          <w:p w14:paraId="4BA0E5F9">
            <w:pPr>
              <w:pStyle w:val="48"/>
              <w:keepNext w:val="0"/>
              <w:keepLines w:val="0"/>
              <w:widowControl/>
              <w:suppressLineNumbers w:val="0"/>
              <w:autoSpaceDE w:val="0"/>
              <w:autoSpaceDN/>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kern w:val="0"/>
                <w:sz w:val="24"/>
                <w:szCs w:val="24"/>
                <w:u w:val="none" w:color="auto"/>
              </w:rPr>
              <w:t>2</w:t>
            </w:r>
          </w:p>
        </w:tc>
        <w:tc>
          <w:tcPr>
            <w:tcW w:w="563" w:type="pct"/>
            <w:vAlign w:val="center"/>
          </w:tcPr>
          <w:p w14:paraId="774ADDBD">
            <w:pPr>
              <w:pStyle w:val="48"/>
              <w:keepNext w:val="0"/>
              <w:keepLines w:val="0"/>
              <w:widowControl/>
              <w:suppressLineNumbers w:val="0"/>
              <w:autoSpaceDE w:val="0"/>
              <w:autoSpaceDN/>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kern w:val="0"/>
                <w:sz w:val="24"/>
                <w:szCs w:val="24"/>
                <w:u w:val="none" w:color="auto"/>
              </w:rPr>
              <w:t>套</w:t>
            </w:r>
          </w:p>
        </w:tc>
        <w:tc>
          <w:tcPr>
            <w:tcW w:w="681" w:type="pct"/>
            <w:vAlign w:val="center"/>
          </w:tcPr>
          <w:p w14:paraId="0E299AF7">
            <w:pPr>
              <w:pStyle w:val="48"/>
              <w:keepNext w:val="0"/>
              <w:keepLines w:val="0"/>
              <w:widowControl/>
              <w:suppressLineNumbers w:val="0"/>
              <w:ind w:left="0" w:leftChars="0" w:right="0" w:rightChars="0"/>
              <w:jc w:val="center"/>
              <w:rPr>
                <w:rFonts w:hint="eastAsia" w:ascii="宋体" w:hAnsi="宋体" w:eastAsia="宋体" w:cs="宋体"/>
                <w:color w:val="auto"/>
                <w:sz w:val="24"/>
                <w:szCs w:val="24"/>
                <w:highlight w:val="none"/>
              </w:rPr>
            </w:pPr>
          </w:p>
        </w:tc>
        <w:tc>
          <w:tcPr>
            <w:tcW w:w="670" w:type="pct"/>
            <w:vAlign w:val="center"/>
          </w:tcPr>
          <w:p w14:paraId="1C2AFF94">
            <w:pPr>
              <w:spacing w:line="240" w:lineRule="auto"/>
              <w:jc w:val="center"/>
              <w:rPr>
                <w:rFonts w:hint="eastAsia" w:ascii="宋体" w:hAnsi="宋体" w:eastAsia="宋体" w:cs="宋体"/>
                <w:color w:val="auto"/>
                <w:sz w:val="24"/>
                <w:szCs w:val="24"/>
                <w:highlight w:val="none"/>
              </w:rPr>
            </w:pPr>
          </w:p>
        </w:tc>
        <w:tc>
          <w:tcPr>
            <w:tcW w:w="567" w:type="pct"/>
            <w:vMerge w:val="continue"/>
            <w:vAlign w:val="center"/>
          </w:tcPr>
          <w:p w14:paraId="2DC5C28C">
            <w:pPr>
              <w:spacing w:line="240" w:lineRule="auto"/>
              <w:jc w:val="center"/>
              <w:rPr>
                <w:rFonts w:hint="eastAsia" w:ascii="宋体" w:hAnsi="宋体" w:eastAsia="宋体" w:cs="宋体"/>
                <w:color w:val="auto"/>
                <w:sz w:val="24"/>
                <w:szCs w:val="24"/>
                <w:highlight w:val="none"/>
              </w:rPr>
            </w:pPr>
          </w:p>
        </w:tc>
        <w:tc>
          <w:tcPr>
            <w:tcW w:w="715" w:type="pct"/>
            <w:vMerge w:val="continue"/>
            <w:vAlign w:val="center"/>
          </w:tcPr>
          <w:p w14:paraId="0BAFB477">
            <w:pPr>
              <w:spacing w:line="240" w:lineRule="auto"/>
              <w:jc w:val="center"/>
              <w:rPr>
                <w:rFonts w:hint="eastAsia" w:ascii="宋体" w:hAnsi="宋体" w:eastAsia="宋体" w:cs="宋体"/>
                <w:color w:val="auto"/>
                <w:sz w:val="24"/>
                <w:szCs w:val="24"/>
                <w:highlight w:val="none"/>
              </w:rPr>
            </w:pPr>
          </w:p>
        </w:tc>
      </w:tr>
      <w:tr w14:paraId="0EB2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284" w:type="pct"/>
            <w:gridSpan w:val="7"/>
            <w:vAlign w:val="center"/>
          </w:tcPr>
          <w:p w14:paraId="172DCB58">
            <w:pPr>
              <w:spacing w:line="360" w:lineRule="auto"/>
              <w:ind w:left="311" w:hanging="355" w:hangingChars="148"/>
              <w:rPr>
                <w:rFonts w:hint="eastAsia" w:ascii="宋体" w:hAnsi="宋体" w:eastAsia="宋体" w:cs="宋体"/>
                <w:color w:val="auto"/>
                <w:sz w:val="24"/>
                <w:szCs w:val="24"/>
                <w:highlight w:val="none"/>
              </w:rPr>
            </w:pPr>
          </w:p>
          <w:p w14:paraId="43E4B0E6">
            <w:pPr>
              <w:spacing w:line="360" w:lineRule="auto"/>
              <w:ind w:left="311" w:hanging="355" w:hangingChars="148"/>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最终报价金额</w:t>
            </w:r>
            <w:r>
              <w:rPr>
                <w:rFonts w:hint="eastAsia" w:ascii="宋体" w:hAnsi="宋体" w:eastAsia="宋体" w:cs="宋体"/>
                <w:b/>
                <w:bCs/>
                <w:color w:val="auto"/>
                <w:sz w:val="24"/>
                <w:szCs w:val="24"/>
                <w:highlight w:val="none"/>
              </w:rPr>
              <w:t>合计（含税）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元</w:t>
            </w:r>
          </w:p>
          <w:p w14:paraId="1EA62A4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角</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 ）</w:t>
            </w:r>
          </w:p>
        </w:tc>
        <w:tc>
          <w:tcPr>
            <w:tcW w:w="715" w:type="pct"/>
            <w:vMerge w:val="continue"/>
            <w:vAlign w:val="center"/>
          </w:tcPr>
          <w:p w14:paraId="7D011648">
            <w:pPr>
              <w:spacing w:line="360" w:lineRule="auto"/>
              <w:jc w:val="center"/>
              <w:rPr>
                <w:rFonts w:hint="eastAsia" w:ascii="宋体" w:hAnsi="宋体" w:eastAsia="宋体" w:cs="宋体"/>
                <w:color w:val="auto"/>
                <w:sz w:val="24"/>
                <w:szCs w:val="24"/>
                <w:highlight w:val="none"/>
              </w:rPr>
            </w:pPr>
          </w:p>
        </w:tc>
      </w:tr>
    </w:tbl>
    <w:p w14:paraId="0B4229D7">
      <w:pPr>
        <w:widowControl/>
        <w:spacing w:line="360" w:lineRule="auto"/>
        <w:ind w:firstLine="420" w:firstLineChars="200"/>
        <w:jc w:val="left"/>
        <w:rPr>
          <w:rFonts w:hint="default" w:ascii="宋体" w:hAnsi="宋体" w:eastAsia="宋体" w:cs="宋体"/>
          <w:color w:val="auto"/>
          <w:highlight w:val="none"/>
        </w:rPr>
      </w:pPr>
      <w:r>
        <w:rPr>
          <w:rFonts w:ascii="宋体" w:hAnsi="宋体" w:eastAsia="宋体" w:cs="宋体"/>
          <w:color w:val="auto"/>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ind w:left="0" w:leftChars="0" w:firstLine="6098" w:firstLineChars="2904"/>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ind w:left="0" w:leftChars="0" w:firstLine="6098" w:firstLineChars="2904"/>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ind w:left="0" w:leftChars="0" w:firstLine="6098" w:firstLineChars="2904"/>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ind w:firstLine="6300" w:firstLineChars="3000"/>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5"/>
        <w:rPr>
          <w:rFonts w:hint="default" w:ascii="Times New Roman" w:hAnsi="Times New Roman" w:eastAsia="PMingLiU" w:cs="Times New Roman"/>
          <w:b/>
          <w:bCs/>
          <w:color w:val="auto"/>
          <w:sz w:val="36"/>
          <w:szCs w:val="36"/>
          <w:highlight w:val="none"/>
          <w:lang w:val="zh-TW" w:eastAsia="zh-TW"/>
        </w:rPr>
      </w:pPr>
    </w:p>
    <w:p w14:paraId="43321793">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5"/>
        <w:rPr>
          <w:rFonts w:hint="default" w:ascii="Times New Roman" w:hAnsi="Times New Roman" w:eastAsia="PMingLiU" w:cs="Times New Roman"/>
          <w:b/>
          <w:bCs/>
          <w:color w:val="auto"/>
          <w:sz w:val="36"/>
          <w:szCs w:val="36"/>
          <w:highlight w:val="none"/>
          <w:lang w:val="zh-TW" w:eastAsia="zh-TW"/>
        </w:rPr>
      </w:pPr>
    </w:p>
    <w:p w14:paraId="0A4BCA24">
      <w:pPr>
        <w:pStyle w:val="5"/>
        <w:rPr>
          <w:rFonts w:hint="default" w:ascii="Times New Roman" w:hAnsi="Times New Roman" w:eastAsia="PMingLiU" w:cs="Times New Roman"/>
          <w:b/>
          <w:bCs/>
          <w:color w:val="auto"/>
          <w:sz w:val="36"/>
          <w:szCs w:val="36"/>
          <w:highlight w:val="none"/>
          <w:lang w:val="zh-TW" w:eastAsia="zh-TW"/>
        </w:rPr>
      </w:pPr>
    </w:p>
    <w:bookmarkEnd w:id="32"/>
    <w:p w14:paraId="18966B45">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2"/>
        <w:ind w:firstLine="0"/>
        <w:rPr>
          <w:color w:val="auto"/>
          <w:highlight w:val="none"/>
          <w:lang w:val="zh-TW" w:eastAsia="zh-TW"/>
        </w:rPr>
      </w:pPr>
      <w:bookmarkStart w:id="34" w:name="_Toc11837"/>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34"/>
    </w:p>
    <w:bookmarkEnd w:id="33"/>
    <w:p w14:paraId="124B3AAD">
      <w:pPr>
        <w:pStyle w:val="5"/>
        <w:jc w:val="center"/>
        <w:rPr>
          <w:rFonts w:hint="default" w:eastAsia="宋体"/>
          <w:color w:val="auto"/>
          <w:szCs w:val="20"/>
          <w:highlight w:val="none"/>
        </w:rPr>
      </w:pPr>
      <w:r>
        <w:rPr>
          <w:rFonts w:hint="default" w:ascii="Times New Roman" w:hAnsi="Times New Roman" w:eastAsia="宋体" w:cs="Times New Roman"/>
          <w:color w:val="auto"/>
          <w:sz w:val="32"/>
          <w:szCs w:val="32"/>
          <w:highlight w:val="none"/>
        </w:rPr>
        <w:t xml:space="preserve">  </w:t>
      </w:r>
    </w:p>
    <w:p w14:paraId="0F79D7C0">
      <w:pPr>
        <w:jc w:val="center"/>
        <w:rPr>
          <w:rFonts w:ascii="黑体" w:hAnsi="黑体" w:eastAsia="黑体"/>
          <w:b/>
          <w:bCs/>
          <w:sz w:val="48"/>
          <w:szCs w:val="48"/>
        </w:rPr>
      </w:pPr>
      <w:r>
        <w:rPr>
          <w:rFonts w:ascii="黑体" w:hAnsi="黑体" w:eastAsia="黑体"/>
          <w:b/>
          <w:bCs/>
          <w:sz w:val="48"/>
          <w:szCs w:val="48"/>
        </w:rPr>
        <w:t>货 物 采 购 合 同</w:t>
      </w:r>
    </w:p>
    <w:p w14:paraId="3A380380">
      <w:pPr>
        <w:contextualSpacing/>
        <w:rPr>
          <w:rFonts w:ascii="Times New Roman" w:hAnsi="Times New Roman"/>
          <w:szCs w:val="21"/>
        </w:rPr>
      </w:pPr>
      <w:permStart w:id="0" w:edGrp="everyone"/>
    </w:p>
    <w:p w14:paraId="73D71E13">
      <w:pPr>
        <w:pStyle w:val="5"/>
        <w:rPr>
          <w:rFonts w:hint="eastAsia"/>
        </w:rPr>
      </w:pPr>
    </w:p>
    <w:tbl>
      <w:tblPr>
        <w:tblStyle w:val="14"/>
        <w:tblW w:w="5000" w:type="pct"/>
        <w:jc w:val="center"/>
        <w:tblLayout w:type="autofit"/>
        <w:tblCellMar>
          <w:top w:w="0" w:type="dxa"/>
          <w:left w:w="0" w:type="dxa"/>
          <w:bottom w:w="0" w:type="dxa"/>
          <w:right w:w="0" w:type="dxa"/>
        </w:tblCellMar>
      </w:tblPr>
      <w:tblGrid>
        <w:gridCol w:w="4962"/>
        <w:gridCol w:w="5242"/>
      </w:tblGrid>
      <w:tr w14:paraId="7251C192">
        <w:tblPrEx>
          <w:tblCellMar>
            <w:top w:w="0" w:type="dxa"/>
            <w:left w:w="0" w:type="dxa"/>
            <w:bottom w:w="0" w:type="dxa"/>
            <w:right w:w="0" w:type="dxa"/>
          </w:tblCellMar>
        </w:tblPrEx>
        <w:trPr>
          <w:trHeight w:val="919" w:hRule="atLeast"/>
          <w:jc w:val="center"/>
        </w:trPr>
        <w:tc>
          <w:tcPr>
            <w:tcW w:w="10204" w:type="dxa"/>
            <w:gridSpan w:val="2"/>
            <w:noWrap w:val="0"/>
            <w:vAlign w:val="top"/>
          </w:tcPr>
          <w:p w14:paraId="3F54ECB8">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14:paraId="221E823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1BDF3C6C">
        <w:tblPrEx>
          <w:tblCellMar>
            <w:top w:w="0" w:type="dxa"/>
            <w:left w:w="0" w:type="dxa"/>
            <w:bottom w:w="0" w:type="dxa"/>
            <w:right w:w="0" w:type="dxa"/>
          </w:tblCellMar>
        </w:tblPrEx>
        <w:trPr>
          <w:jc w:val="center"/>
        </w:trPr>
        <w:tc>
          <w:tcPr>
            <w:tcW w:w="4962" w:type="dxa"/>
            <w:noWrap w:val="0"/>
            <w:vAlign w:val="top"/>
          </w:tcPr>
          <w:p w14:paraId="6BF563E2">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6EE39251">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5780455A">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14:paraId="3E181A86">
            <w:pPr>
              <w:rPr>
                <w:rFonts w:ascii="Times New Roman" w:hAnsi="Times New Roman"/>
                <w:szCs w:val="21"/>
              </w:rPr>
            </w:pPr>
            <w:r>
              <w:rPr>
                <w:rFonts w:ascii="Times New Roman" w:hAnsi="Times New Roman"/>
                <w:b/>
                <w:bCs/>
                <w:szCs w:val="21"/>
              </w:rPr>
              <w:t>电话</w:t>
            </w:r>
            <w:r>
              <w:rPr>
                <w:rFonts w:ascii="Times New Roman" w:hAnsi="Times New Roman"/>
                <w:szCs w:val="21"/>
              </w:rPr>
              <w:t>：***</w:t>
            </w:r>
          </w:p>
          <w:p w14:paraId="47F43939">
            <w:pPr>
              <w:pStyle w:val="5"/>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14:paraId="4A6ED395">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35C9D61">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78718BD5">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1CB9A17D">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14:paraId="754F6321">
            <w:pPr>
              <w:pStyle w:val="5"/>
              <w:rPr>
                <w:rFonts w:hint="eastAsia"/>
              </w:rPr>
            </w:pPr>
            <w:r>
              <w:rPr>
                <w:rFonts w:hint="eastAsia" w:ascii="Times New Roman" w:hAnsi="Times New Roman"/>
                <w:b/>
                <w:bCs/>
                <w:szCs w:val="21"/>
              </w:rPr>
              <w:t>电子邮件：*</w:t>
            </w:r>
            <w:r>
              <w:rPr>
                <w:rFonts w:ascii="Times New Roman" w:hAnsi="Times New Roman"/>
                <w:b/>
                <w:bCs/>
                <w:szCs w:val="21"/>
              </w:rPr>
              <w:t>**</w:t>
            </w:r>
          </w:p>
        </w:tc>
      </w:tr>
      <w:permEnd w:id="0"/>
    </w:tbl>
    <w:p w14:paraId="0981E346">
      <w:pPr>
        <w:adjustRightInd w:val="0"/>
        <w:snapToGrid w:val="0"/>
        <w:spacing w:before="312" w:beforeLines="100" w:after="312" w:afterLines="100"/>
        <w:contextualSpacing/>
        <w:jc w:val="left"/>
        <w:rPr>
          <w:rFonts w:ascii="Times New Roman" w:hAnsi="Times New Roman"/>
          <w:color w:val="000000"/>
          <w:szCs w:val="21"/>
        </w:rPr>
      </w:pPr>
    </w:p>
    <w:p w14:paraId="2D5E5BF3">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1" w:edGrp="everyone"/>
      <w:r>
        <w:rPr>
          <w:color w:val="000000"/>
          <w:szCs w:val="21"/>
        </w:rPr>
        <w:t>：</w:t>
      </w:r>
      <w:r>
        <w:rPr>
          <w:szCs w:val="21"/>
        </w:rPr>
        <w:t>***</w:t>
      </w:r>
      <w:permEnd w:id="1"/>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50B3BEAD">
      <w:pPr>
        <w:ind w:firstLine="420" w:firstLineChars="200"/>
        <w:rPr>
          <w:rFonts w:ascii="Times New Roman" w:hAnsi="Times New Roman"/>
          <w:color w:val="000000"/>
          <w:szCs w:val="21"/>
        </w:rPr>
      </w:pPr>
    </w:p>
    <w:p w14:paraId="22C2426A">
      <w:pPr>
        <w:pStyle w:val="31"/>
        <w:numPr>
          <w:ilvl w:val="0"/>
          <w:numId w:val="17"/>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4"/>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2551"/>
        <w:gridCol w:w="1985"/>
        <w:gridCol w:w="992"/>
        <w:gridCol w:w="1417"/>
        <w:gridCol w:w="426"/>
        <w:gridCol w:w="425"/>
        <w:gridCol w:w="992"/>
        <w:gridCol w:w="995"/>
      </w:tblGrid>
      <w:tr w14:paraId="2B1F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569EE725">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14:paraId="0DD00BF3">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14:paraId="51B50C30">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14:paraId="50A87D3A">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14:paraId="6290D72E">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14:paraId="3733E84F">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14:paraId="71D97E36">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14:paraId="2B9CAF2D">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14:paraId="4D12A770">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14:paraId="449B8A23">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14:paraId="457E9B7A">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14:paraId="2F84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32569BEE">
            <w:pPr>
              <w:contextualSpacing/>
              <w:jc w:val="center"/>
              <w:rPr>
                <w:rFonts w:ascii="Times New Roman" w:hAnsi="Times New Roman"/>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ascii="Times New Roman" w:hAnsi="Times New Roman"/>
              </w:rPr>
              <w:t>1</w:t>
            </w:r>
          </w:p>
        </w:tc>
        <w:tc>
          <w:tcPr>
            <w:tcW w:w="2551" w:type="dxa"/>
            <w:noWrap w:val="0"/>
            <w:vAlign w:val="center"/>
          </w:tcPr>
          <w:p w14:paraId="0D62503E">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14:paraId="4E5A7013">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5CF70A6E">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14:paraId="32803B34">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14:paraId="70AC393E">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14:paraId="71D1DF61">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29061752">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14:paraId="6902B433">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permEnd w:id="2"/>
      <w:permEnd w:id="3"/>
      <w:permEnd w:id="4"/>
      <w:permEnd w:id="5"/>
      <w:permEnd w:id="6"/>
      <w:permEnd w:id="7"/>
      <w:permEnd w:id="8"/>
      <w:permEnd w:id="9"/>
      <w:permEnd w:id="10"/>
      <w:tr w14:paraId="1196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0FEA1228">
            <w:pPr>
              <w:contextualSpacing/>
              <w:jc w:val="center"/>
              <w:rPr>
                <w:rFonts w:ascii="Times New Roman" w:hAnsi="Times New Roman"/>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ascii="Times New Roman" w:hAnsi="Times New Roman"/>
              </w:rPr>
              <w:t>2</w:t>
            </w:r>
          </w:p>
        </w:tc>
        <w:tc>
          <w:tcPr>
            <w:tcW w:w="2551" w:type="dxa"/>
            <w:noWrap w:val="0"/>
            <w:vAlign w:val="center"/>
          </w:tcPr>
          <w:p w14:paraId="7471633E">
            <w:pPr>
              <w:contextualSpacing/>
              <w:jc w:val="center"/>
              <w:rPr>
                <w:rFonts w:ascii="Times New Roman" w:hAnsi="Times New Roman"/>
              </w:rPr>
            </w:pPr>
          </w:p>
        </w:tc>
        <w:tc>
          <w:tcPr>
            <w:tcW w:w="1985" w:type="dxa"/>
            <w:noWrap w:val="0"/>
            <w:vAlign w:val="center"/>
          </w:tcPr>
          <w:p w14:paraId="0776F81C">
            <w:pPr>
              <w:contextualSpacing/>
              <w:jc w:val="center"/>
              <w:rPr>
                <w:rFonts w:ascii="Times New Roman" w:hAnsi="Times New Roman"/>
              </w:rPr>
            </w:pPr>
          </w:p>
        </w:tc>
        <w:tc>
          <w:tcPr>
            <w:tcW w:w="992" w:type="dxa"/>
            <w:noWrap w:val="0"/>
            <w:vAlign w:val="center"/>
          </w:tcPr>
          <w:p w14:paraId="73A06E23">
            <w:pPr>
              <w:contextualSpacing/>
              <w:jc w:val="center"/>
              <w:rPr>
                <w:rFonts w:ascii="Times New Roman" w:hAnsi="Times New Roman"/>
              </w:rPr>
            </w:pPr>
          </w:p>
        </w:tc>
        <w:tc>
          <w:tcPr>
            <w:tcW w:w="1417" w:type="dxa"/>
            <w:noWrap w:val="0"/>
            <w:vAlign w:val="center"/>
          </w:tcPr>
          <w:p w14:paraId="4096C528">
            <w:pPr>
              <w:contextualSpacing/>
              <w:jc w:val="center"/>
              <w:rPr>
                <w:rFonts w:ascii="Times New Roman" w:hAnsi="Times New Roman"/>
              </w:rPr>
            </w:pPr>
          </w:p>
        </w:tc>
        <w:tc>
          <w:tcPr>
            <w:tcW w:w="426" w:type="dxa"/>
            <w:noWrap w:val="0"/>
            <w:vAlign w:val="center"/>
          </w:tcPr>
          <w:p w14:paraId="6D74B5F4">
            <w:pPr>
              <w:contextualSpacing/>
              <w:jc w:val="center"/>
              <w:rPr>
                <w:rFonts w:ascii="Times New Roman" w:hAnsi="Times New Roman"/>
              </w:rPr>
            </w:pPr>
          </w:p>
        </w:tc>
        <w:tc>
          <w:tcPr>
            <w:tcW w:w="425" w:type="dxa"/>
            <w:noWrap w:val="0"/>
            <w:vAlign w:val="center"/>
          </w:tcPr>
          <w:p w14:paraId="06677CC3">
            <w:pPr>
              <w:contextualSpacing/>
              <w:jc w:val="center"/>
              <w:rPr>
                <w:rFonts w:ascii="Times New Roman" w:hAnsi="Times New Roman"/>
              </w:rPr>
            </w:pPr>
          </w:p>
        </w:tc>
        <w:tc>
          <w:tcPr>
            <w:tcW w:w="992" w:type="dxa"/>
            <w:noWrap w:val="0"/>
            <w:vAlign w:val="center"/>
          </w:tcPr>
          <w:p w14:paraId="5E05561F">
            <w:pPr>
              <w:contextualSpacing/>
              <w:jc w:val="center"/>
              <w:rPr>
                <w:rFonts w:ascii="Times New Roman" w:hAnsi="Times New Roman"/>
              </w:rPr>
            </w:pPr>
          </w:p>
        </w:tc>
        <w:tc>
          <w:tcPr>
            <w:tcW w:w="995" w:type="dxa"/>
            <w:noWrap w:val="0"/>
            <w:vAlign w:val="center"/>
          </w:tcPr>
          <w:p w14:paraId="135EDFCB">
            <w:pPr>
              <w:contextualSpacing/>
              <w:jc w:val="center"/>
              <w:rPr>
                <w:rFonts w:ascii="Times New Roman" w:hAnsi="Times New Roman"/>
              </w:rPr>
            </w:pPr>
          </w:p>
        </w:tc>
      </w:tr>
      <w:permEnd w:id="11"/>
      <w:permEnd w:id="12"/>
      <w:permEnd w:id="13"/>
      <w:permEnd w:id="14"/>
      <w:permEnd w:id="15"/>
      <w:permEnd w:id="16"/>
      <w:permEnd w:id="17"/>
      <w:permEnd w:id="18"/>
      <w:permEnd w:id="19"/>
      <w:tr w14:paraId="0B93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053F6E6D">
            <w:pPr>
              <w:contextualSpacing/>
              <w:jc w:val="center"/>
              <w:rPr>
                <w:rFonts w:ascii="Times New Roman" w:hAnsi="Times New Roman"/>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ascii="Times New Roman" w:hAnsi="Times New Roman"/>
              </w:rPr>
              <w:t>...</w:t>
            </w:r>
          </w:p>
        </w:tc>
        <w:tc>
          <w:tcPr>
            <w:tcW w:w="2551" w:type="dxa"/>
            <w:noWrap w:val="0"/>
            <w:vAlign w:val="center"/>
          </w:tcPr>
          <w:p w14:paraId="6473174E">
            <w:pPr>
              <w:contextualSpacing/>
              <w:jc w:val="center"/>
              <w:rPr>
                <w:rFonts w:ascii="Times New Roman" w:hAnsi="Times New Roman"/>
              </w:rPr>
            </w:pPr>
          </w:p>
        </w:tc>
        <w:tc>
          <w:tcPr>
            <w:tcW w:w="1985" w:type="dxa"/>
            <w:noWrap w:val="0"/>
            <w:vAlign w:val="center"/>
          </w:tcPr>
          <w:p w14:paraId="19DA2403">
            <w:pPr>
              <w:contextualSpacing/>
              <w:jc w:val="center"/>
              <w:rPr>
                <w:rFonts w:ascii="Times New Roman" w:hAnsi="Times New Roman"/>
              </w:rPr>
            </w:pPr>
          </w:p>
        </w:tc>
        <w:tc>
          <w:tcPr>
            <w:tcW w:w="992" w:type="dxa"/>
            <w:noWrap w:val="0"/>
            <w:vAlign w:val="center"/>
          </w:tcPr>
          <w:p w14:paraId="6F6DD308">
            <w:pPr>
              <w:contextualSpacing/>
              <w:jc w:val="center"/>
              <w:rPr>
                <w:rFonts w:ascii="Times New Roman" w:hAnsi="Times New Roman"/>
              </w:rPr>
            </w:pPr>
          </w:p>
        </w:tc>
        <w:tc>
          <w:tcPr>
            <w:tcW w:w="1417" w:type="dxa"/>
            <w:noWrap w:val="0"/>
            <w:vAlign w:val="center"/>
          </w:tcPr>
          <w:p w14:paraId="58541025">
            <w:pPr>
              <w:contextualSpacing/>
              <w:jc w:val="center"/>
              <w:rPr>
                <w:rFonts w:ascii="Times New Roman" w:hAnsi="Times New Roman"/>
              </w:rPr>
            </w:pPr>
          </w:p>
        </w:tc>
        <w:tc>
          <w:tcPr>
            <w:tcW w:w="426" w:type="dxa"/>
            <w:noWrap w:val="0"/>
            <w:vAlign w:val="center"/>
          </w:tcPr>
          <w:p w14:paraId="6A8A806C">
            <w:pPr>
              <w:contextualSpacing/>
              <w:jc w:val="center"/>
              <w:rPr>
                <w:rFonts w:ascii="Times New Roman" w:hAnsi="Times New Roman"/>
              </w:rPr>
            </w:pPr>
          </w:p>
        </w:tc>
        <w:tc>
          <w:tcPr>
            <w:tcW w:w="425" w:type="dxa"/>
            <w:noWrap w:val="0"/>
            <w:vAlign w:val="center"/>
          </w:tcPr>
          <w:p w14:paraId="7126685E">
            <w:pPr>
              <w:contextualSpacing/>
              <w:jc w:val="center"/>
              <w:rPr>
                <w:rFonts w:ascii="Times New Roman" w:hAnsi="Times New Roman"/>
              </w:rPr>
            </w:pPr>
          </w:p>
        </w:tc>
        <w:tc>
          <w:tcPr>
            <w:tcW w:w="992" w:type="dxa"/>
            <w:noWrap w:val="0"/>
            <w:vAlign w:val="center"/>
          </w:tcPr>
          <w:p w14:paraId="504C3A2F">
            <w:pPr>
              <w:contextualSpacing/>
              <w:jc w:val="center"/>
              <w:rPr>
                <w:rFonts w:ascii="Times New Roman" w:hAnsi="Times New Roman"/>
              </w:rPr>
            </w:pPr>
          </w:p>
        </w:tc>
        <w:tc>
          <w:tcPr>
            <w:tcW w:w="995" w:type="dxa"/>
            <w:noWrap w:val="0"/>
            <w:vAlign w:val="center"/>
          </w:tcPr>
          <w:p w14:paraId="49C0032C">
            <w:pPr>
              <w:contextualSpacing/>
              <w:jc w:val="center"/>
              <w:rPr>
                <w:rFonts w:ascii="Times New Roman" w:hAnsi="Times New Roman"/>
              </w:rPr>
            </w:pPr>
          </w:p>
        </w:tc>
      </w:tr>
      <w:permEnd w:id="20"/>
      <w:permEnd w:id="21"/>
      <w:permEnd w:id="22"/>
      <w:permEnd w:id="23"/>
      <w:permEnd w:id="24"/>
      <w:permEnd w:id="25"/>
      <w:permEnd w:id="26"/>
      <w:permEnd w:id="27"/>
      <w:permEnd w:id="28"/>
    </w:tbl>
    <w:p w14:paraId="51E8C6B0">
      <w:pPr>
        <w:pStyle w:val="31"/>
        <w:numPr>
          <w:ilvl w:val="0"/>
          <w:numId w:val="18"/>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14:paraId="396367E5">
      <w:pPr>
        <w:pStyle w:val="31"/>
        <w:numPr>
          <w:ilvl w:val="0"/>
          <w:numId w:val="18"/>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14:paraId="41A047E1">
      <w:pPr>
        <w:pStyle w:val="31"/>
        <w:numPr>
          <w:ilvl w:val="0"/>
          <w:numId w:val="17"/>
        </w:numPr>
        <w:snapToGrid w:val="0"/>
        <w:ind w:firstLineChars="0"/>
        <w:rPr>
          <w:rFonts w:ascii="Times New Roman" w:hAnsi="Times New Roman"/>
          <w:b/>
          <w:bCs/>
          <w:szCs w:val="21"/>
          <w:highlight w:val="none"/>
        </w:rPr>
      </w:pPr>
      <w:r>
        <w:rPr>
          <w:rFonts w:ascii="Times New Roman" w:hAnsi="Times New Roman"/>
          <w:b/>
          <w:bCs/>
          <w:szCs w:val="21"/>
        </w:rPr>
        <w:t>合同总价</w:t>
      </w:r>
    </w:p>
    <w:p w14:paraId="7A779ADB">
      <w:pPr>
        <w:pStyle w:val="31"/>
        <w:ind w:firstLine="0" w:firstLineChars="0"/>
        <w:jc w:val="left"/>
        <w:rPr>
          <w:rFonts w:ascii="Times New Roman" w:hAnsi="Times New Roman"/>
          <w:szCs w:val="21"/>
          <w:highlight w:val="none"/>
        </w:rPr>
      </w:pPr>
      <w:r>
        <w:rPr>
          <w:rFonts w:ascii="Times New Roman" w:hAnsi="Times New Roman"/>
          <w:szCs w:val="21"/>
          <w:highlight w:val="none"/>
        </w:rPr>
        <w:t>1.合同总价（含税）为人民币大写：*** 圆整，即RMB *** 元，该合同总价已包括货物设计、材料、制造、包装、运输、安装、调试、检测、验收合格交付使用之前及质保期内保修服务与备用物件等等所有其他有关各项的含税费用。</w:t>
      </w:r>
    </w:p>
    <w:p w14:paraId="6BA511B0">
      <w:pPr>
        <w:pStyle w:val="31"/>
        <w:ind w:firstLine="0" w:firstLineChars="0"/>
        <w:rPr>
          <w:rFonts w:ascii="Times New Roman" w:hAnsi="Times New Roman"/>
          <w:szCs w:val="21"/>
          <w:highlight w:val="none"/>
        </w:rPr>
      </w:pPr>
      <w:r>
        <w:rPr>
          <w:rFonts w:ascii="Times New Roman" w:hAnsi="Times New Roman"/>
          <w:szCs w:val="21"/>
          <w:highlight w:val="none"/>
        </w:rPr>
        <w:t>2.本合同执行期间合同总价不变，甲方无须另向乙方支付本合同规定之外的其他任何费用。</w:t>
      </w:r>
    </w:p>
    <w:p w14:paraId="2F6E54F8">
      <w:pPr>
        <w:pStyle w:val="31"/>
        <w:numPr>
          <w:ilvl w:val="0"/>
          <w:numId w:val="17"/>
        </w:numPr>
        <w:snapToGrid w:val="0"/>
        <w:ind w:firstLineChars="0"/>
        <w:rPr>
          <w:rFonts w:ascii="Times New Roman" w:hAnsi="Times New Roman"/>
          <w:b/>
          <w:bCs/>
          <w:szCs w:val="21"/>
          <w:highlight w:val="none"/>
        </w:rPr>
      </w:pPr>
      <w:r>
        <w:rPr>
          <w:rFonts w:ascii="Times New Roman" w:hAnsi="Times New Roman"/>
          <w:b/>
          <w:bCs/>
          <w:szCs w:val="21"/>
          <w:highlight w:val="none"/>
        </w:rPr>
        <w:t>质量要求</w:t>
      </w:r>
    </w:p>
    <w:p w14:paraId="7A6AD9DB">
      <w:pPr>
        <w:pStyle w:val="31"/>
        <w:numPr>
          <w:ilvl w:val="0"/>
          <w:numId w:val="19"/>
        </w:numPr>
        <w:snapToGrid w:val="0"/>
        <w:ind w:left="0" w:firstLine="0" w:firstLineChars="0"/>
        <w:rPr>
          <w:rFonts w:ascii="Times New Roman" w:hAnsi="Times New Roman"/>
          <w:szCs w:val="21"/>
          <w:highlight w:val="none"/>
        </w:rPr>
      </w:pPr>
      <w:r>
        <w:rPr>
          <w:rFonts w:ascii="Times New Roman" w:hAnsi="Times New Roman"/>
          <w:szCs w:val="21"/>
          <w:highlight w:val="none"/>
        </w:rPr>
        <w:t>乙方须</w:t>
      </w:r>
      <w:r>
        <w:rPr>
          <w:rFonts w:hint="eastAsia" w:ascii="Times New Roman" w:hAnsi="Times New Roman"/>
          <w:szCs w:val="21"/>
          <w:highlight w:val="none"/>
        </w:rPr>
        <w:t>保证向甲方提</w:t>
      </w:r>
      <w:r>
        <w:rPr>
          <w:rFonts w:ascii="Times New Roman" w:hAnsi="Times New Roman"/>
          <w:szCs w:val="21"/>
          <w:highlight w:val="none"/>
        </w:rPr>
        <w:t>供的</w:t>
      </w:r>
      <w:r>
        <w:rPr>
          <w:rFonts w:hint="eastAsia" w:ascii="Times New Roman" w:hAnsi="Times New Roman"/>
          <w:szCs w:val="21"/>
          <w:highlight w:val="none"/>
        </w:rPr>
        <w:t>货物</w:t>
      </w:r>
      <w:r>
        <w:rPr>
          <w:rFonts w:ascii="Times New Roman" w:hAnsi="Times New Roman"/>
          <w:szCs w:val="21"/>
          <w:highlight w:val="none"/>
        </w:rPr>
        <w:t>（含零部件、配件等）</w:t>
      </w:r>
      <w:r>
        <w:rPr>
          <w:rFonts w:hint="eastAsia" w:ascii="Times New Roman" w:hAnsi="Times New Roman"/>
          <w:szCs w:val="21"/>
          <w:highlight w:val="none"/>
        </w:rPr>
        <w:t>是完整、全新的，并在性能、质量和设计方面满足安全、可靠和高效运行与方便维护的全部要求。</w:t>
      </w:r>
    </w:p>
    <w:p w14:paraId="2164A753">
      <w:pPr>
        <w:pStyle w:val="31"/>
        <w:numPr>
          <w:ilvl w:val="0"/>
          <w:numId w:val="19"/>
        </w:numPr>
        <w:snapToGrid w:val="0"/>
        <w:ind w:left="0" w:firstLine="0" w:firstLineChars="0"/>
        <w:rPr>
          <w:rFonts w:ascii="Times New Roman" w:hAnsi="Times New Roman"/>
          <w:szCs w:val="21"/>
          <w:highlight w:val="none"/>
        </w:rPr>
      </w:pPr>
      <w:r>
        <w:rPr>
          <w:rFonts w:ascii="Times New Roman" w:hAnsi="Times New Roman"/>
          <w:szCs w:val="21"/>
          <w:highlight w:val="none"/>
        </w:rPr>
        <w:t>货物必须符合或优于国家（行业）标准，以及本项目采购文件的质量要求和技术指标与出厂标准。</w:t>
      </w:r>
    </w:p>
    <w:p w14:paraId="2485AC01">
      <w:pPr>
        <w:pStyle w:val="31"/>
        <w:numPr>
          <w:ilvl w:val="0"/>
          <w:numId w:val="19"/>
        </w:numPr>
        <w:snapToGrid w:val="0"/>
        <w:ind w:left="0" w:firstLine="0" w:firstLineChars="0"/>
        <w:rPr>
          <w:rFonts w:ascii="Times New Roman" w:hAnsi="Times New Roman"/>
          <w:szCs w:val="21"/>
          <w:highlight w:val="none"/>
        </w:rPr>
      </w:pPr>
      <w:r>
        <w:rPr>
          <w:rFonts w:ascii="Times New Roman" w:hAnsi="Times New Roman"/>
          <w:szCs w:val="21"/>
          <w:highlight w:val="none"/>
        </w:rPr>
        <w:t>货物制造质量出现问题，乙方应负责按照第</w:t>
      </w:r>
      <w:r>
        <w:rPr>
          <w:rFonts w:hint="eastAsia" w:ascii="Times New Roman" w:hAnsi="Times New Roman"/>
          <w:szCs w:val="21"/>
          <w:highlight w:val="none"/>
        </w:rPr>
        <w:t>十</w:t>
      </w:r>
      <w:r>
        <w:rPr>
          <w:rFonts w:ascii="Times New Roman" w:hAnsi="Times New Roman"/>
          <w:szCs w:val="21"/>
          <w:highlight w:val="none"/>
        </w:rPr>
        <w:t>条承担责任，费用由乙方负担。</w:t>
      </w:r>
    </w:p>
    <w:p w14:paraId="074C1A1D">
      <w:pPr>
        <w:pStyle w:val="31"/>
        <w:numPr>
          <w:ilvl w:val="0"/>
          <w:numId w:val="19"/>
        </w:numPr>
        <w:snapToGrid w:val="0"/>
        <w:ind w:left="0" w:firstLine="0" w:firstLineChars="0"/>
        <w:rPr>
          <w:rFonts w:ascii="Times New Roman" w:hAnsi="Times New Roman"/>
          <w:szCs w:val="21"/>
          <w:highlight w:val="none"/>
        </w:rPr>
      </w:pPr>
      <w:r>
        <w:rPr>
          <w:rFonts w:ascii="Times New Roman" w:hAnsi="Times New Roman"/>
          <w:szCs w:val="21"/>
          <w:highlight w:val="none"/>
        </w:rPr>
        <w:t>如因货物质量问题导致甲方无法正常使用或影响使用效果，由此与患者发生纠纷而导致甲方赔偿，乙方对此承担全部责任。</w:t>
      </w:r>
    </w:p>
    <w:p w14:paraId="2C4793C3">
      <w:pPr>
        <w:pStyle w:val="31"/>
        <w:numPr>
          <w:ilvl w:val="0"/>
          <w:numId w:val="19"/>
        </w:numPr>
        <w:snapToGrid w:val="0"/>
        <w:ind w:firstLineChars="0"/>
        <w:rPr>
          <w:rFonts w:ascii="Times New Roman" w:hAnsi="Times New Roman"/>
          <w:szCs w:val="21"/>
          <w:highlight w:val="none"/>
        </w:rPr>
      </w:pPr>
      <w:r>
        <w:rPr>
          <w:rFonts w:ascii="Times New Roman" w:hAnsi="Times New Roman"/>
          <w:szCs w:val="21"/>
          <w:highlight w:val="none"/>
        </w:rPr>
        <w:t>甲方人员参与合同货物开箱、调试等行为均不免除乙方及厂家对合同货物质量所应负责任。</w:t>
      </w:r>
    </w:p>
    <w:p w14:paraId="578476FA">
      <w:pPr>
        <w:pStyle w:val="31"/>
        <w:numPr>
          <w:ilvl w:val="0"/>
          <w:numId w:val="19"/>
        </w:numPr>
        <w:snapToGrid w:val="0"/>
        <w:ind w:firstLineChars="0"/>
        <w:rPr>
          <w:rFonts w:ascii="Times New Roman" w:hAnsi="Times New Roman"/>
          <w:szCs w:val="21"/>
          <w:highlight w:val="none"/>
        </w:rPr>
      </w:pPr>
      <w:r>
        <w:rPr>
          <w:rFonts w:hint="eastAsia" w:ascii="Times New Roman" w:hAnsi="Times New Roman"/>
          <w:szCs w:val="21"/>
          <w:highlight w:val="none"/>
        </w:rPr>
        <w:t>本合同采购的货物涉及成品软件的，乙方应保证以下内容（本合同另有约定除外）：</w:t>
      </w:r>
    </w:p>
    <w:p w14:paraId="489AC374">
      <w:pPr>
        <w:pStyle w:val="31"/>
        <w:numPr>
          <w:ilvl w:val="0"/>
          <w:numId w:val="2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本合同中提供给甲方的软件产品是其产品原厂发布的最新版本。</w:t>
      </w:r>
    </w:p>
    <w:p w14:paraId="0DB97AE1">
      <w:pPr>
        <w:pStyle w:val="31"/>
        <w:numPr>
          <w:ilvl w:val="0"/>
          <w:numId w:val="2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负责软件功能的升级、维护和文档更新，不再收取任何费用。</w:t>
      </w:r>
    </w:p>
    <w:p w14:paraId="5C7F4FCE">
      <w:pPr>
        <w:pStyle w:val="31"/>
        <w:numPr>
          <w:ilvl w:val="0"/>
          <w:numId w:val="2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本合同中提供给甲方的软件产品不存在定期密码输入等使用和功能上的限制。</w:t>
      </w:r>
    </w:p>
    <w:p w14:paraId="2B597702">
      <w:pPr>
        <w:pStyle w:val="31"/>
        <w:numPr>
          <w:ilvl w:val="0"/>
          <w:numId w:val="2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090E8DF1">
      <w:pPr>
        <w:pStyle w:val="31"/>
        <w:numPr>
          <w:ilvl w:val="0"/>
          <w:numId w:val="20"/>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本合同中提供给甲方的软件产品需要严格遵守相关网络信息安全规定。</w:t>
      </w:r>
    </w:p>
    <w:p w14:paraId="2D8EE74E">
      <w:pPr>
        <w:pStyle w:val="31"/>
        <w:numPr>
          <w:ilvl w:val="0"/>
          <w:numId w:val="2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6A603775">
      <w:pPr>
        <w:pStyle w:val="31"/>
        <w:numPr>
          <w:ilvl w:val="0"/>
          <w:numId w:val="17"/>
        </w:numPr>
        <w:snapToGrid w:val="0"/>
        <w:ind w:firstLineChars="0"/>
        <w:rPr>
          <w:rFonts w:ascii="Times New Roman" w:hAnsi="Times New Roman"/>
          <w:b/>
          <w:bCs/>
          <w:szCs w:val="21"/>
          <w:highlight w:val="none"/>
        </w:rPr>
      </w:pPr>
      <w:r>
        <w:rPr>
          <w:rFonts w:hint="eastAsia" w:ascii="Times New Roman" w:hAnsi="Times New Roman"/>
          <w:b/>
          <w:bCs/>
          <w:szCs w:val="21"/>
          <w:highlight w:val="none"/>
        </w:rPr>
        <w:t>交付</w:t>
      </w:r>
    </w:p>
    <w:p w14:paraId="367395B4">
      <w:pPr>
        <w:pStyle w:val="31"/>
        <w:snapToGrid w:val="0"/>
        <w:rPr>
          <w:rFonts w:hint="eastAsia" w:ascii="Times New Roman" w:hAnsi="Times New Roman"/>
          <w:szCs w:val="21"/>
          <w:highlight w:val="none"/>
        </w:rPr>
      </w:pPr>
      <w:r>
        <w:rPr>
          <w:rFonts w:hint="eastAsia" w:ascii="Times New Roman" w:hAnsi="Times New Roman"/>
          <w:szCs w:val="21"/>
          <w:highlight w:val="none"/>
        </w:rPr>
        <w:t>本</w:t>
      </w:r>
      <w:r>
        <w:rPr>
          <w:rFonts w:ascii="Times New Roman" w:hAnsi="Times New Roman"/>
          <w:szCs w:val="21"/>
          <w:highlight w:val="none"/>
        </w:rPr>
        <w:t>合同签订生效</w:t>
      </w:r>
      <w:r>
        <w:rPr>
          <w:rFonts w:hint="eastAsia" w:ascii="Times New Roman" w:hAnsi="Times New Roman"/>
          <w:szCs w:val="21"/>
          <w:highlight w:val="none"/>
        </w:rPr>
        <w:t>后*</w:t>
      </w:r>
      <w:r>
        <w:rPr>
          <w:rFonts w:ascii="Times New Roman" w:hAnsi="Times New Roman"/>
          <w:szCs w:val="21"/>
          <w:highlight w:val="none"/>
        </w:rPr>
        <w:t>**</w:t>
      </w:r>
      <w:r>
        <w:rPr>
          <w:rFonts w:ascii="Times New Roman" w:hAnsi="Times New Roman"/>
          <w:highlight w:val="none"/>
        </w:rPr>
        <w:t>天</w:t>
      </w:r>
      <w:r>
        <w:rPr>
          <w:rFonts w:ascii="Times New Roman" w:hAnsi="Times New Roman"/>
          <w:szCs w:val="21"/>
          <w:highlight w:val="none"/>
        </w:rPr>
        <w:t>内</w:t>
      </w:r>
      <w:r>
        <w:rPr>
          <w:rFonts w:hint="eastAsia" w:ascii="Times New Roman" w:hAnsi="Times New Roman"/>
          <w:szCs w:val="21"/>
          <w:highlight w:val="none"/>
        </w:rPr>
        <w:t>由乙方在*</w:t>
      </w:r>
      <w:r>
        <w:rPr>
          <w:rFonts w:ascii="Times New Roman" w:hAnsi="Times New Roman"/>
          <w:szCs w:val="21"/>
          <w:highlight w:val="none"/>
        </w:rPr>
        <w:t>**</w:t>
      </w:r>
      <w:r>
        <w:rPr>
          <w:rFonts w:hint="eastAsia" w:ascii="Times New Roman" w:hAnsi="Times New Roman"/>
          <w:szCs w:val="21"/>
          <w:highlight w:val="none"/>
        </w:rPr>
        <w:t>向甲方交付本合同约定的全部货物，</w:t>
      </w:r>
      <w:r>
        <w:rPr>
          <w:rFonts w:ascii="Times New Roman" w:hAnsi="Times New Roman"/>
          <w:szCs w:val="21"/>
          <w:highlight w:val="none"/>
        </w:rPr>
        <w:t>并于</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szCs w:val="21"/>
          <w:highlight w:val="none"/>
        </w:rPr>
        <w:t>日内</w:t>
      </w:r>
      <w:r>
        <w:rPr>
          <w:rFonts w:ascii="Times New Roman" w:hAnsi="Times New Roman"/>
          <w:szCs w:val="21"/>
          <w:highlight w:val="none"/>
        </w:rPr>
        <w:t>安装调试完毕</w:t>
      </w:r>
      <w:r>
        <w:rPr>
          <w:rFonts w:hint="eastAsia" w:ascii="Times New Roman" w:hAnsi="Times New Roman"/>
          <w:szCs w:val="21"/>
          <w:highlight w:val="none"/>
        </w:rPr>
        <w:t>且具备验收条件。</w:t>
      </w:r>
      <w:r>
        <w:rPr>
          <w:rFonts w:ascii="Times New Roman" w:hAnsi="Times New Roman"/>
          <w:szCs w:val="21"/>
          <w:highlight w:val="none"/>
        </w:rPr>
        <w:t>货物验收合格前，毁损灭失的风险由乙方承担。</w:t>
      </w:r>
    </w:p>
    <w:p w14:paraId="44EA5DF5">
      <w:pPr>
        <w:pStyle w:val="31"/>
        <w:numPr>
          <w:ilvl w:val="0"/>
          <w:numId w:val="17"/>
        </w:numPr>
        <w:snapToGrid w:val="0"/>
        <w:ind w:firstLineChars="0"/>
        <w:rPr>
          <w:rFonts w:hint="eastAsia" w:ascii="Times New Roman" w:hAnsi="Times New Roman"/>
          <w:b/>
          <w:bCs/>
          <w:szCs w:val="21"/>
          <w:highlight w:val="none"/>
        </w:rPr>
      </w:pPr>
      <w:r>
        <w:rPr>
          <w:rFonts w:hint="eastAsia" w:ascii="Times New Roman" w:hAnsi="Times New Roman"/>
          <w:b/>
          <w:bCs/>
          <w:szCs w:val="21"/>
          <w:highlight w:val="none"/>
        </w:rPr>
        <w:t>验收</w:t>
      </w:r>
    </w:p>
    <w:p w14:paraId="052D85F8">
      <w:pPr>
        <w:pStyle w:val="31"/>
        <w:numPr>
          <w:ilvl w:val="0"/>
          <w:numId w:val="21"/>
        </w:numPr>
        <w:snapToGrid w:val="0"/>
        <w:ind w:left="0" w:firstLine="0" w:firstLineChars="0"/>
        <w:contextualSpacing/>
        <w:rPr>
          <w:rFonts w:ascii="Times New Roman" w:hAnsi="Times New Roman"/>
          <w:highlight w:val="none"/>
        </w:rPr>
      </w:pPr>
      <w:r>
        <w:rPr>
          <w:rFonts w:ascii="Times New Roman" w:hAnsi="Times New Roman"/>
          <w:highlight w:val="none"/>
        </w:rPr>
        <w:t>甲、乙双方确定，按照本合同约定的验收方案对乙方交付的</w:t>
      </w:r>
      <w:r>
        <w:rPr>
          <w:rFonts w:hint="eastAsia" w:ascii="Times New Roman" w:hAnsi="Times New Roman"/>
          <w:highlight w:val="none"/>
        </w:rPr>
        <w:t>货物</w:t>
      </w:r>
      <w:r>
        <w:rPr>
          <w:rFonts w:ascii="Times New Roman" w:hAnsi="Times New Roman"/>
          <w:highlight w:val="none"/>
        </w:rPr>
        <w:t>进行验收。</w:t>
      </w:r>
    </w:p>
    <w:p w14:paraId="58644690">
      <w:pPr>
        <w:pStyle w:val="31"/>
        <w:numPr>
          <w:ilvl w:val="0"/>
          <w:numId w:val="21"/>
        </w:numPr>
        <w:snapToGrid w:val="0"/>
        <w:ind w:left="0" w:firstLine="0" w:firstLineChars="0"/>
        <w:contextualSpacing/>
        <w:rPr>
          <w:rFonts w:ascii="Times New Roman" w:hAnsi="Times New Roman"/>
          <w:highlight w:val="none"/>
        </w:rPr>
      </w:pPr>
      <w:r>
        <w:rPr>
          <w:rFonts w:ascii="Times New Roman" w:hAnsi="Times New Roman"/>
          <w:highlight w:val="none"/>
        </w:rPr>
        <w:t>验收方案：</w:t>
      </w:r>
    </w:p>
    <w:p w14:paraId="0578AF58">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验收主体：甲方</w:t>
      </w:r>
    </w:p>
    <w:p w14:paraId="5E23031C">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验收组织方式：自行验收</w:t>
      </w:r>
    </w:p>
    <w:p w14:paraId="3A88A4FF">
      <w:pPr>
        <w:pStyle w:val="31"/>
        <w:numPr>
          <w:ilvl w:val="0"/>
          <w:numId w:val="22"/>
        </w:numPr>
        <w:snapToGrid w:val="0"/>
        <w:ind w:left="525" w:hanging="525" w:hangingChars="250"/>
        <w:contextualSpacing/>
        <w:rPr>
          <w:rFonts w:ascii="Times New Roman" w:hAnsi="Times New Roman"/>
          <w:color w:val="333333"/>
          <w:kern w:val="0"/>
          <w:szCs w:val="21"/>
          <w:highlight w:val="none"/>
          <w:shd w:val="clear" w:color="auto" w:fill="FFFFFF"/>
        </w:rPr>
      </w:pPr>
      <w:r>
        <w:rPr>
          <w:rFonts w:ascii="Times New Roman" w:hAnsi="Times New Roman"/>
          <w:highlight w:val="none"/>
        </w:rPr>
        <w:t>验收程序：</w:t>
      </w:r>
      <w:r>
        <w:rPr>
          <w:highlight w:val="none"/>
        </w:rPr>
        <w:sym w:font="Wingdings 2" w:char="F052"/>
      </w:r>
      <w:r>
        <w:rPr>
          <w:rFonts w:ascii="Times New Roman" w:hAnsi="Times New Roman"/>
          <w:kern w:val="0"/>
          <w:szCs w:val="21"/>
          <w:highlight w:val="none"/>
          <w:shd w:val="clear" w:color="auto" w:fill="FFFFFF"/>
        </w:rPr>
        <w:t xml:space="preserve">一次性验收   </w:t>
      </w:r>
      <w:r>
        <w:rPr>
          <w:highlight w:val="none"/>
          <w:shd w:val="clear" w:color="auto" w:fill="FFFFFF"/>
        </w:rPr>
        <w:sym w:font="Wingdings" w:char="F0A8"/>
      </w:r>
      <w:r>
        <w:rPr>
          <w:rFonts w:ascii="Times New Roman" w:hAnsi="Times New Roman"/>
          <w:kern w:val="0"/>
          <w:szCs w:val="21"/>
          <w:highlight w:val="none"/>
          <w:shd w:val="clear" w:color="auto" w:fill="FFFFFF"/>
        </w:rPr>
        <w:t>分段/分期验收</w:t>
      </w:r>
    </w:p>
    <w:p w14:paraId="229E7BC7">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验收方式：现场整体验收</w:t>
      </w:r>
    </w:p>
    <w:p w14:paraId="79BE128F">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履约验收内容：</w:t>
      </w:r>
      <w:r>
        <w:rPr>
          <w:rFonts w:hint="eastAsia" w:ascii="Times New Roman" w:hAnsi="Times New Roman"/>
          <w:highlight w:val="none"/>
        </w:rPr>
        <w:t>按照甲方</w:t>
      </w:r>
      <w:r>
        <w:rPr>
          <w:rFonts w:ascii="Times New Roman" w:hAnsi="Times New Roman"/>
          <w:highlight w:val="none"/>
        </w:rPr>
        <w:t>采购文件要求及乙方响应文件情况，由乙方向甲方交付的全部内容。</w:t>
      </w:r>
    </w:p>
    <w:p w14:paraId="32EE129D">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履约验收时间：供应商完成本项目涉及的所有</w:t>
      </w:r>
      <w:r>
        <w:rPr>
          <w:rFonts w:hint="eastAsia" w:ascii="Times New Roman" w:hAnsi="Times New Roman"/>
          <w:highlight w:val="none"/>
        </w:rPr>
        <w:t>货物</w:t>
      </w:r>
      <w:r>
        <w:rPr>
          <w:rFonts w:ascii="Times New Roman" w:hAnsi="Times New Roman"/>
          <w:highlight w:val="none"/>
        </w:rPr>
        <w:t>的安装、调试并具备验收条件后于5日内通知甲方验收，甲方接乙方通知后10日内组织验收。</w:t>
      </w:r>
    </w:p>
    <w:p w14:paraId="01A39564">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 xml:space="preserve">是否邀请本项目的其他供应商： </w:t>
      </w:r>
      <w:r>
        <w:rPr>
          <w:rFonts w:ascii="Times New Roman" w:hAnsi="Times New Roman"/>
          <w:highlight w:val="none"/>
        </w:rPr>
        <w:sym w:font="Wingdings" w:char="F0A8"/>
      </w:r>
      <w:r>
        <w:rPr>
          <w:rFonts w:ascii="Times New Roman" w:hAnsi="Times New Roman"/>
          <w:highlight w:val="none"/>
        </w:rPr>
        <w:t xml:space="preserve">是   </w:t>
      </w:r>
      <w:r>
        <w:rPr>
          <w:rFonts w:ascii="Times New Roman" w:hAnsi="Times New Roman"/>
          <w:highlight w:val="none"/>
        </w:rPr>
        <w:sym w:font="Wingdings 2" w:char="F052"/>
      </w:r>
      <w:r>
        <w:rPr>
          <w:rFonts w:ascii="Times New Roman" w:hAnsi="Times New Roman"/>
          <w:highlight w:val="none"/>
        </w:rPr>
        <w:t>否</w:t>
      </w:r>
    </w:p>
    <w:p w14:paraId="558A134D">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 xml:space="preserve">是否邀请专家： </w:t>
      </w:r>
      <w:r>
        <w:rPr>
          <w:rFonts w:ascii="Times New Roman" w:hAnsi="Times New Roman"/>
          <w:highlight w:val="none"/>
        </w:rPr>
        <w:sym w:font="Wingdings" w:char="F0A8"/>
      </w:r>
      <w:r>
        <w:rPr>
          <w:rFonts w:ascii="Times New Roman" w:hAnsi="Times New Roman"/>
          <w:highlight w:val="none"/>
        </w:rPr>
        <w:t xml:space="preserve">是   </w:t>
      </w:r>
      <w:r>
        <w:rPr>
          <w:rFonts w:ascii="Times New Roman" w:hAnsi="Times New Roman"/>
          <w:highlight w:val="none"/>
        </w:rPr>
        <w:sym w:font="Wingdings 2" w:char="F052"/>
      </w:r>
      <w:r>
        <w:rPr>
          <w:rFonts w:ascii="Times New Roman" w:hAnsi="Times New Roman"/>
          <w:highlight w:val="none"/>
        </w:rPr>
        <w:t>否</w:t>
      </w:r>
    </w:p>
    <w:p w14:paraId="3C703DD4">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 xml:space="preserve">是否邀请服务对象： </w:t>
      </w:r>
      <w:r>
        <w:rPr>
          <w:rFonts w:ascii="Times New Roman" w:hAnsi="Times New Roman"/>
          <w:highlight w:val="none"/>
        </w:rPr>
        <w:sym w:font="Wingdings" w:char="F0A8"/>
      </w:r>
      <w:r>
        <w:rPr>
          <w:rFonts w:ascii="Times New Roman" w:hAnsi="Times New Roman"/>
          <w:highlight w:val="none"/>
        </w:rPr>
        <w:t xml:space="preserve">是   </w:t>
      </w:r>
      <w:r>
        <w:rPr>
          <w:rFonts w:ascii="Times New Roman" w:hAnsi="Times New Roman"/>
          <w:highlight w:val="none"/>
        </w:rPr>
        <w:sym w:font="Wingdings 2" w:char="F052"/>
      </w:r>
      <w:r>
        <w:rPr>
          <w:rFonts w:ascii="Times New Roman" w:hAnsi="Times New Roman"/>
          <w:highlight w:val="none"/>
        </w:rPr>
        <w:t>否</w:t>
      </w:r>
    </w:p>
    <w:p w14:paraId="7CE2F7E5">
      <w:pPr>
        <w:pStyle w:val="31"/>
        <w:numPr>
          <w:ilvl w:val="0"/>
          <w:numId w:val="22"/>
        </w:numPr>
        <w:snapToGrid w:val="0"/>
        <w:ind w:left="525" w:hanging="525" w:hangingChars="250"/>
        <w:contextualSpacing/>
        <w:rPr>
          <w:rFonts w:ascii="Times New Roman" w:hAnsi="Times New Roman"/>
          <w:szCs w:val="21"/>
          <w:highlight w:val="none"/>
        </w:rPr>
      </w:pPr>
      <w:r>
        <w:rPr>
          <w:rFonts w:ascii="Times New Roman" w:hAnsi="Times New Roman"/>
          <w:szCs w:val="21"/>
          <w:highlight w:val="none"/>
        </w:rPr>
        <w:t xml:space="preserve">是否邀请第三方检测机构： </w:t>
      </w:r>
      <w:r>
        <w:rPr>
          <w:rFonts w:ascii="Times New Roman" w:hAnsi="Times New Roman"/>
          <w:szCs w:val="21"/>
          <w:highlight w:val="none"/>
        </w:rPr>
        <w:sym w:font="Wingdings" w:char="F0A8"/>
      </w:r>
      <w:r>
        <w:rPr>
          <w:rFonts w:ascii="Times New Roman" w:hAnsi="Times New Roman"/>
          <w:szCs w:val="21"/>
          <w:highlight w:val="none"/>
        </w:rPr>
        <w:t xml:space="preserve">是   </w:t>
      </w:r>
      <w:r>
        <w:rPr>
          <w:rFonts w:ascii="Times New Roman" w:hAnsi="Times New Roman"/>
          <w:szCs w:val="21"/>
          <w:highlight w:val="none"/>
        </w:rPr>
        <w:sym w:font="Wingdings 2" w:char="F052"/>
      </w:r>
      <w:r>
        <w:rPr>
          <w:rFonts w:ascii="Times New Roman" w:hAnsi="Times New Roman"/>
          <w:szCs w:val="21"/>
          <w:highlight w:val="none"/>
        </w:rPr>
        <w:t>否</w:t>
      </w:r>
    </w:p>
    <w:p w14:paraId="77B3BC53">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验收标准：</w:t>
      </w:r>
    </w:p>
    <w:p w14:paraId="0A404F8F">
      <w:pPr>
        <w:pStyle w:val="13"/>
        <w:numPr>
          <w:ilvl w:val="0"/>
          <w:numId w:val="23"/>
        </w:numPr>
        <w:snapToGrid w:val="0"/>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051796B8">
      <w:pPr>
        <w:pStyle w:val="13"/>
        <w:numPr>
          <w:ilvl w:val="0"/>
          <w:numId w:val="23"/>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甲方采购文件相关技术、服务要求、乙方响应文件相关响应内容。</w:t>
      </w:r>
    </w:p>
    <w:p w14:paraId="44CCCC79">
      <w:pPr>
        <w:pStyle w:val="13"/>
        <w:numPr>
          <w:ilvl w:val="0"/>
          <w:numId w:val="23"/>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成交产品生产厂家出具的产品说明书、技术白皮书等技术资料（如涉及）。</w:t>
      </w:r>
    </w:p>
    <w:p w14:paraId="27F96AF4">
      <w:pPr>
        <w:pStyle w:val="13"/>
        <w:numPr>
          <w:ilvl w:val="0"/>
          <w:numId w:val="23"/>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如验收时，采购人与供应商认为本项目验收标准中的技术指标、质量要求等内容存在相互抵触或对其理解存在异议，应按照其中更严格的要求、标准等进行验收。</w:t>
      </w:r>
    </w:p>
    <w:p w14:paraId="11FCC015">
      <w:pPr>
        <w:pStyle w:val="13"/>
        <w:numPr>
          <w:ilvl w:val="0"/>
          <w:numId w:val="23"/>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参照《财政部关于进一步加强政府采购需求和履约验收管理的指导意见》（财库〔2016〕205号）的要求进行验收。</w:t>
      </w:r>
    </w:p>
    <w:p w14:paraId="2B52D016">
      <w:pPr>
        <w:pStyle w:val="13"/>
        <w:numPr>
          <w:ilvl w:val="0"/>
          <w:numId w:val="23"/>
        </w:numPr>
        <w:snapToGrid w:val="0"/>
        <w:spacing w:after="0"/>
        <w:ind w:firstLineChars="0"/>
        <w:contextualSpacing/>
        <w:rPr>
          <w:rFonts w:ascii="Times New Roman" w:hAnsi="Times New Roman"/>
          <w:szCs w:val="21"/>
          <w:highlight w:val="none"/>
        </w:rPr>
      </w:pPr>
      <w:r>
        <w:rPr>
          <w:rFonts w:ascii="Times New Roman" w:hAnsi="Times New Roman"/>
          <w:szCs w:val="21"/>
          <w:highlight w:val="none"/>
        </w:rPr>
        <w:t>其它标准：无。</w:t>
      </w:r>
    </w:p>
    <w:p w14:paraId="74EE3958">
      <w:pPr>
        <w:pStyle w:val="31"/>
        <w:numPr>
          <w:ilvl w:val="0"/>
          <w:numId w:val="22"/>
        </w:numPr>
        <w:snapToGrid w:val="0"/>
        <w:ind w:left="525" w:hanging="525" w:hangingChars="250"/>
        <w:contextualSpacing/>
        <w:rPr>
          <w:rFonts w:ascii="Times New Roman" w:hAnsi="Times New Roman"/>
          <w:highlight w:val="none"/>
        </w:rPr>
      </w:pPr>
      <w:r>
        <w:rPr>
          <w:rFonts w:ascii="Times New Roman" w:hAnsi="Times New Roman"/>
          <w:highlight w:val="none"/>
        </w:rPr>
        <w:t>履约验收其它事项：无。</w:t>
      </w:r>
      <w:r>
        <w:rPr>
          <w:rFonts w:ascii="Times New Roman" w:hAnsi="Times New Roman"/>
          <w:i/>
          <w:iCs/>
          <w:highlight w:val="none"/>
        </w:rPr>
        <w:t>&lt;如有请填写&gt;</w:t>
      </w:r>
    </w:p>
    <w:p w14:paraId="68C0F541">
      <w:pPr>
        <w:pStyle w:val="31"/>
        <w:numPr>
          <w:ilvl w:val="0"/>
          <w:numId w:val="21"/>
        </w:numPr>
        <w:snapToGrid w:val="0"/>
        <w:ind w:left="0" w:firstLine="0" w:firstLineChars="0"/>
        <w:contextualSpacing/>
        <w:rPr>
          <w:rFonts w:ascii="Times New Roman" w:hAnsi="Times New Roman"/>
          <w:szCs w:val="21"/>
          <w:highlight w:val="none"/>
        </w:rPr>
      </w:pPr>
      <w:r>
        <w:rPr>
          <w:rFonts w:hint="eastAsia" w:ascii="Times New Roman" w:hAnsi="Times New Roman"/>
          <w:szCs w:val="21"/>
          <w:highlight w:val="none"/>
        </w:rPr>
        <w:t>乙方按照本合同向甲方交付的货物：</w:t>
      </w:r>
      <w:bookmarkStart w:id="35" w:name="OLE_LINK3"/>
      <w:r>
        <w:rPr>
          <w:rFonts w:hint="eastAsia" w:ascii="Times New Roman" w:hAnsi="Times New Roman"/>
          <w:i/>
          <w:iCs/>
          <w:color w:val="000000"/>
          <w:szCs w:val="21"/>
          <w:highlight w:val="none"/>
        </w:rPr>
        <w:t>&lt;根据项目实际情况选择</w:t>
      </w:r>
      <w:bookmarkEnd w:id="35"/>
      <w:r>
        <w:rPr>
          <w:rFonts w:hint="eastAsia" w:ascii="Times New Roman" w:hAnsi="Times New Roman"/>
          <w:i/>
          <w:iCs/>
          <w:color w:val="000000"/>
          <w:szCs w:val="21"/>
          <w:highlight w:val="none"/>
        </w:rPr>
        <w:t>&gt;</w:t>
      </w:r>
    </w:p>
    <w:p w14:paraId="17C1CE42">
      <w:pPr>
        <w:pStyle w:val="31"/>
        <w:snapToGrid w:val="0"/>
        <w:ind w:left="315" w:leftChars="150" w:firstLine="0" w:firstLineChars="0"/>
        <w:rPr>
          <w:rFonts w:ascii="Times New Roman" w:hAnsi="Times New Roman"/>
          <w:szCs w:val="21"/>
          <w:highlight w:val="none"/>
          <w:u w:val="single"/>
        </w:rPr>
      </w:pPr>
      <w:r>
        <w:rPr>
          <w:rFonts w:hint="eastAsia" w:ascii="Times New Roman" w:hAnsi="Times New Roman"/>
          <w:szCs w:val="21"/>
          <w:highlight w:val="none"/>
        </w:rPr>
        <w:sym w:font="Wingdings 2" w:char="00A3"/>
      </w:r>
      <w:r>
        <w:rPr>
          <w:rFonts w:hint="eastAsia" w:ascii="Times New Roman" w:hAnsi="Times New Roman"/>
          <w:szCs w:val="21"/>
          <w:highlight w:val="none"/>
          <w:u w:val="single"/>
        </w:rPr>
        <w:t>有试运行期</w:t>
      </w:r>
      <w:r>
        <w:rPr>
          <w:rFonts w:hint="eastAsia" w:ascii="Times New Roman" w:hAnsi="Times New Roman"/>
          <w:szCs w:val="21"/>
          <w:highlight w:val="none"/>
        </w:rPr>
        <w:t>，试运行期为*</w:t>
      </w:r>
      <w:r>
        <w:rPr>
          <w:rFonts w:ascii="Times New Roman" w:hAnsi="Times New Roman"/>
          <w:szCs w:val="21"/>
          <w:highlight w:val="none"/>
        </w:rPr>
        <w:t>**</w:t>
      </w:r>
      <w:r>
        <w:rPr>
          <w:rFonts w:hint="eastAsia" w:ascii="Times New Roman" w:hAnsi="Times New Roman"/>
          <w:szCs w:val="21"/>
          <w:highlight w:val="none"/>
        </w:rPr>
        <w:t>，</w:t>
      </w:r>
      <w:r>
        <w:rPr>
          <w:rFonts w:ascii="Times New Roman" w:hAnsi="Times New Roman"/>
          <w:szCs w:val="21"/>
          <w:highlight w:val="none"/>
        </w:rPr>
        <w:t>试运行期间，如发现</w:t>
      </w:r>
      <w:r>
        <w:rPr>
          <w:rFonts w:hint="eastAsia" w:ascii="Times New Roman" w:hAnsi="Times New Roman"/>
          <w:szCs w:val="21"/>
          <w:highlight w:val="none"/>
        </w:rPr>
        <w:t>货物有</w:t>
      </w:r>
      <w:r>
        <w:rPr>
          <w:rFonts w:ascii="Times New Roman" w:hAnsi="Times New Roman"/>
          <w:szCs w:val="21"/>
          <w:highlight w:val="none"/>
        </w:rPr>
        <w:t>缺陷，或</w:t>
      </w:r>
      <w:r>
        <w:rPr>
          <w:rFonts w:hint="eastAsia" w:ascii="Times New Roman" w:hAnsi="Times New Roman"/>
          <w:szCs w:val="21"/>
          <w:highlight w:val="none"/>
        </w:rPr>
        <w:t>性能和</w:t>
      </w:r>
      <w:r>
        <w:rPr>
          <w:rFonts w:ascii="Times New Roman" w:hAnsi="Times New Roman"/>
          <w:szCs w:val="21"/>
          <w:highlight w:val="none"/>
        </w:rPr>
        <w:t>质量不</w:t>
      </w:r>
      <w:r>
        <w:rPr>
          <w:rFonts w:hint="eastAsia" w:ascii="Times New Roman" w:hAnsi="Times New Roman"/>
          <w:szCs w:val="21"/>
          <w:highlight w:val="none"/>
        </w:rPr>
        <w:t>符合本项目</w:t>
      </w:r>
      <w:r>
        <w:rPr>
          <w:rFonts w:ascii="Times New Roman" w:hAnsi="Times New Roman"/>
          <w:szCs w:val="21"/>
          <w:highlight w:val="none"/>
        </w:rPr>
        <w:t>要求</w:t>
      </w:r>
      <w:r>
        <w:rPr>
          <w:rFonts w:hint="eastAsia" w:ascii="Times New Roman" w:hAnsi="Times New Roman"/>
          <w:szCs w:val="21"/>
          <w:highlight w:val="none"/>
        </w:rPr>
        <w:t>时</w:t>
      </w:r>
      <w:r>
        <w:rPr>
          <w:rFonts w:ascii="Times New Roman" w:hAnsi="Times New Roman"/>
          <w:szCs w:val="21"/>
          <w:highlight w:val="none"/>
        </w:rPr>
        <w:t>，</w:t>
      </w:r>
      <w:r>
        <w:rPr>
          <w:rFonts w:hint="eastAsia" w:ascii="Times New Roman" w:hAnsi="Times New Roman"/>
          <w:szCs w:val="21"/>
          <w:highlight w:val="none"/>
        </w:rPr>
        <w:t>乙方须对相关货物进行更换和相应处理，同时试运行期时限按照上述修改、更正期进行相应顺延。</w:t>
      </w:r>
    </w:p>
    <w:p w14:paraId="6D533381">
      <w:pPr>
        <w:pStyle w:val="31"/>
        <w:snapToGrid w:val="0"/>
        <w:ind w:left="315" w:leftChars="150" w:firstLine="0" w:firstLineChars="0"/>
        <w:rPr>
          <w:rFonts w:hint="eastAsia" w:ascii="Times New Roman" w:hAnsi="Times New Roman"/>
          <w:szCs w:val="21"/>
          <w:highlight w:val="none"/>
        </w:rPr>
      </w:pPr>
      <w:r>
        <w:rPr>
          <w:rFonts w:hint="eastAsia" w:ascii="Times New Roman" w:hAnsi="Times New Roman"/>
          <w:szCs w:val="21"/>
          <w:highlight w:val="none"/>
        </w:rPr>
        <w:sym w:font="Wingdings 2" w:char="0052"/>
      </w:r>
      <w:r>
        <w:rPr>
          <w:rFonts w:hint="eastAsia" w:ascii="Times New Roman" w:hAnsi="Times New Roman"/>
          <w:szCs w:val="21"/>
          <w:highlight w:val="none"/>
          <w:u w:val="single"/>
        </w:rPr>
        <w:t>无试运行期</w:t>
      </w:r>
    </w:p>
    <w:p w14:paraId="7D4C8CB2">
      <w:pPr>
        <w:pStyle w:val="31"/>
        <w:numPr>
          <w:ilvl w:val="0"/>
          <w:numId w:val="21"/>
        </w:numPr>
        <w:snapToGrid w:val="0"/>
        <w:ind w:left="0" w:firstLine="0" w:firstLineChars="0"/>
        <w:rPr>
          <w:rFonts w:ascii="Times New Roman" w:hAnsi="Times New Roman"/>
          <w:szCs w:val="21"/>
          <w:highlight w:val="none"/>
        </w:rPr>
      </w:pPr>
      <w:r>
        <w:rPr>
          <w:rFonts w:hint="eastAsia" w:ascii="Times New Roman" w:hAnsi="Times New Roman"/>
          <w:szCs w:val="21"/>
          <w:highlight w:val="none"/>
        </w:rPr>
        <w:t>若验收交付内容涉及试运行的，经试运行达到设计使用要求、技术质量标准并经甲方认可后视为验收通过。</w:t>
      </w:r>
    </w:p>
    <w:p w14:paraId="6A4F2DBC">
      <w:pPr>
        <w:pStyle w:val="31"/>
        <w:numPr>
          <w:ilvl w:val="0"/>
          <w:numId w:val="21"/>
        </w:numPr>
        <w:snapToGrid w:val="0"/>
        <w:ind w:left="0" w:firstLine="0" w:firstLineChars="0"/>
        <w:rPr>
          <w:rFonts w:hint="eastAsia" w:ascii="Times New Roman" w:hAnsi="Times New Roman"/>
          <w:szCs w:val="21"/>
          <w:highlight w:val="none"/>
        </w:rPr>
      </w:pPr>
      <w:r>
        <w:rPr>
          <w:rFonts w:ascii="Times New Roman" w:hAnsi="Times New Roman"/>
          <w:szCs w:val="21"/>
          <w:highlight w:val="none"/>
        </w:rPr>
        <w:t>如验收合格，双方签署验收报告</w:t>
      </w:r>
      <w:r>
        <w:rPr>
          <w:rFonts w:hint="eastAsia" w:ascii="Times New Roman" w:hAnsi="Times New Roman"/>
          <w:szCs w:val="21"/>
          <w:highlight w:val="none"/>
        </w:rPr>
        <w:t>；</w:t>
      </w:r>
      <w:r>
        <w:rPr>
          <w:rFonts w:ascii="Times New Roman" w:hAnsi="Times New Roman"/>
          <w:szCs w:val="21"/>
          <w:highlight w:val="none"/>
        </w:rPr>
        <w:t>如</w:t>
      </w:r>
      <w:r>
        <w:rPr>
          <w:rFonts w:hint="eastAsia" w:ascii="Times New Roman" w:hAnsi="Times New Roman"/>
          <w:szCs w:val="21"/>
          <w:highlight w:val="none"/>
        </w:rPr>
        <w:t>验收不合格</w:t>
      </w:r>
      <w:r>
        <w:rPr>
          <w:rFonts w:ascii="Times New Roman" w:hAnsi="Times New Roman"/>
          <w:szCs w:val="21"/>
          <w:highlight w:val="none"/>
        </w:rPr>
        <w:t>，甲方应</w:t>
      </w:r>
      <w:r>
        <w:rPr>
          <w:rFonts w:hint="eastAsia" w:ascii="Times New Roman" w:hAnsi="Times New Roman"/>
          <w:szCs w:val="21"/>
          <w:highlight w:val="none"/>
        </w:rPr>
        <w:t>进行</w:t>
      </w:r>
      <w:r>
        <w:rPr>
          <w:rFonts w:ascii="Times New Roman" w:hAnsi="Times New Roman"/>
          <w:szCs w:val="21"/>
          <w:highlight w:val="none"/>
        </w:rPr>
        <w:t>详尽的</w:t>
      </w:r>
      <w:r>
        <w:rPr>
          <w:rFonts w:hint="eastAsia" w:ascii="Times New Roman" w:hAnsi="Times New Roman"/>
          <w:szCs w:val="21"/>
          <w:highlight w:val="none"/>
        </w:rPr>
        <w:t>现场</w:t>
      </w:r>
      <w:r>
        <w:rPr>
          <w:rFonts w:ascii="Times New Roman" w:hAnsi="Times New Roman"/>
          <w:szCs w:val="21"/>
          <w:highlight w:val="none"/>
        </w:rPr>
        <w:t>记录，或由甲乙双方签署备忘录，此现场记录或备忘录可用作</w:t>
      </w:r>
      <w:r>
        <w:rPr>
          <w:rFonts w:hint="eastAsia" w:ascii="Times New Roman" w:hAnsi="Times New Roman"/>
          <w:szCs w:val="21"/>
          <w:highlight w:val="none"/>
        </w:rPr>
        <w:t>修改和更正相关问题</w:t>
      </w:r>
      <w:r>
        <w:rPr>
          <w:rFonts w:ascii="Times New Roman" w:hAnsi="Times New Roman"/>
          <w:szCs w:val="21"/>
          <w:highlight w:val="none"/>
        </w:rPr>
        <w:t>的有效证据，由此产生的时间延误与</w:t>
      </w:r>
      <w:r>
        <w:rPr>
          <w:rFonts w:hint="eastAsia" w:ascii="Times New Roman" w:hAnsi="Times New Roman"/>
          <w:szCs w:val="21"/>
          <w:highlight w:val="none"/>
        </w:rPr>
        <w:t>经济损失</w:t>
      </w:r>
      <w:r>
        <w:rPr>
          <w:rFonts w:ascii="Times New Roman" w:hAnsi="Times New Roman"/>
          <w:szCs w:val="21"/>
          <w:highlight w:val="none"/>
        </w:rPr>
        <w:t>由乙方承担，验收期限相应顺延</w:t>
      </w:r>
      <w:r>
        <w:rPr>
          <w:rFonts w:hint="eastAsia" w:ascii="Times New Roman" w:hAnsi="Times New Roman"/>
          <w:szCs w:val="21"/>
          <w:highlight w:val="none"/>
        </w:rPr>
        <w:t>，且</w:t>
      </w:r>
      <w:r>
        <w:rPr>
          <w:rFonts w:ascii="Times New Roman" w:hAnsi="Times New Roman"/>
          <w:szCs w:val="21"/>
          <w:highlight w:val="none"/>
        </w:rPr>
        <w:t>甲方有权拒绝签署验收报告，</w:t>
      </w:r>
      <w:r>
        <w:rPr>
          <w:rFonts w:hint="eastAsia" w:ascii="Times New Roman" w:hAnsi="Times New Roman"/>
          <w:szCs w:val="21"/>
          <w:highlight w:val="none"/>
        </w:rPr>
        <w:t>并</w:t>
      </w:r>
      <w:r>
        <w:rPr>
          <w:rFonts w:ascii="Times New Roman" w:hAnsi="Times New Roman"/>
          <w:szCs w:val="21"/>
          <w:highlight w:val="none"/>
        </w:rPr>
        <w:t>要求乙方无条件</w:t>
      </w:r>
      <w:r>
        <w:rPr>
          <w:rFonts w:hint="eastAsia" w:ascii="Times New Roman" w:hAnsi="Times New Roman"/>
          <w:szCs w:val="21"/>
          <w:highlight w:val="none"/>
        </w:rPr>
        <w:t>修改和更正</w:t>
      </w:r>
      <w:r>
        <w:rPr>
          <w:rFonts w:ascii="Times New Roman" w:hAnsi="Times New Roman"/>
          <w:szCs w:val="21"/>
          <w:highlight w:val="none"/>
        </w:rPr>
        <w:t>，</w:t>
      </w:r>
      <w:r>
        <w:rPr>
          <w:rFonts w:hint="eastAsia" w:ascii="Times New Roman" w:hAnsi="Times New Roman"/>
          <w:szCs w:val="21"/>
          <w:highlight w:val="none"/>
        </w:rPr>
        <w:t>而后进行再次验收，乙方应承担因此额外产生的全部费用。如果仍不合格，甲方有权终止本合同并视作乙方不能交付而须支付合同总价</w:t>
      </w:r>
      <w:r>
        <w:rPr>
          <w:rFonts w:hint="eastAsia" w:ascii="Times New Roman" w:hAnsi="Times New Roman"/>
          <w:szCs w:val="21"/>
          <w:highlight w:val="none"/>
          <w:u w:val="single"/>
        </w:rPr>
        <w:t>10</w:t>
      </w:r>
      <w:r>
        <w:rPr>
          <w:rFonts w:ascii="Times New Roman" w:hAnsi="Times New Roman"/>
          <w:szCs w:val="21"/>
          <w:highlight w:val="none"/>
        </w:rPr>
        <w:t>%的</w:t>
      </w:r>
      <w:r>
        <w:rPr>
          <w:rFonts w:hint="eastAsia" w:ascii="Times New Roman" w:hAnsi="Times New Roman"/>
          <w:szCs w:val="21"/>
          <w:highlight w:val="none"/>
        </w:rPr>
        <w:t>违约金给甲方，违约金不能弥补甲方损失的，乙方应全额赔偿。</w:t>
      </w:r>
    </w:p>
    <w:p w14:paraId="3ACBC870">
      <w:pPr>
        <w:pStyle w:val="31"/>
        <w:numPr>
          <w:ilvl w:val="0"/>
          <w:numId w:val="17"/>
        </w:numPr>
        <w:snapToGrid w:val="0"/>
        <w:ind w:firstLineChars="0"/>
        <w:rPr>
          <w:rFonts w:ascii="Times New Roman" w:hAnsi="Times New Roman"/>
          <w:b/>
          <w:bCs/>
          <w:szCs w:val="21"/>
          <w:highlight w:val="none"/>
        </w:rPr>
      </w:pPr>
      <w:r>
        <w:rPr>
          <w:rFonts w:ascii="Times New Roman" w:hAnsi="Times New Roman"/>
          <w:b/>
          <w:bCs/>
          <w:szCs w:val="21"/>
          <w:highlight w:val="none"/>
        </w:rPr>
        <w:t>主体资格及知识产权</w:t>
      </w:r>
    </w:p>
    <w:p w14:paraId="65986B52">
      <w:pPr>
        <w:pStyle w:val="31"/>
        <w:numPr>
          <w:ilvl w:val="0"/>
          <w:numId w:val="24"/>
        </w:numPr>
        <w:snapToGrid w:val="0"/>
        <w:ind w:left="0" w:firstLine="0" w:firstLineChars="0"/>
        <w:rPr>
          <w:rFonts w:ascii="Times New Roman" w:hAnsi="Times New Roman"/>
          <w:szCs w:val="21"/>
          <w:highlight w:val="none"/>
        </w:rPr>
      </w:pPr>
      <w:r>
        <w:rPr>
          <w:rFonts w:ascii="Times New Roman" w:hAnsi="Times New Roman"/>
          <w:szCs w:val="21"/>
          <w:highlight w:val="none"/>
        </w:rPr>
        <w:t>主体资格：</w:t>
      </w:r>
    </w:p>
    <w:p w14:paraId="079F259B">
      <w:pPr>
        <w:snapToGrid w:val="0"/>
        <w:ind w:firstLine="420" w:firstLineChars="200"/>
        <w:rPr>
          <w:rFonts w:ascii="Times New Roman" w:hAnsi="Times New Roman"/>
          <w:szCs w:val="21"/>
          <w:highlight w:val="none"/>
        </w:rPr>
      </w:pPr>
      <w:r>
        <w:rPr>
          <w:rFonts w:ascii="Times New Roman" w:hAnsi="Times New Roman"/>
          <w:szCs w:val="21"/>
          <w:highlight w:val="none"/>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4939899D">
      <w:pPr>
        <w:pStyle w:val="31"/>
        <w:numPr>
          <w:ilvl w:val="0"/>
          <w:numId w:val="24"/>
        </w:numPr>
        <w:snapToGrid w:val="0"/>
        <w:ind w:left="0" w:firstLine="0" w:firstLineChars="0"/>
        <w:rPr>
          <w:rFonts w:ascii="Times New Roman" w:hAnsi="Times New Roman"/>
          <w:szCs w:val="21"/>
          <w:highlight w:val="none"/>
        </w:rPr>
      </w:pPr>
      <w:r>
        <w:rPr>
          <w:rFonts w:ascii="Times New Roman" w:hAnsi="Times New Roman"/>
          <w:szCs w:val="21"/>
          <w:highlight w:val="none"/>
        </w:rPr>
        <w:t>知识产权：</w:t>
      </w:r>
    </w:p>
    <w:p w14:paraId="6D8B00A4">
      <w:pPr>
        <w:pStyle w:val="31"/>
        <w:numPr>
          <w:ilvl w:val="0"/>
          <w:numId w:val="25"/>
        </w:numPr>
        <w:snapToGrid w:val="0"/>
        <w:ind w:firstLineChars="0"/>
        <w:rPr>
          <w:rFonts w:ascii="Times New Roman" w:hAnsi="Times New Roman"/>
          <w:szCs w:val="21"/>
          <w:highlight w:val="none"/>
        </w:rPr>
      </w:pPr>
      <w:r>
        <w:rPr>
          <w:rFonts w:ascii="Times New Roman" w:hAnsi="Times New Roman"/>
          <w:szCs w:val="21"/>
          <w:highlight w:val="none"/>
        </w:rPr>
        <w:t>乙方必须保证，甲方在中华人民共和国境内使用货物或者货物的某一部分时，如有第三方向甲方提出侵犯其专利权、商标权或其他知识产权的主张，由此造成的一切责任由乙方承担。</w:t>
      </w:r>
    </w:p>
    <w:p w14:paraId="5B9C525E">
      <w:pPr>
        <w:pStyle w:val="31"/>
        <w:numPr>
          <w:ilvl w:val="0"/>
          <w:numId w:val="25"/>
        </w:numPr>
        <w:snapToGrid w:val="0"/>
        <w:ind w:firstLineChars="0"/>
        <w:rPr>
          <w:rFonts w:ascii="Times New Roman" w:hAnsi="Times New Roman"/>
          <w:szCs w:val="21"/>
          <w:highlight w:val="none"/>
        </w:rPr>
      </w:pPr>
      <w:r>
        <w:rPr>
          <w:rFonts w:ascii="Times New Roman" w:hAnsi="Times New Roman"/>
          <w:szCs w:val="21"/>
          <w:highlight w:val="none"/>
        </w:rPr>
        <w:t>本合同费用包含向所有权人支付的专利权、商标权或其他知识产权的有关费用及税费。</w:t>
      </w:r>
    </w:p>
    <w:p w14:paraId="1F475304">
      <w:pPr>
        <w:pStyle w:val="31"/>
        <w:numPr>
          <w:ilvl w:val="0"/>
          <w:numId w:val="25"/>
        </w:numPr>
        <w:snapToGrid w:val="0"/>
        <w:ind w:firstLineChars="0"/>
        <w:rPr>
          <w:rFonts w:ascii="Times New Roman" w:hAnsi="Times New Roman"/>
          <w:szCs w:val="21"/>
          <w:highlight w:val="none"/>
        </w:rPr>
      </w:pPr>
      <w:r>
        <w:rPr>
          <w:rFonts w:ascii="Times New Roman" w:hAnsi="Times New Roman"/>
          <w:szCs w:val="21"/>
          <w:highlight w:val="none"/>
        </w:rPr>
        <w:t>乙方承诺</w:t>
      </w:r>
      <w:r>
        <w:rPr>
          <w:rFonts w:hint="eastAsia" w:ascii="Times New Roman" w:hAnsi="Times New Roman"/>
          <w:szCs w:val="21"/>
          <w:highlight w:val="none"/>
        </w:rPr>
        <w:t>向甲方提供的</w:t>
      </w:r>
      <w:r>
        <w:rPr>
          <w:rFonts w:ascii="Times New Roman" w:hAnsi="Times New Roman"/>
          <w:szCs w:val="21"/>
          <w:highlight w:val="none"/>
        </w:rPr>
        <w:t>货物上安装的软件已获得软件厂商的正规授权。</w:t>
      </w:r>
    </w:p>
    <w:p w14:paraId="7283F816">
      <w:pPr>
        <w:pStyle w:val="31"/>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甲、乙双方共同研发的该系统软件产品，知识产权归甲、乙双方共同拥有，软件所有数据归甲方所有</w:t>
      </w:r>
    </w:p>
    <w:p w14:paraId="1036676A">
      <w:pPr>
        <w:pStyle w:val="31"/>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4C72102C">
      <w:pPr>
        <w:pStyle w:val="31"/>
        <w:numPr>
          <w:ilvl w:val="0"/>
          <w:numId w:val="17"/>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付款方式</w:t>
      </w:r>
    </w:p>
    <w:p w14:paraId="4557D43E">
      <w:pPr>
        <w:pStyle w:val="31"/>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履约保证金：</w:t>
      </w:r>
    </w:p>
    <w:p w14:paraId="70D6F63C">
      <w:pPr>
        <w:pStyle w:val="13"/>
        <w:snapToGrid w:val="0"/>
        <w:spacing w:after="0"/>
        <w:ind w:left="420" w:leftChars="200"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w:t>
      </w:r>
      <w:r>
        <w:rPr>
          <w:rFonts w:hint="eastAsia" w:ascii="Times New Roman" w:hAnsi="Times New Roman"/>
          <w:color w:val="000000"/>
          <w:szCs w:val="21"/>
          <w:highlight w:val="none"/>
        </w:rPr>
        <w:t>；</w:t>
      </w:r>
      <w:r>
        <w:rPr>
          <w:rFonts w:ascii="Times New Roman" w:hAnsi="Times New Roman"/>
          <w:color w:val="000000"/>
          <w:szCs w:val="21"/>
          <w:highlight w:val="none"/>
        </w:rPr>
        <w:t>货物自验收合格之日满1年，甲方接到乙方付款申请后30个工作日内，甲方一次性无息退还乙方的履约保证金</w:t>
      </w:r>
      <w:r>
        <w:rPr>
          <w:rFonts w:hint="eastAsia" w:ascii="Times New Roman" w:hAnsi="Times New Roman"/>
          <w:color w:val="000000"/>
          <w:szCs w:val="21"/>
          <w:highlight w:val="none"/>
        </w:rPr>
        <w:t>；</w:t>
      </w:r>
      <w:r>
        <w:rPr>
          <w:rFonts w:ascii="Times New Roman" w:hAnsi="Times New Roman"/>
          <w:color w:val="000000"/>
          <w:szCs w:val="21"/>
          <w:highlight w:val="none"/>
        </w:rPr>
        <w:t>经验收</w:t>
      </w:r>
      <w:r>
        <w:rPr>
          <w:rFonts w:hint="eastAsia" w:ascii="Times New Roman" w:hAnsi="Times New Roman"/>
          <w:color w:val="000000"/>
          <w:szCs w:val="21"/>
          <w:highlight w:val="none"/>
        </w:rPr>
        <w:t>后</w:t>
      </w:r>
      <w:r>
        <w:rPr>
          <w:rFonts w:ascii="Times New Roman" w:hAnsi="Times New Roman"/>
          <w:color w:val="000000"/>
          <w:szCs w:val="21"/>
          <w:highlight w:val="none"/>
        </w:rPr>
        <w:t>乙方履约不合格的，履约保证金不予退还。</w:t>
      </w:r>
    </w:p>
    <w:p w14:paraId="03F445B9">
      <w:pPr>
        <w:pStyle w:val="13"/>
        <w:snapToGrid w:val="0"/>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本合同不涉及履约保证金。</w:t>
      </w:r>
    </w:p>
    <w:p w14:paraId="19FED2DB">
      <w:pPr>
        <w:pStyle w:val="31"/>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本合同价款采用以下方式支付，以人民币结算：</w:t>
      </w:r>
    </w:p>
    <w:p w14:paraId="7FC84B1A">
      <w:pPr>
        <w:pStyle w:val="13"/>
        <w:snapToGrid w:val="0"/>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hint="eastAsia" w:ascii="Times New Roman" w:hAnsi="Times New Roman"/>
          <w:color w:val="000000"/>
          <w:szCs w:val="21"/>
          <w:highlight w:val="none"/>
        </w:rPr>
        <w:t>一次性支付：</w:t>
      </w:r>
    </w:p>
    <w:p w14:paraId="60F557E8">
      <w:pPr>
        <w:pStyle w:val="13"/>
        <w:snapToGrid w:val="0"/>
        <w:spacing w:after="0"/>
        <w:ind w:left="840" w:leftChars="400" w:firstLineChars="200"/>
        <w:contextualSpacing/>
        <w:rPr>
          <w:rFonts w:ascii="Times New Roman" w:hAnsi="Times New Roman"/>
          <w:color w:val="000000"/>
          <w:szCs w:val="21"/>
          <w:highlight w:val="none"/>
        </w:rPr>
      </w:pPr>
      <w:r>
        <w:rPr>
          <w:rFonts w:hint="eastAsia" w:ascii="Times New Roman" w:hAnsi="Times New Roman"/>
          <w:color w:val="000000"/>
          <w:szCs w:val="21"/>
          <w:highlight w:val="none"/>
        </w:rPr>
        <w:t>甲方验收合格后</w:t>
      </w:r>
      <w:r>
        <w:rPr>
          <w:rFonts w:ascii="Times New Roman" w:hAnsi="Times New Roman"/>
          <w:color w:val="000000"/>
          <w:szCs w:val="21"/>
          <w:highlight w:val="none"/>
        </w:rPr>
        <w:t>5</w:t>
      </w:r>
      <w:r>
        <w:rPr>
          <w:rFonts w:hint="eastAsia" w:ascii="Times New Roman" w:hAnsi="Times New Roman"/>
          <w:color w:val="000000"/>
          <w:szCs w:val="21"/>
          <w:highlight w:val="none"/>
        </w:rPr>
        <w:t>日内，乙方须向甲方出具</w:t>
      </w:r>
      <w:r>
        <w:rPr>
          <w:highlight w:val="none"/>
          <w:lang w:bidi="ar"/>
        </w:rPr>
        <w:t>合法有效票据及其它相关请款资料</w:t>
      </w:r>
      <w:r>
        <w:rPr>
          <w:rFonts w:hint="eastAsia" w:ascii="Times New Roman" w:hAnsi="Times New Roman"/>
          <w:color w:val="000000"/>
          <w:szCs w:val="21"/>
          <w:highlight w:val="none"/>
        </w:rPr>
        <w:t>，甲方自收到上述发票及凭证资料后</w:t>
      </w:r>
      <w:r>
        <w:rPr>
          <w:rFonts w:ascii="Times New Roman" w:hAnsi="Times New Roman"/>
          <w:color w:val="000000"/>
          <w:szCs w:val="21"/>
          <w:highlight w:val="none"/>
        </w:rPr>
        <w:t>55</w:t>
      </w:r>
      <w:r>
        <w:rPr>
          <w:rFonts w:hint="eastAsia" w:ascii="Times New Roman" w:hAnsi="Times New Roman"/>
          <w:color w:val="000000"/>
          <w:szCs w:val="21"/>
          <w:highlight w:val="none"/>
        </w:rPr>
        <w:t>日内支付合同总价</w:t>
      </w:r>
      <w:r>
        <w:rPr>
          <w:rFonts w:ascii="Times New Roman" w:hAnsi="Times New Roman"/>
          <w:color w:val="000000"/>
          <w:szCs w:val="21"/>
          <w:highlight w:val="none"/>
        </w:rPr>
        <w:t>100%</w:t>
      </w:r>
      <w:r>
        <w:rPr>
          <w:rFonts w:hint="eastAsia" w:ascii="Times New Roman" w:hAnsi="Times New Roman"/>
          <w:color w:val="000000"/>
          <w:szCs w:val="21"/>
          <w:highlight w:val="none"/>
        </w:rPr>
        <w:t>的货款给乙方。</w:t>
      </w:r>
    </w:p>
    <w:p w14:paraId="62FF28E5">
      <w:pPr>
        <w:pStyle w:val="13"/>
        <w:snapToGrid w:val="0"/>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分阶段支付，支付期限及额度如下：</w:t>
      </w:r>
    </w:p>
    <w:p w14:paraId="17D4F04B">
      <w:pPr>
        <w:pStyle w:val="13"/>
        <w:snapToGrid w:val="0"/>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（1）预付款：本合同生效后</w:t>
      </w:r>
      <w:r>
        <w:rPr>
          <w:rFonts w:ascii="Times New Roman" w:hAnsi="Times New Roman"/>
          <w:color w:val="000000"/>
          <w:szCs w:val="21"/>
          <w:highlight w:val="none"/>
        </w:rPr>
        <w:t>***</w:t>
      </w:r>
      <w:r>
        <w:rPr>
          <w:rFonts w:hint="eastAsia" w:ascii="Times New Roman" w:hAnsi="Times New Roman"/>
          <w:color w:val="000000"/>
          <w:szCs w:val="21"/>
          <w:highlight w:val="none"/>
        </w:rPr>
        <w:t>个工作日内，甲方预付项目费用总额的*</w:t>
      </w:r>
      <w:r>
        <w:rPr>
          <w:rFonts w:ascii="Times New Roman" w:hAnsi="Times New Roman"/>
          <w:color w:val="000000"/>
          <w:szCs w:val="21"/>
          <w:highlight w:val="none"/>
        </w:rPr>
        <w:t>**%</w:t>
      </w:r>
      <w:r>
        <w:rPr>
          <w:rFonts w:hint="eastAsia" w:ascii="Times New Roman" w:hAnsi="Times New Roman"/>
          <w:color w:val="000000"/>
          <w:szCs w:val="21"/>
          <w:highlight w:val="none"/>
        </w:rPr>
        <w:t xml:space="preserve">，即人民币（大写） </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 xml:space="preserve">圆整（RMB </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元）。</w:t>
      </w:r>
    </w:p>
    <w:p w14:paraId="52394E1F">
      <w:pPr>
        <w:pStyle w:val="13"/>
        <w:snapToGrid w:val="0"/>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（2）进度款，甲方应当按照下列方式支付进度款：</w:t>
      </w:r>
    </w:p>
    <w:p w14:paraId="43FF6239">
      <w:pPr>
        <w:pStyle w:val="13"/>
        <w:snapToGrid w:val="0"/>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乙方按照本合同约定完成阶段性工作后，甲方应于每一阶段性工作成果验收合格之日起</w:t>
      </w:r>
      <w:r>
        <w:rPr>
          <w:rFonts w:ascii="Times New Roman" w:hAnsi="Times New Roman"/>
          <w:color w:val="000000"/>
          <w:szCs w:val="21"/>
          <w:highlight w:val="none"/>
        </w:rPr>
        <w:t>***</w:t>
      </w:r>
      <w:r>
        <w:rPr>
          <w:rFonts w:hint="eastAsia" w:ascii="Times New Roman" w:hAnsi="Times New Roman"/>
          <w:color w:val="000000"/>
          <w:szCs w:val="21"/>
          <w:highlight w:val="none"/>
        </w:rPr>
        <w:t>个工作日内，向乙方支付相应的费用。</w:t>
      </w:r>
    </w:p>
    <w:p w14:paraId="382CF62F">
      <w:pPr>
        <w:pStyle w:val="13"/>
        <w:snapToGrid w:val="0"/>
        <w:spacing w:after="0"/>
        <w:ind w:left="1260" w:leftChars="600"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乙方完成</w:t>
      </w:r>
      <w:r>
        <w:rPr>
          <w:rFonts w:ascii="Times New Roman" w:hAnsi="Times New Roman"/>
          <w:color w:val="000000"/>
          <w:szCs w:val="21"/>
          <w:highlight w:val="none"/>
        </w:rPr>
        <w:t>***</w:t>
      </w:r>
      <w:r>
        <w:rPr>
          <w:rFonts w:hint="eastAsia" w:ascii="Times New Roman" w:hAnsi="Times New Roman"/>
          <w:color w:val="000000"/>
          <w:szCs w:val="21"/>
          <w:highlight w:val="none"/>
        </w:rPr>
        <w:t>，甲方支付项目费用总额的</w:t>
      </w:r>
      <w:r>
        <w:rPr>
          <w:rFonts w:ascii="Times New Roman" w:hAnsi="Times New Roman"/>
          <w:color w:val="000000"/>
          <w:szCs w:val="21"/>
          <w:highlight w:val="none"/>
        </w:rPr>
        <w:t>***%</w:t>
      </w:r>
      <w:r>
        <w:rPr>
          <w:rFonts w:hint="eastAsia" w:ascii="Times New Roman" w:hAnsi="Times New Roman"/>
          <w:color w:val="000000"/>
          <w:szCs w:val="21"/>
          <w:highlight w:val="none"/>
        </w:rPr>
        <w:t>，即 人民币（大写）</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 xml:space="preserve">圆整（RMB </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元）。</w:t>
      </w:r>
    </w:p>
    <w:p w14:paraId="75284227">
      <w:pPr>
        <w:pStyle w:val="13"/>
        <w:snapToGrid w:val="0"/>
        <w:spacing w:after="0"/>
        <w:ind w:left="945" w:leftChars="400" w:hanging="105" w:hangingChars="5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（3）结算款：本项目竣工验收合格后</w:t>
      </w:r>
      <w:r>
        <w:rPr>
          <w:rFonts w:ascii="Times New Roman" w:hAnsi="Times New Roman"/>
          <w:color w:val="000000"/>
          <w:szCs w:val="21"/>
          <w:highlight w:val="none"/>
        </w:rPr>
        <w:t>***</w:t>
      </w:r>
      <w:r>
        <w:rPr>
          <w:rFonts w:hint="eastAsia" w:ascii="Times New Roman" w:hAnsi="Times New Roman"/>
          <w:color w:val="000000"/>
          <w:szCs w:val="21"/>
          <w:highlight w:val="none"/>
        </w:rPr>
        <w:t>个工作日内，甲方向乙方支付剩余价款人民币（大写）</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圆整（RMB</w:t>
      </w:r>
      <w:r>
        <w:rPr>
          <w:rFonts w:ascii="Times New Roman" w:hAnsi="Times New Roman"/>
          <w:color w:val="000000"/>
          <w:szCs w:val="21"/>
          <w:highlight w:val="none"/>
        </w:rPr>
        <w:t xml:space="preserve"> ***</w:t>
      </w:r>
      <w:r>
        <w:rPr>
          <w:rFonts w:hint="eastAsia" w:ascii="Times New Roman" w:hAnsi="Times New Roman"/>
          <w:color w:val="000000"/>
          <w:szCs w:val="21"/>
          <w:highlight w:val="none"/>
        </w:rPr>
        <w:t xml:space="preserve"> 元）。</w:t>
      </w:r>
    </w:p>
    <w:p w14:paraId="6C6D46C0">
      <w:pPr>
        <w:pStyle w:val="31"/>
        <w:numPr>
          <w:ilvl w:val="0"/>
          <w:numId w:val="26"/>
        </w:numPr>
        <w:snapToGrid w:val="0"/>
        <w:ind w:left="0" w:firstLine="0" w:firstLineChars="0"/>
        <w:rPr>
          <w:rFonts w:ascii="Times New Roman" w:hAnsi="Times New Roman"/>
          <w:szCs w:val="21"/>
          <w:highlight w:val="none"/>
        </w:rPr>
      </w:pPr>
      <w:r>
        <w:rPr>
          <w:rFonts w:hint="eastAsia" w:ascii="Times New Roman" w:hAnsi="Times New Roman"/>
          <w:szCs w:val="21"/>
          <w:highlight w:val="none"/>
        </w:rPr>
        <w:t>甲方付款前，乙方需出具</w:t>
      </w:r>
      <w:r>
        <w:rPr>
          <w:highlight w:val="none"/>
          <w:lang w:bidi="ar"/>
        </w:rPr>
        <w:t>合法有效票据及其它相关请款资料</w:t>
      </w:r>
      <w:r>
        <w:rPr>
          <w:rFonts w:hint="eastAsia" w:ascii="Times New Roman" w:hAnsi="Times New Roman"/>
          <w:szCs w:val="21"/>
          <w:highlight w:val="none"/>
        </w:rPr>
        <w:t>，否则甲方有权拒绝支付且不承担任何违约责任，且乙方不得因此停止履约。</w:t>
      </w:r>
    </w:p>
    <w:p w14:paraId="6D9E5AF0">
      <w:pPr>
        <w:pStyle w:val="31"/>
        <w:numPr>
          <w:ilvl w:val="0"/>
          <w:numId w:val="26"/>
        </w:numPr>
        <w:snapToGrid w:val="0"/>
        <w:ind w:left="0" w:firstLine="0" w:firstLineChars="0"/>
        <w:rPr>
          <w:rFonts w:ascii="Times New Roman" w:hAnsi="Times New Roman"/>
          <w:szCs w:val="21"/>
          <w:highlight w:val="none"/>
        </w:rPr>
      </w:pPr>
      <w:r>
        <w:rPr>
          <w:rFonts w:ascii="Times New Roman" w:hAnsi="Times New Roman"/>
          <w:szCs w:val="21"/>
          <w:highlight w:val="none"/>
        </w:rPr>
        <w:t>乙方开票信息</w:t>
      </w:r>
      <w:r>
        <w:rPr>
          <w:rFonts w:hint="eastAsia" w:ascii="Times New Roman" w:hAnsi="Times New Roman"/>
          <w:szCs w:val="21"/>
          <w:highlight w:val="none"/>
        </w:rPr>
        <w:t>中的货物</w:t>
      </w:r>
      <w:r>
        <w:rPr>
          <w:rFonts w:ascii="Times New Roman" w:hAnsi="Times New Roman"/>
          <w:szCs w:val="21"/>
          <w:highlight w:val="none"/>
        </w:rPr>
        <w:t>名称与</w:t>
      </w:r>
      <w:r>
        <w:rPr>
          <w:rFonts w:hint="eastAsia" w:ascii="Times New Roman" w:hAnsi="Times New Roman"/>
          <w:szCs w:val="21"/>
          <w:highlight w:val="none"/>
        </w:rPr>
        <w:t>合同</w:t>
      </w:r>
      <w:r>
        <w:rPr>
          <w:rFonts w:ascii="Times New Roman" w:hAnsi="Times New Roman"/>
          <w:szCs w:val="21"/>
          <w:highlight w:val="none"/>
        </w:rPr>
        <w:t>中</w:t>
      </w:r>
      <w:r>
        <w:rPr>
          <w:rFonts w:hint="eastAsia" w:ascii="Times New Roman" w:hAnsi="Times New Roman"/>
          <w:szCs w:val="21"/>
          <w:highlight w:val="none"/>
        </w:rPr>
        <w:t>货物</w:t>
      </w:r>
      <w:r>
        <w:rPr>
          <w:rFonts w:ascii="Times New Roman" w:hAnsi="Times New Roman"/>
          <w:szCs w:val="21"/>
          <w:highlight w:val="none"/>
        </w:rPr>
        <w:t>名称</w:t>
      </w:r>
      <w:r>
        <w:rPr>
          <w:rFonts w:hint="eastAsia" w:ascii="Times New Roman" w:hAnsi="Times New Roman"/>
          <w:szCs w:val="21"/>
          <w:highlight w:val="none"/>
        </w:rPr>
        <w:t>应</w:t>
      </w:r>
      <w:r>
        <w:rPr>
          <w:rFonts w:ascii="Times New Roman" w:hAnsi="Times New Roman"/>
          <w:szCs w:val="21"/>
          <w:highlight w:val="none"/>
        </w:rPr>
        <w:t>一致。</w:t>
      </w:r>
    </w:p>
    <w:p w14:paraId="6C74C26D">
      <w:pPr>
        <w:pStyle w:val="31"/>
        <w:numPr>
          <w:ilvl w:val="0"/>
          <w:numId w:val="26"/>
        </w:numPr>
        <w:snapToGrid w:val="0"/>
        <w:ind w:left="0" w:firstLine="0" w:firstLineChars="0"/>
        <w:rPr>
          <w:rFonts w:ascii="Times New Roman" w:hAnsi="Times New Roman"/>
          <w:szCs w:val="21"/>
          <w:highlight w:val="none"/>
        </w:rPr>
      </w:pPr>
      <w:r>
        <w:rPr>
          <w:rFonts w:ascii="Times New Roman" w:hAnsi="Times New Roman"/>
          <w:szCs w:val="21"/>
          <w:highlight w:val="none"/>
        </w:rPr>
        <w:t>乙方开票信息应与合同预留账户信息一致</w:t>
      </w:r>
      <w:r>
        <w:rPr>
          <w:rFonts w:hint="eastAsia" w:ascii="Times New Roman" w:hAnsi="Times New Roman"/>
          <w:szCs w:val="21"/>
          <w:highlight w:val="none"/>
        </w:rPr>
        <w:t>，</w:t>
      </w:r>
      <w:r>
        <w:rPr>
          <w:rFonts w:ascii="Times New Roman" w:hAnsi="Times New Roman"/>
          <w:szCs w:val="21"/>
          <w:highlight w:val="none"/>
        </w:rPr>
        <w:t>如有变更，乙方应当在变更后3日内通知甲方</w:t>
      </w:r>
      <w:r>
        <w:rPr>
          <w:rFonts w:hint="eastAsia" w:ascii="Times New Roman" w:hAnsi="Times New Roman"/>
          <w:szCs w:val="21"/>
          <w:highlight w:val="none"/>
        </w:rPr>
        <w:t>，</w:t>
      </w:r>
      <w:r>
        <w:rPr>
          <w:rFonts w:ascii="Times New Roman" w:hAnsi="Times New Roman"/>
          <w:szCs w:val="21"/>
          <w:highlight w:val="none"/>
        </w:rPr>
        <w:t>否则，由此造成的损失由乙方自行承担。</w:t>
      </w:r>
    </w:p>
    <w:p w14:paraId="6EECD110">
      <w:pPr>
        <w:pStyle w:val="31"/>
        <w:numPr>
          <w:ilvl w:val="0"/>
          <w:numId w:val="17"/>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售后服务</w:t>
      </w:r>
    </w:p>
    <w:p w14:paraId="299E1577">
      <w:pPr>
        <w:pStyle w:val="31"/>
        <w:numPr>
          <w:ilvl w:val="0"/>
          <w:numId w:val="27"/>
        </w:numPr>
        <w:snapToGrid w:val="0"/>
        <w:ind w:firstLineChars="0"/>
        <w:rPr>
          <w:rFonts w:ascii="Times New Roman" w:hAnsi="Times New Roman"/>
          <w:szCs w:val="21"/>
          <w:highlight w:val="none"/>
        </w:rPr>
      </w:pPr>
      <w:r>
        <w:rPr>
          <w:rFonts w:ascii="Times New Roman" w:hAnsi="Times New Roman"/>
          <w:szCs w:val="21"/>
          <w:highlight w:val="none"/>
        </w:rPr>
        <w:t>乙方应对甲方工作人员进行培训：***</w:t>
      </w:r>
      <w:r>
        <w:rPr>
          <w:rFonts w:hint="eastAsia" w:ascii="Times New Roman" w:hAnsi="Times New Roman"/>
          <w:i/>
          <w:iCs/>
          <w:szCs w:val="21"/>
          <w:highlight w:val="none"/>
        </w:rPr>
        <w:t>&lt;具体培训内容</w:t>
      </w:r>
      <w:r>
        <w:rPr>
          <w:rFonts w:ascii="Times New Roman" w:hAnsi="Times New Roman"/>
          <w:i/>
          <w:iCs/>
          <w:szCs w:val="21"/>
          <w:highlight w:val="none"/>
        </w:rPr>
        <w:t>可根据项目具体情况编制</w:t>
      </w:r>
      <w:r>
        <w:rPr>
          <w:rFonts w:hint="eastAsia" w:ascii="Times New Roman" w:hAnsi="Times New Roman"/>
          <w:i/>
          <w:iCs/>
          <w:szCs w:val="21"/>
          <w:highlight w:val="none"/>
        </w:rPr>
        <w:t>&gt;</w:t>
      </w:r>
      <w:r>
        <w:rPr>
          <w:rFonts w:ascii="Times New Roman" w:hAnsi="Times New Roman"/>
          <w:highlight w:val="none"/>
        </w:rPr>
        <w:t>。</w:t>
      </w:r>
      <w:r>
        <w:rPr>
          <w:rFonts w:ascii="Times New Roman" w:hAnsi="Times New Roman"/>
          <w:szCs w:val="21"/>
          <w:highlight w:val="none"/>
        </w:rPr>
        <w:t>货物</w:t>
      </w:r>
      <w:r>
        <w:rPr>
          <w:rFonts w:hint="eastAsia" w:ascii="Times New Roman" w:hAnsi="Times New Roman"/>
          <w:szCs w:val="21"/>
          <w:highlight w:val="none"/>
        </w:rPr>
        <w:t>如需</w:t>
      </w:r>
      <w:r>
        <w:rPr>
          <w:rFonts w:ascii="Times New Roman" w:hAnsi="Times New Roman"/>
          <w:szCs w:val="21"/>
          <w:highlight w:val="none"/>
        </w:rPr>
        <w:t>安装调试</w:t>
      </w:r>
      <w:r>
        <w:rPr>
          <w:rFonts w:hint="eastAsia" w:ascii="Times New Roman" w:hAnsi="Times New Roman"/>
          <w:szCs w:val="21"/>
          <w:highlight w:val="none"/>
        </w:rPr>
        <w:t>，</w:t>
      </w:r>
      <w:r>
        <w:rPr>
          <w:rFonts w:ascii="Times New Roman" w:hAnsi="Times New Roman"/>
          <w:szCs w:val="21"/>
          <w:highlight w:val="none"/>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highlight w:val="none"/>
        </w:rPr>
        <w:t>方法</w:t>
      </w:r>
      <w:r>
        <w:rPr>
          <w:rFonts w:ascii="Times New Roman" w:hAnsi="Times New Roman"/>
          <w:szCs w:val="21"/>
          <w:highlight w:val="none"/>
        </w:rPr>
        <w:t>，保证正常运行并能排除一般</w:t>
      </w:r>
      <w:r>
        <w:rPr>
          <w:rFonts w:hint="eastAsia" w:ascii="Times New Roman" w:hAnsi="Times New Roman"/>
          <w:szCs w:val="21"/>
          <w:highlight w:val="none"/>
        </w:rPr>
        <w:t>性</w:t>
      </w:r>
      <w:r>
        <w:rPr>
          <w:rFonts w:ascii="Times New Roman" w:hAnsi="Times New Roman"/>
          <w:szCs w:val="21"/>
          <w:highlight w:val="none"/>
        </w:rPr>
        <w:t>故障。乙方应对</w:t>
      </w:r>
      <w:r>
        <w:rPr>
          <w:rFonts w:hint="eastAsia" w:ascii="Times New Roman" w:hAnsi="Times New Roman"/>
          <w:szCs w:val="21"/>
          <w:highlight w:val="none"/>
        </w:rPr>
        <w:t>甲方</w:t>
      </w:r>
      <w:r>
        <w:rPr>
          <w:rFonts w:ascii="Times New Roman" w:hAnsi="Times New Roman"/>
          <w:szCs w:val="21"/>
          <w:highlight w:val="none"/>
        </w:rPr>
        <w:t>维修工程师进行全系统维修培训。</w:t>
      </w:r>
    </w:p>
    <w:p w14:paraId="2FE71ED0">
      <w:pPr>
        <w:pStyle w:val="31"/>
        <w:numPr>
          <w:ilvl w:val="0"/>
          <w:numId w:val="27"/>
        </w:numPr>
        <w:snapToGrid w:val="0"/>
        <w:ind w:firstLineChars="0"/>
        <w:rPr>
          <w:rFonts w:ascii="Times New Roman" w:hAnsi="Times New Roman"/>
          <w:szCs w:val="21"/>
          <w:highlight w:val="none"/>
        </w:rPr>
      </w:pPr>
      <w:r>
        <w:rPr>
          <w:rFonts w:ascii="Times New Roman" w:hAnsi="Times New Roman"/>
          <w:szCs w:val="21"/>
          <w:highlight w:val="none"/>
        </w:rPr>
        <w:t>质保期为验收合格后 *** 年（合同签订后甲方出具验收报告之日起）</w:t>
      </w:r>
    </w:p>
    <w:p w14:paraId="70F5B121">
      <w:pPr>
        <w:pStyle w:val="31"/>
        <w:numPr>
          <w:ilvl w:val="0"/>
          <w:numId w:val="27"/>
        </w:numPr>
        <w:snapToGrid w:val="0"/>
        <w:ind w:firstLineChars="0"/>
        <w:contextualSpacing/>
        <w:rPr>
          <w:rFonts w:ascii="Times New Roman" w:hAnsi="Times New Roman"/>
          <w:szCs w:val="21"/>
          <w:highlight w:val="none"/>
        </w:rPr>
      </w:pPr>
      <w:r>
        <w:rPr>
          <w:rFonts w:ascii="Times New Roman" w:hAnsi="Times New Roman"/>
          <w:szCs w:val="21"/>
          <w:highlight w:val="none"/>
        </w:rPr>
        <w:t>质保范围：</w:t>
      </w:r>
      <w:r>
        <w:rPr>
          <w:rFonts w:ascii="Times New Roman" w:hAnsi="Times New Roman"/>
          <w:highlight w:val="none"/>
        </w:rPr>
        <w:t>整机含所有部件（质保期内涉及维修,产品更换,人工费用等一切费用包含在本合同总价中</w:t>
      </w:r>
      <w:r>
        <w:rPr>
          <w:rFonts w:hint="eastAsia" w:ascii="Times New Roman" w:hAnsi="Times New Roman"/>
          <w:highlight w:val="none"/>
        </w:rPr>
        <w:t>）</w:t>
      </w:r>
      <w:r>
        <w:rPr>
          <w:rFonts w:ascii="Times New Roman" w:hAnsi="Times New Roman"/>
          <w:highlight w:val="none"/>
        </w:rPr>
        <w:t>。</w:t>
      </w:r>
      <w:r>
        <w:rPr>
          <w:rFonts w:ascii="Times New Roman" w:hAnsi="Times New Roman"/>
          <w:szCs w:val="21"/>
          <w:highlight w:val="none"/>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highlight w:val="none"/>
        </w:rPr>
        <w:t>货物</w:t>
      </w:r>
      <w:r>
        <w:rPr>
          <w:rFonts w:eastAsia="Songti SC"/>
          <w:highlight w:val="none"/>
        </w:rPr>
        <w:t>在质保期内因同一故障</w:t>
      </w:r>
      <w:r>
        <w:rPr>
          <w:rFonts w:ascii="Times New Roman" w:hAnsi="Times New Roman"/>
          <w:szCs w:val="21"/>
          <w:highlight w:val="none"/>
        </w:rPr>
        <w:t>经乙方两次维修仍不能达到本合同约定的</w:t>
      </w:r>
      <w:r>
        <w:rPr>
          <w:rFonts w:hint="eastAsia" w:ascii="Times New Roman" w:hAnsi="Times New Roman"/>
          <w:highlight w:val="none"/>
        </w:rPr>
        <w:t>技术要求及国家法律法规规定的</w:t>
      </w:r>
      <w:r>
        <w:rPr>
          <w:rFonts w:ascii="Times New Roman" w:hAnsi="Times New Roman"/>
          <w:szCs w:val="21"/>
          <w:highlight w:val="none"/>
        </w:rPr>
        <w:t>质量标准，甲方有权采取要求乙方更换全新货物</w:t>
      </w:r>
      <w:r>
        <w:rPr>
          <w:rFonts w:hint="eastAsia" w:ascii="Times New Roman" w:hAnsi="Times New Roman"/>
          <w:szCs w:val="21"/>
          <w:highlight w:val="none"/>
        </w:rPr>
        <w:t>或</w:t>
      </w:r>
      <w:r>
        <w:rPr>
          <w:rFonts w:ascii="Times New Roman" w:hAnsi="Times New Roman"/>
          <w:szCs w:val="21"/>
          <w:highlight w:val="none"/>
        </w:rPr>
        <w:t>退货并追究乙方违约责任等措施。质保期内，如需更换零配件，乙方应保证所更换的零配件与原货物相同规格和品质，费用包括在合同总价中。</w:t>
      </w:r>
    </w:p>
    <w:p w14:paraId="21070830">
      <w:pPr>
        <w:pStyle w:val="31"/>
        <w:numPr>
          <w:ilvl w:val="0"/>
          <w:numId w:val="27"/>
        </w:numPr>
        <w:snapToGrid w:val="0"/>
        <w:ind w:firstLineChars="0"/>
        <w:rPr>
          <w:rFonts w:ascii="Times New Roman" w:hAnsi="Times New Roman"/>
          <w:szCs w:val="21"/>
          <w:highlight w:val="none"/>
        </w:rPr>
      </w:pPr>
      <w:r>
        <w:rPr>
          <w:rFonts w:ascii="Times New Roman" w:hAnsi="Times New Roman"/>
          <w:szCs w:val="21"/>
          <w:highlight w:val="none"/>
        </w:rPr>
        <w:t>乙方须指派专人负责与甲方联系售后服务事宜</w:t>
      </w:r>
      <w:r>
        <w:rPr>
          <w:rFonts w:hint="eastAsia" w:ascii="Times New Roman" w:hAnsi="Times New Roman"/>
          <w:szCs w:val="21"/>
          <w:highlight w:val="none"/>
        </w:rPr>
        <w:t>，</w:t>
      </w:r>
      <w:r>
        <w:rPr>
          <w:rFonts w:ascii="Times New Roman" w:hAnsi="Times New Roman"/>
          <w:szCs w:val="21"/>
          <w:highlight w:val="none"/>
        </w:rPr>
        <w:t>联系人：***</w:t>
      </w:r>
      <w:r>
        <w:rPr>
          <w:rFonts w:hint="eastAsia" w:ascii="Times New Roman" w:hAnsi="Times New Roman"/>
          <w:szCs w:val="21"/>
          <w:highlight w:val="none"/>
        </w:rPr>
        <w:t>，</w:t>
      </w:r>
      <w:r>
        <w:rPr>
          <w:rFonts w:ascii="Times New Roman" w:hAnsi="Times New Roman"/>
          <w:szCs w:val="21"/>
          <w:highlight w:val="none"/>
        </w:rPr>
        <w:t>联系电话：</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szCs w:val="21"/>
          <w:highlight w:val="none"/>
        </w:rPr>
        <w:t>。</w:t>
      </w:r>
    </w:p>
    <w:p w14:paraId="5CB623D6">
      <w:pPr>
        <w:pStyle w:val="31"/>
        <w:numPr>
          <w:ilvl w:val="0"/>
          <w:numId w:val="27"/>
        </w:numPr>
        <w:snapToGrid w:val="0"/>
        <w:ind w:firstLineChars="0"/>
        <w:rPr>
          <w:rFonts w:ascii="Times New Roman" w:hAnsi="Times New Roman"/>
          <w:szCs w:val="21"/>
          <w:highlight w:val="none"/>
        </w:rPr>
      </w:pPr>
      <w:r>
        <w:rPr>
          <w:rFonts w:eastAsia="Songti SC"/>
          <w:highlight w:val="none"/>
        </w:rPr>
        <w:t>质保期内，</w:t>
      </w:r>
      <w:r>
        <w:rPr>
          <w:rFonts w:hint="eastAsia" w:eastAsia="Songti SC"/>
          <w:highlight w:val="none"/>
        </w:rPr>
        <w:t>货物因自身故障导致的</w:t>
      </w:r>
      <w:r>
        <w:rPr>
          <w:rFonts w:eastAsia="Songti SC"/>
          <w:highlight w:val="none"/>
        </w:rPr>
        <w:t>停机率不应超过5%（一年按365天计算），否则</w:t>
      </w:r>
      <w:r>
        <w:rPr>
          <w:rFonts w:hint="eastAsia" w:eastAsia="Songti SC"/>
          <w:highlight w:val="none"/>
        </w:rPr>
        <w:t>乙方</w:t>
      </w:r>
      <w:r>
        <w:rPr>
          <w:rFonts w:eastAsia="Songti SC"/>
          <w:highlight w:val="none"/>
        </w:rPr>
        <w:t>应就超出部分（</w:t>
      </w:r>
      <w:r>
        <w:rPr>
          <w:rFonts w:hint="eastAsia" w:eastAsia="Songti SC"/>
          <w:highlight w:val="none"/>
        </w:rPr>
        <w:t>乙方</w:t>
      </w:r>
      <w:r>
        <w:rPr>
          <w:rFonts w:eastAsia="Songti SC"/>
          <w:highlight w:val="none"/>
        </w:rPr>
        <w:t>已提供备用机并保障</w:t>
      </w:r>
      <w:r>
        <w:rPr>
          <w:rFonts w:hint="eastAsia" w:eastAsia="Songti SC"/>
          <w:highlight w:val="none"/>
        </w:rPr>
        <w:t>甲方</w:t>
      </w:r>
      <w:r>
        <w:rPr>
          <w:rFonts w:eastAsia="Songti SC"/>
          <w:highlight w:val="none"/>
        </w:rPr>
        <w:t>正常使用的时间，不计算为停机时间）按天数向</w:t>
      </w:r>
      <w:r>
        <w:rPr>
          <w:rFonts w:hint="eastAsia" w:eastAsia="Songti SC"/>
          <w:highlight w:val="none"/>
        </w:rPr>
        <w:t>甲方</w:t>
      </w:r>
      <w:r>
        <w:rPr>
          <w:rFonts w:eastAsia="Songti SC"/>
          <w:highlight w:val="none"/>
        </w:rPr>
        <w:t>赔偿经济损失</w:t>
      </w:r>
      <w:r>
        <w:rPr>
          <w:rFonts w:ascii="Times New Roman" w:hAnsi="Times New Roman"/>
          <w:szCs w:val="21"/>
          <w:highlight w:val="none"/>
        </w:rPr>
        <w:t>。</w:t>
      </w:r>
    </w:p>
    <w:p w14:paraId="2B6FBA32">
      <w:pPr>
        <w:pStyle w:val="31"/>
        <w:numPr>
          <w:ilvl w:val="0"/>
          <w:numId w:val="27"/>
        </w:numPr>
        <w:snapToGrid w:val="0"/>
        <w:ind w:firstLineChars="0"/>
        <w:rPr>
          <w:rFonts w:ascii="Times New Roman" w:hAnsi="Times New Roman"/>
          <w:szCs w:val="21"/>
          <w:highlight w:val="none"/>
        </w:rPr>
      </w:pPr>
      <w:r>
        <w:rPr>
          <w:rFonts w:ascii="Times New Roman" w:hAnsi="Times New Roman"/>
          <w:szCs w:val="21"/>
          <w:highlight w:val="none"/>
        </w:rPr>
        <w:t>若货物涉及计算机软件系统的，乙方有义务为甲方此后对货物完全的使用（含维护）提供便利及支持，包括但不限于源代码、密码的提供，乙方不得拒绝或收取额外费用。</w:t>
      </w:r>
    </w:p>
    <w:p w14:paraId="59AA1B01">
      <w:pPr>
        <w:pStyle w:val="31"/>
        <w:numPr>
          <w:ilvl w:val="0"/>
          <w:numId w:val="27"/>
        </w:numPr>
        <w:snapToGrid w:val="0"/>
        <w:ind w:firstLineChars="0"/>
        <w:rPr>
          <w:rFonts w:ascii="Times New Roman" w:hAnsi="Times New Roman"/>
          <w:szCs w:val="21"/>
          <w:highlight w:val="none"/>
        </w:rPr>
      </w:pPr>
      <w:r>
        <w:rPr>
          <w:rFonts w:ascii="Times New Roman" w:hAnsi="Times New Roman"/>
          <w:highlight w:val="none"/>
        </w:rPr>
        <w:t>质保期内，如</w:t>
      </w:r>
      <w:r>
        <w:rPr>
          <w:rFonts w:hint="eastAsia" w:ascii="Times New Roman" w:hAnsi="Times New Roman"/>
          <w:highlight w:val="none"/>
        </w:rPr>
        <w:t>货物</w:t>
      </w:r>
      <w:r>
        <w:rPr>
          <w:rFonts w:ascii="Times New Roman" w:hAnsi="Times New Roman"/>
          <w:highlight w:val="none"/>
        </w:rPr>
        <w:t>因维修无法使用，</w:t>
      </w:r>
      <w:r>
        <w:rPr>
          <w:rFonts w:hint="eastAsia" w:ascii="Times New Roman" w:hAnsi="Times New Roman"/>
          <w:highlight w:val="none"/>
        </w:rPr>
        <w:t>乙方</w:t>
      </w:r>
      <w:r>
        <w:rPr>
          <w:rFonts w:ascii="Times New Roman" w:hAnsi="Times New Roman"/>
          <w:highlight w:val="none"/>
        </w:rPr>
        <w:t>应根据</w:t>
      </w:r>
      <w:r>
        <w:rPr>
          <w:rFonts w:hint="eastAsia" w:ascii="Times New Roman" w:hAnsi="Times New Roman"/>
          <w:highlight w:val="none"/>
        </w:rPr>
        <w:t>甲方</w:t>
      </w:r>
      <w:r>
        <w:rPr>
          <w:rFonts w:ascii="Times New Roman" w:hAnsi="Times New Roman"/>
          <w:highlight w:val="none"/>
        </w:rPr>
        <w:t>需要向</w:t>
      </w:r>
      <w:r>
        <w:rPr>
          <w:rFonts w:hint="eastAsia" w:ascii="Times New Roman" w:hAnsi="Times New Roman"/>
          <w:highlight w:val="none"/>
        </w:rPr>
        <w:t>甲方</w:t>
      </w:r>
      <w:r>
        <w:rPr>
          <w:rFonts w:ascii="Times New Roman" w:hAnsi="Times New Roman"/>
          <w:highlight w:val="none"/>
        </w:rPr>
        <w:t>提供</w:t>
      </w:r>
      <w:r>
        <w:rPr>
          <w:rFonts w:ascii="Times New Roman" w:hAnsi="Times New Roman"/>
          <w:szCs w:val="21"/>
          <w:highlight w:val="none"/>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53AC0F34">
      <w:pPr>
        <w:pStyle w:val="31"/>
        <w:numPr>
          <w:ilvl w:val="0"/>
          <w:numId w:val="27"/>
        </w:numPr>
        <w:snapToGrid w:val="0"/>
        <w:ind w:firstLineChars="0"/>
        <w:rPr>
          <w:rFonts w:ascii="Times New Roman" w:hAnsi="Times New Roman"/>
          <w:szCs w:val="21"/>
          <w:highlight w:val="none"/>
        </w:rPr>
      </w:pPr>
      <w:r>
        <w:rPr>
          <w:rFonts w:ascii="Times New Roman" w:hAnsi="Times New Roman"/>
          <w:szCs w:val="21"/>
          <w:highlight w:val="none"/>
        </w:rPr>
        <w:t>售后服务涉及费用均包含在合同总价中。</w:t>
      </w:r>
    </w:p>
    <w:p w14:paraId="30D3AFE3">
      <w:pPr>
        <w:pStyle w:val="31"/>
        <w:numPr>
          <w:ilvl w:val="0"/>
          <w:numId w:val="27"/>
        </w:numPr>
        <w:snapToGrid w:val="0"/>
        <w:ind w:firstLineChars="0"/>
        <w:rPr>
          <w:rFonts w:ascii="Times New Roman" w:hAnsi="Times New Roman"/>
          <w:szCs w:val="21"/>
          <w:highlight w:val="none"/>
        </w:rPr>
      </w:pPr>
      <w:r>
        <w:rPr>
          <w:rFonts w:ascii="Times New Roman" w:hAnsi="Times New Roman"/>
          <w:szCs w:val="21"/>
          <w:highlight w:val="none"/>
        </w:rPr>
        <w:t>质保期外，若出现停机或不能使用等故障，乙方</w:t>
      </w:r>
      <w:r>
        <w:rPr>
          <w:rFonts w:hint="eastAsia" w:ascii="Times New Roman" w:hAnsi="Times New Roman"/>
          <w:szCs w:val="21"/>
          <w:highlight w:val="none"/>
        </w:rPr>
        <w:t>应</w:t>
      </w:r>
      <w:r>
        <w:rPr>
          <w:rFonts w:ascii="Times New Roman" w:hAnsi="Times New Roman"/>
          <w:szCs w:val="21"/>
          <w:highlight w:val="none"/>
        </w:rPr>
        <w:t>按维修响应要求</w:t>
      </w:r>
      <w:r>
        <w:rPr>
          <w:rFonts w:hint="eastAsia" w:ascii="Times New Roman" w:hAnsi="Times New Roman"/>
          <w:szCs w:val="21"/>
          <w:highlight w:val="none"/>
        </w:rPr>
        <w:t>提供相应的技术支持提供，</w:t>
      </w:r>
      <w:r>
        <w:rPr>
          <w:rFonts w:ascii="Times New Roman" w:hAnsi="Times New Roman"/>
          <w:szCs w:val="21"/>
          <w:highlight w:val="none"/>
        </w:rPr>
        <w:t>如乙方未能按上述约定及时履行维修义务，甲方有权按实际经济损失要求赔偿并追究相应的法律责任。</w:t>
      </w:r>
    </w:p>
    <w:p w14:paraId="0FEC9180">
      <w:pPr>
        <w:pStyle w:val="31"/>
        <w:numPr>
          <w:ilvl w:val="0"/>
          <w:numId w:val="27"/>
        </w:numPr>
        <w:snapToGrid w:val="0"/>
        <w:ind w:firstLineChars="0"/>
        <w:rPr>
          <w:rFonts w:ascii="Times New Roman" w:hAnsi="Times New Roman"/>
          <w:szCs w:val="21"/>
          <w:highlight w:val="none"/>
        </w:rPr>
      </w:pPr>
      <w:r>
        <w:rPr>
          <w:rFonts w:ascii="Times New Roman" w:hAnsi="Times New Roman"/>
          <w:szCs w:val="21"/>
          <w:highlight w:val="none"/>
        </w:rPr>
        <w:tab/>
      </w:r>
      <w:r>
        <w:rPr>
          <w:rFonts w:ascii="Times New Roman" w:hAnsi="Times New Roman"/>
          <w:szCs w:val="21"/>
          <w:highlight w:val="none"/>
        </w:rPr>
        <w:t>因乙方原因不能够达到上述货物质保及售后服务的约定，按甲方实际</w:t>
      </w:r>
      <w:r>
        <w:rPr>
          <w:rFonts w:hint="eastAsia" w:ascii="Times New Roman" w:hAnsi="Times New Roman"/>
          <w:szCs w:val="21"/>
          <w:highlight w:val="none"/>
        </w:rPr>
        <w:t>无法使用货物的</w:t>
      </w:r>
      <w:r>
        <w:rPr>
          <w:rFonts w:ascii="Times New Roman" w:hAnsi="Times New Roman"/>
          <w:szCs w:val="21"/>
          <w:highlight w:val="none"/>
        </w:rPr>
        <w:t>天数自动延长其质保期,甲方有权延后</w:t>
      </w:r>
      <w:r>
        <w:rPr>
          <w:rFonts w:hint="eastAsia" w:ascii="Times New Roman" w:hAnsi="Times New Roman"/>
          <w:szCs w:val="21"/>
          <w:highlight w:val="none"/>
        </w:rPr>
        <w:t>履约保证金</w:t>
      </w:r>
      <w:r>
        <w:rPr>
          <w:rFonts w:ascii="Times New Roman" w:hAnsi="Times New Roman"/>
          <w:szCs w:val="21"/>
          <w:highlight w:val="none"/>
        </w:rPr>
        <w:t>的</w:t>
      </w:r>
      <w:r>
        <w:rPr>
          <w:rFonts w:hint="eastAsia" w:ascii="Times New Roman" w:hAnsi="Times New Roman"/>
          <w:szCs w:val="21"/>
          <w:highlight w:val="none"/>
        </w:rPr>
        <w:t>退还</w:t>
      </w:r>
      <w:r>
        <w:rPr>
          <w:rFonts w:ascii="Times New Roman" w:hAnsi="Times New Roman"/>
          <w:szCs w:val="21"/>
          <w:highlight w:val="none"/>
        </w:rPr>
        <w:t>时间，并追究乙方因此引发的相应的法律责任。</w:t>
      </w:r>
    </w:p>
    <w:p w14:paraId="39CDA32B">
      <w:pPr>
        <w:pStyle w:val="31"/>
        <w:numPr>
          <w:ilvl w:val="0"/>
          <w:numId w:val="17"/>
        </w:numPr>
        <w:snapToGrid w:val="0"/>
        <w:ind w:left="0" w:firstLine="0" w:firstLineChars="0"/>
        <w:rPr>
          <w:rFonts w:ascii="Times New Roman" w:hAnsi="Times New Roman"/>
          <w:b/>
          <w:bCs/>
          <w:szCs w:val="21"/>
          <w:highlight w:val="none"/>
        </w:rPr>
      </w:pPr>
      <w:r>
        <w:rPr>
          <w:rFonts w:hint="eastAsia" w:ascii="Times New Roman" w:hAnsi="Times New Roman"/>
          <w:b/>
          <w:bCs/>
          <w:szCs w:val="21"/>
          <w:highlight w:val="none"/>
        </w:rPr>
        <w:t>双方的权利和义务</w:t>
      </w:r>
    </w:p>
    <w:p w14:paraId="759D6146">
      <w:pPr>
        <w:pStyle w:val="31"/>
        <w:numPr>
          <w:ilvl w:val="0"/>
          <w:numId w:val="28"/>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甲方的权利和义务：</w:t>
      </w:r>
    </w:p>
    <w:p w14:paraId="7143CE6C">
      <w:pPr>
        <w:pStyle w:val="31"/>
        <w:numPr>
          <w:ilvl w:val="0"/>
          <w:numId w:val="29"/>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甲方有权获得乙方所提供的货物、服务及相关知识产权。</w:t>
      </w:r>
    </w:p>
    <w:p w14:paraId="0E858EAA">
      <w:pPr>
        <w:pStyle w:val="31"/>
        <w:numPr>
          <w:ilvl w:val="0"/>
          <w:numId w:val="29"/>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甲方有权及时了解和监督乙方备货的进展情况。</w:t>
      </w:r>
    </w:p>
    <w:p w14:paraId="491319E4">
      <w:pPr>
        <w:pStyle w:val="31"/>
        <w:numPr>
          <w:ilvl w:val="0"/>
          <w:numId w:val="29"/>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甲方应向乙方提供完成货物安装、调试等所必需的资料和工作条件。</w:t>
      </w:r>
    </w:p>
    <w:p w14:paraId="11047619">
      <w:pPr>
        <w:pStyle w:val="31"/>
        <w:numPr>
          <w:ilvl w:val="0"/>
          <w:numId w:val="29"/>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甲方应按照合同约定向乙方支付合同价款。</w:t>
      </w:r>
    </w:p>
    <w:p w14:paraId="2F93672D">
      <w:pPr>
        <w:pStyle w:val="31"/>
        <w:numPr>
          <w:ilvl w:val="0"/>
          <w:numId w:val="28"/>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乙方的权利和义务：</w:t>
      </w:r>
    </w:p>
    <w:p w14:paraId="79458FD1">
      <w:pPr>
        <w:pStyle w:val="31"/>
        <w:numPr>
          <w:ilvl w:val="0"/>
          <w:numId w:val="3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乙方有权按照本合同约定收取合同价款。</w:t>
      </w:r>
    </w:p>
    <w:p w14:paraId="0B1DFA61">
      <w:pPr>
        <w:pStyle w:val="31"/>
        <w:numPr>
          <w:ilvl w:val="0"/>
          <w:numId w:val="30"/>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乙方有权要求甲方提供货物安装、调试所必需的资料和工作条件。</w:t>
      </w:r>
    </w:p>
    <w:p w14:paraId="11977579">
      <w:pPr>
        <w:pStyle w:val="31"/>
        <w:numPr>
          <w:ilvl w:val="0"/>
          <w:numId w:val="3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乙方应派遣身体健康、有相关工作经验和相应技能的技术人员到甲方现场并提供安装、调试、测试、试运行、维护及培训等技术服务，该技术服务费用包括在本合同总价内。</w:t>
      </w:r>
    </w:p>
    <w:p w14:paraId="472A8B20">
      <w:pPr>
        <w:pStyle w:val="31"/>
        <w:numPr>
          <w:ilvl w:val="0"/>
          <w:numId w:val="3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1C328808">
      <w:pPr>
        <w:pStyle w:val="31"/>
        <w:numPr>
          <w:ilvl w:val="0"/>
          <w:numId w:val="3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13969181">
      <w:pPr>
        <w:pStyle w:val="31"/>
        <w:numPr>
          <w:ilvl w:val="0"/>
          <w:numId w:val="3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乙方保证其所交付的货物不存在任何权利瑕疵，如任何第三方就乙方交付的货物向甲方提起侵权索赔，乙方应负责与第三方交涉，并承担由此引起的一切法律责任，相关费用由乙方承担。</w:t>
      </w:r>
    </w:p>
    <w:p w14:paraId="6BFE5CF5">
      <w:pPr>
        <w:pStyle w:val="31"/>
        <w:numPr>
          <w:ilvl w:val="0"/>
          <w:numId w:val="30"/>
        </w:numPr>
        <w:snapToGrid w:val="0"/>
        <w:ind w:left="525" w:hanging="525" w:hangingChars="250"/>
        <w:rPr>
          <w:rFonts w:ascii="Times New Roman" w:hAnsi="Times New Roman"/>
          <w:szCs w:val="21"/>
          <w:highlight w:val="none"/>
        </w:rPr>
      </w:pPr>
      <w:r>
        <w:rPr>
          <w:rFonts w:hint="eastAsia" w:ascii="Times New Roman" w:hAnsi="Times New Roman"/>
          <w:szCs w:val="21"/>
          <w:highlight w:val="none"/>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253DDFE8">
      <w:pPr>
        <w:pStyle w:val="31"/>
        <w:numPr>
          <w:ilvl w:val="0"/>
          <w:numId w:val="30"/>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乙方对依照本合同向甲方提供的货物在安装、调试、使用、维修、保养等过程中所获得的所有数据及甲方商业秘密或其它技术及经营信息均负有保密义务，不得向任何第三方透露或泄露。</w:t>
      </w:r>
    </w:p>
    <w:p w14:paraId="7F22ED62">
      <w:pPr>
        <w:pStyle w:val="31"/>
        <w:numPr>
          <w:ilvl w:val="0"/>
          <w:numId w:val="17"/>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违约责任</w:t>
      </w:r>
      <w:r>
        <w:rPr>
          <w:rFonts w:hint="eastAsia" w:ascii="Times New Roman" w:hAnsi="Times New Roman"/>
          <w:i/>
          <w:iCs/>
          <w:szCs w:val="21"/>
          <w:highlight w:val="none"/>
        </w:rPr>
        <w:t>&lt;本条款中违约金比例可根据项目实际情况确定&gt;</w:t>
      </w:r>
    </w:p>
    <w:p w14:paraId="7505AE11">
      <w:pPr>
        <w:pStyle w:val="31"/>
        <w:snapToGrid w:val="0"/>
        <w:ind w:firstLine="0" w:firstLineChars="0"/>
        <w:rPr>
          <w:rFonts w:ascii="Times New Roman" w:hAnsi="Times New Roman"/>
          <w:szCs w:val="21"/>
          <w:highlight w:val="none"/>
        </w:rPr>
      </w:pPr>
      <w:r>
        <w:rPr>
          <w:rFonts w:ascii="Times New Roman" w:hAnsi="Times New Roman"/>
          <w:szCs w:val="21"/>
          <w:highlight w:val="none"/>
        </w:rPr>
        <w:t>1.甲方违约责任：甲方无正当理由拒收货物的，甲方应偿付合同总</w:t>
      </w:r>
      <w:r>
        <w:rPr>
          <w:rFonts w:hint="eastAsia" w:ascii="Times New Roman" w:hAnsi="Times New Roman"/>
          <w:szCs w:val="21"/>
          <w:highlight w:val="none"/>
        </w:rPr>
        <w:t>金额的</w:t>
      </w:r>
      <w:r>
        <w:rPr>
          <w:rFonts w:hint="eastAsia" w:ascii="Times New Roman" w:hAnsi="Times New Roman"/>
          <w:szCs w:val="21"/>
          <w:highlight w:val="none"/>
          <w:u w:val="single"/>
        </w:rPr>
        <w:t>1</w:t>
      </w:r>
      <w:r>
        <w:rPr>
          <w:rFonts w:ascii="Times New Roman" w:hAnsi="Times New Roman"/>
          <w:szCs w:val="21"/>
          <w:highlight w:val="none"/>
          <w:u w:val="single"/>
        </w:rPr>
        <w:t>0%</w:t>
      </w:r>
      <w:r>
        <w:rPr>
          <w:rFonts w:hint="eastAsia" w:ascii="Times New Roman" w:hAnsi="Times New Roman"/>
          <w:szCs w:val="21"/>
          <w:highlight w:val="none"/>
        </w:rPr>
        <w:t>作为</w:t>
      </w:r>
      <w:r>
        <w:rPr>
          <w:rFonts w:ascii="Times New Roman" w:hAnsi="Times New Roman"/>
          <w:szCs w:val="21"/>
          <w:highlight w:val="none"/>
        </w:rPr>
        <w:t>违约金。</w:t>
      </w:r>
    </w:p>
    <w:p w14:paraId="4562B0DA">
      <w:pPr>
        <w:pStyle w:val="31"/>
        <w:snapToGrid w:val="0"/>
        <w:ind w:firstLine="0" w:firstLineChars="0"/>
        <w:rPr>
          <w:rFonts w:ascii="Times New Roman" w:hAnsi="Times New Roman"/>
          <w:szCs w:val="21"/>
          <w:highlight w:val="none"/>
        </w:rPr>
      </w:pPr>
      <w:r>
        <w:rPr>
          <w:rFonts w:ascii="Times New Roman" w:hAnsi="Times New Roman"/>
          <w:szCs w:val="21"/>
          <w:highlight w:val="none"/>
        </w:rPr>
        <w:t>2.乙方违约责任：</w:t>
      </w:r>
    </w:p>
    <w:p w14:paraId="6AD79CB9">
      <w:pPr>
        <w:pStyle w:val="31"/>
        <w:numPr>
          <w:ilvl w:val="0"/>
          <w:numId w:val="31"/>
        </w:numPr>
        <w:snapToGrid w:val="0"/>
        <w:ind w:left="525" w:hanging="525" w:hangingChars="250"/>
        <w:rPr>
          <w:rFonts w:ascii="Times New Roman" w:hAnsi="Times New Roman"/>
          <w:szCs w:val="21"/>
        </w:rPr>
      </w:pPr>
      <w:r>
        <w:rPr>
          <w:rFonts w:hint="eastAsia" w:ascii="Times New Roman" w:hAnsi="Times New Roman"/>
          <w:szCs w:val="21"/>
          <w:highlight w:val="none"/>
        </w:rPr>
        <w:t>乙方拒绝交付货物，或交付的货物经两次验收仍不符合本合同约定的验收标准，甲方有权解除合同，乙方须向甲方支付合同总金额的</w:t>
      </w:r>
      <w:r>
        <w:rPr>
          <w:rFonts w:hint="eastAsia" w:ascii="Times New Roman" w:hAnsi="Times New Roman"/>
          <w:szCs w:val="21"/>
          <w:highlight w:val="none"/>
          <w:u w:val="single"/>
        </w:rPr>
        <w:t>10</w:t>
      </w:r>
      <w:r>
        <w:rPr>
          <w:rFonts w:hint="eastAsia" w:ascii="Times New Roman" w:hAnsi="Times New Roman"/>
          <w:szCs w:val="21"/>
          <w:highlight w:val="none"/>
        </w:rPr>
        <w:t>%作为违约金，并承担其它相应</w:t>
      </w:r>
      <w:r>
        <w:rPr>
          <w:rFonts w:hint="eastAsia" w:ascii="Times New Roman" w:hAnsi="Times New Roman"/>
          <w:szCs w:val="21"/>
        </w:rPr>
        <w:t>的经济损失，</w:t>
      </w:r>
    </w:p>
    <w:p w14:paraId="61C8E82C">
      <w:pPr>
        <w:pStyle w:val="31"/>
        <w:numPr>
          <w:ilvl w:val="0"/>
          <w:numId w:val="31"/>
        </w:numPr>
        <w:snapToGrid w:val="0"/>
        <w:ind w:left="525" w:hanging="525" w:hangingChars="25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因同一故障经乙方两次维修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w:t>
      </w:r>
      <w:r>
        <w:rPr>
          <w:rFonts w:hint="eastAsia" w:ascii="Times New Roman" w:hAnsi="Times New Roman"/>
          <w:szCs w:val="21"/>
        </w:rPr>
        <w:t>金额</w:t>
      </w:r>
      <w:r>
        <w:rPr>
          <w:rFonts w:ascii="Times New Roman" w:hAnsi="Times New Roman"/>
          <w:szCs w:val="21"/>
        </w:rPr>
        <w:t>的</w:t>
      </w:r>
      <w:r>
        <w:rPr>
          <w:rFonts w:hint="eastAsia" w:ascii="Times New Roman" w:hAnsi="Times New Roman"/>
          <w:szCs w:val="21"/>
          <w:u w:val="single"/>
        </w:rPr>
        <w:t>10</w:t>
      </w:r>
      <w:r>
        <w:rPr>
          <w:rFonts w:ascii="Times New Roman" w:hAnsi="Times New Roman"/>
          <w:szCs w:val="21"/>
        </w:rPr>
        <w:t>%向甲方支付违约金。</w:t>
      </w:r>
    </w:p>
    <w:p w14:paraId="4FDA935D">
      <w:pPr>
        <w:pStyle w:val="31"/>
        <w:numPr>
          <w:ilvl w:val="0"/>
          <w:numId w:val="31"/>
        </w:numPr>
        <w:snapToGrid w:val="0"/>
        <w:ind w:left="525" w:hanging="525" w:hangingChars="250"/>
        <w:rPr>
          <w:rFonts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一天，须向甲方支付合同总</w:t>
      </w:r>
      <w:r>
        <w:rPr>
          <w:rFonts w:hint="eastAsia" w:ascii="Times New Roman" w:hAnsi="Times New Roman"/>
          <w:szCs w:val="21"/>
        </w:rPr>
        <w:t>金额的</w:t>
      </w:r>
      <w:r>
        <w:rPr>
          <w:rFonts w:hint="eastAsia"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hint="eastAsia" w:ascii="Times New Roman" w:hAnsi="Times New Roman"/>
          <w:szCs w:val="21"/>
          <w:u w:val="single"/>
        </w:rPr>
        <w:t>10</w:t>
      </w:r>
      <w:r>
        <w:rPr>
          <w:rFonts w:ascii="Times New Roman" w:hAnsi="Times New Roman"/>
          <w:szCs w:val="21"/>
        </w:rPr>
        <w:t>天，甲方有权</w:t>
      </w:r>
      <w:r>
        <w:rPr>
          <w:rFonts w:hint="eastAsia" w:ascii="Times New Roman" w:hAnsi="Times New Roman"/>
          <w:szCs w:val="21"/>
        </w:rPr>
        <w:t>单方面解除</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w:t>
      </w:r>
    </w:p>
    <w:p w14:paraId="11F6E89C">
      <w:pPr>
        <w:pStyle w:val="31"/>
        <w:numPr>
          <w:ilvl w:val="0"/>
          <w:numId w:val="31"/>
        </w:numPr>
        <w:snapToGrid w:val="0"/>
        <w:ind w:left="525" w:hanging="525" w:hangingChars="250"/>
        <w:rPr>
          <w:rFonts w:ascii="Times New Roman" w:hAnsi="Times New Roman"/>
          <w:szCs w:val="21"/>
        </w:rPr>
      </w:pPr>
      <w:bookmarkStart w:id="36" w:name="OLE_LINK18"/>
      <w:bookmarkStart w:id="37" w:name="OLE_LINK17"/>
      <w:r>
        <w:rPr>
          <w:rFonts w:hint="eastAsia" w:ascii="Times New Roman" w:hAnsi="Times New Roman"/>
          <w:szCs w:val="21"/>
        </w:rPr>
        <w:t>乙方未按合同约定及时履行培训及维护义务时，每发生一次，乙方应按合同总金额的</w:t>
      </w:r>
      <w:r>
        <w:rPr>
          <w:rFonts w:hint="eastAsia" w:ascii="Times New Roman" w:hAnsi="Times New Roman"/>
          <w:szCs w:val="21"/>
          <w:u w:val="single"/>
        </w:rPr>
        <w:t>***</w:t>
      </w:r>
      <w:r>
        <w:rPr>
          <w:rFonts w:hint="eastAsia" w:ascii="Times New Roman" w:hAnsi="Times New Roman"/>
          <w:szCs w:val="21"/>
        </w:rPr>
        <w:t>‰向甲方支付违约金，乙方支付违约金的同时，仍有义务对甲方进行培训及对货物进行维护。</w:t>
      </w:r>
    </w:p>
    <w:p w14:paraId="37D1AC1D">
      <w:pPr>
        <w:pStyle w:val="31"/>
        <w:numPr>
          <w:ilvl w:val="0"/>
          <w:numId w:val="31"/>
        </w:numPr>
        <w:snapToGrid w:val="0"/>
        <w:ind w:left="525" w:hanging="525" w:hangingChars="25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作为违</w:t>
      </w:r>
      <w:r>
        <w:rPr>
          <w:rFonts w:ascii="Times New Roman" w:hAnsi="Times New Roman"/>
          <w:szCs w:val="21"/>
        </w:rPr>
        <w:t>约金。</w:t>
      </w:r>
    </w:p>
    <w:bookmarkEnd w:id="36"/>
    <w:bookmarkEnd w:id="37"/>
    <w:p w14:paraId="4ABAA2D2">
      <w:pPr>
        <w:pStyle w:val="31"/>
        <w:numPr>
          <w:ilvl w:val="0"/>
          <w:numId w:val="31"/>
        </w:numPr>
        <w:snapToGrid w:val="0"/>
        <w:ind w:left="525" w:hanging="525" w:hangingChars="25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14:paraId="62C91416">
      <w:pPr>
        <w:pStyle w:val="31"/>
        <w:numPr>
          <w:ilvl w:val="0"/>
          <w:numId w:val="31"/>
        </w:numPr>
        <w:snapToGrid w:val="0"/>
        <w:ind w:left="525" w:hanging="525" w:hangingChars="250"/>
        <w:rPr>
          <w:rFonts w:ascii="Times New Roman" w:hAnsi="Times New Roman"/>
          <w:szCs w:val="21"/>
        </w:rPr>
      </w:pPr>
      <w:r>
        <w:rPr>
          <w:rFonts w:ascii="Times New Roman" w:hAnsi="Times New Roman"/>
          <w:szCs w:val="21"/>
        </w:rPr>
        <w:t>乙方</w:t>
      </w:r>
      <w:r>
        <w:rPr>
          <w:rFonts w:hint="eastAsia" w:ascii="Times New Roman" w:hAnsi="Times New Roman"/>
          <w:szCs w:val="21"/>
        </w:rPr>
        <w:t>交付货物因</w:t>
      </w:r>
      <w:r>
        <w:rPr>
          <w:rFonts w:ascii="Times New Roman" w:hAnsi="Times New Roman"/>
          <w:szCs w:val="21"/>
        </w:rPr>
        <w:t>质量问题导致甲方及第三方人身、财产损失的，乙方承担由此造成的全部法律责任。</w:t>
      </w:r>
    </w:p>
    <w:p w14:paraId="494DA30C">
      <w:pPr>
        <w:pStyle w:val="31"/>
        <w:numPr>
          <w:ilvl w:val="0"/>
          <w:numId w:val="31"/>
        </w:numPr>
        <w:snapToGrid w:val="0"/>
        <w:ind w:left="525" w:hanging="525" w:hangingChars="25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14:paraId="5EC76FF8">
      <w:pPr>
        <w:pStyle w:val="31"/>
        <w:numPr>
          <w:ilvl w:val="0"/>
          <w:numId w:val="31"/>
        </w:numPr>
        <w:snapToGrid w:val="0"/>
        <w:ind w:left="525" w:hanging="525" w:hangingChars="25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p>
    <w:p w14:paraId="28A3AEA0">
      <w:pPr>
        <w:pStyle w:val="31"/>
        <w:numPr>
          <w:ilvl w:val="0"/>
          <w:numId w:val="31"/>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6B4AA044">
      <w:pPr>
        <w:pStyle w:val="31"/>
        <w:snapToGrid w:val="0"/>
        <w:ind w:firstLine="0" w:firstLineChars="0"/>
        <w:rPr>
          <w:rFonts w:hint="eastAsia"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14:paraId="7F3E3DBB">
      <w:pPr>
        <w:pStyle w:val="31"/>
        <w:numPr>
          <w:ilvl w:val="0"/>
          <w:numId w:val="17"/>
        </w:numPr>
        <w:snapToGrid w:val="0"/>
        <w:ind w:left="0" w:firstLine="0" w:firstLineChars="0"/>
        <w:rPr>
          <w:rFonts w:ascii="Times New Roman" w:hAnsi="Times New Roman"/>
          <w:b/>
          <w:bCs/>
          <w:szCs w:val="21"/>
        </w:rPr>
      </w:pPr>
      <w:r>
        <w:rPr>
          <w:rFonts w:ascii="Times New Roman" w:hAnsi="Times New Roman"/>
          <w:b/>
          <w:bCs/>
          <w:szCs w:val="21"/>
        </w:rPr>
        <w:t>不可抗力</w:t>
      </w:r>
    </w:p>
    <w:p w14:paraId="2CA0C9F4">
      <w:pPr>
        <w:pStyle w:val="31"/>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rPr>
        <w:t>日</w:t>
      </w:r>
      <w:r>
        <w:rPr>
          <w:rFonts w:ascii="Times New Roman" w:hAnsi="Times New Roman"/>
          <w:bCs/>
          <w:szCs w:val="21"/>
        </w:rPr>
        <w:t>，甲方有权解除合同，双方互不承担违约责任。</w:t>
      </w:r>
    </w:p>
    <w:p w14:paraId="3D5FBAC0">
      <w:pPr>
        <w:pStyle w:val="31"/>
        <w:numPr>
          <w:ilvl w:val="0"/>
          <w:numId w:val="17"/>
        </w:numPr>
        <w:snapToGrid w:val="0"/>
        <w:ind w:left="0" w:firstLine="0" w:firstLineChars="0"/>
        <w:rPr>
          <w:rFonts w:ascii="Times New Roman" w:hAnsi="Times New Roman"/>
          <w:b/>
          <w:bCs/>
          <w:szCs w:val="21"/>
        </w:rPr>
      </w:pPr>
      <w:r>
        <w:rPr>
          <w:rFonts w:ascii="Times New Roman" w:hAnsi="Times New Roman"/>
          <w:b/>
          <w:bCs/>
          <w:szCs w:val="21"/>
        </w:rPr>
        <w:t>争议解决办法</w:t>
      </w:r>
    </w:p>
    <w:p w14:paraId="4D3110D6">
      <w:pPr>
        <w:pStyle w:val="31"/>
        <w:numPr>
          <w:ilvl w:val="0"/>
          <w:numId w:val="32"/>
        </w:numPr>
        <w:snapToGrid w:val="0"/>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货物</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14:paraId="07DD9CF8">
      <w:pPr>
        <w:pStyle w:val="31"/>
        <w:numPr>
          <w:ilvl w:val="0"/>
          <w:numId w:val="32"/>
        </w:numPr>
        <w:snapToGrid w:val="0"/>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14:paraId="71261C15">
      <w:pPr>
        <w:pStyle w:val="31"/>
        <w:numPr>
          <w:ilvl w:val="0"/>
          <w:numId w:val="17"/>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14:paraId="7E875E6F">
      <w:pPr>
        <w:pStyle w:val="49"/>
        <w:numPr>
          <w:ilvl w:val="0"/>
          <w:numId w:val="33"/>
        </w:numPr>
        <w:snapToGrid w:val="0"/>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5C258B50">
      <w:pPr>
        <w:pStyle w:val="49"/>
        <w:numPr>
          <w:ilvl w:val="0"/>
          <w:numId w:val="33"/>
        </w:numPr>
        <w:snapToGrid w:val="0"/>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14:paraId="22CD2859">
      <w:pPr>
        <w:pStyle w:val="49"/>
        <w:numPr>
          <w:ilvl w:val="0"/>
          <w:numId w:val="33"/>
        </w:numPr>
        <w:snapToGrid w:val="0"/>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7D771F9">
      <w:pPr>
        <w:pStyle w:val="31"/>
        <w:numPr>
          <w:ilvl w:val="0"/>
          <w:numId w:val="17"/>
        </w:numPr>
        <w:snapToGrid w:val="0"/>
        <w:ind w:left="0" w:firstLine="0" w:firstLineChars="0"/>
        <w:rPr>
          <w:rFonts w:ascii="Times New Roman" w:hAnsi="Times New Roman"/>
          <w:b/>
          <w:bCs/>
          <w:szCs w:val="21"/>
        </w:rPr>
      </w:pPr>
      <w:r>
        <w:rPr>
          <w:rFonts w:ascii="Times New Roman" w:hAnsi="Times New Roman"/>
          <w:b/>
          <w:bCs/>
          <w:szCs w:val="21"/>
        </w:rPr>
        <w:t>其他</w:t>
      </w:r>
    </w:p>
    <w:p w14:paraId="62850EA5">
      <w:pPr>
        <w:pStyle w:val="31"/>
        <w:numPr>
          <w:ilvl w:val="0"/>
          <w:numId w:val="34"/>
        </w:numPr>
        <w:snapToGrid w:val="0"/>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14:paraId="1C1D1013">
      <w:pPr>
        <w:pStyle w:val="31"/>
        <w:numPr>
          <w:ilvl w:val="0"/>
          <w:numId w:val="34"/>
        </w:numPr>
        <w:snapToGrid w:val="0"/>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rPr>
        <w:t>四</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之日起生效。甲方三份，乙方一份。</w:t>
      </w:r>
    </w:p>
    <w:p w14:paraId="3C23FA01">
      <w:pPr>
        <w:pStyle w:val="31"/>
        <w:numPr>
          <w:ilvl w:val="0"/>
          <w:numId w:val="17"/>
        </w:numPr>
        <w:snapToGrid w:val="0"/>
        <w:ind w:left="0" w:firstLine="0" w:firstLineChars="0"/>
        <w:rPr>
          <w:rFonts w:ascii="Times New Roman" w:hAnsi="Times New Roman"/>
          <w:b/>
          <w:bCs/>
          <w:szCs w:val="21"/>
        </w:rPr>
      </w:pPr>
      <w:r>
        <w:rPr>
          <w:rFonts w:ascii="Times New Roman" w:hAnsi="Times New Roman"/>
          <w:b/>
          <w:bCs/>
          <w:szCs w:val="21"/>
        </w:rPr>
        <w:t>合同附件</w:t>
      </w:r>
    </w:p>
    <w:p w14:paraId="4FE96295">
      <w:pPr>
        <w:snapToGrid w:val="0"/>
        <w:rPr>
          <w:rFonts w:ascii="Times New Roman" w:hAnsi="Times New Roman"/>
          <w:szCs w:val="21"/>
        </w:rPr>
      </w:pPr>
      <w:r>
        <w:rPr>
          <w:rFonts w:ascii="Times New Roman" w:hAnsi="Times New Roman"/>
          <w:szCs w:val="21"/>
        </w:rPr>
        <w:t>附件1：配置清单</w:t>
      </w:r>
    </w:p>
    <w:p w14:paraId="09B3E4B4">
      <w:pPr>
        <w:snapToGrid w:val="0"/>
        <w:jc w:val="left"/>
        <w:rPr>
          <w:rFonts w:ascii="Times New Roman" w:hAnsi="Times New Roman"/>
          <w:szCs w:val="21"/>
        </w:rPr>
      </w:pPr>
      <w:r>
        <w:rPr>
          <w:rFonts w:ascii="Times New Roman" w:hAnsi="Times New Roman"/>
          <w:szCs w:val="21"/>
        </w:rPr>
        <w:t>附件2：</w:t>
      </w:r>
      <w:r>
        <w:rPr>
          <w:rFonts w:hint="eastAsia" w:ascii="Times New Roman" w:hAnsi="Times New Roman"/>
          <w:szCs w:val="21"/>
        </w:rPr>
        <w:t>货物</w:t>
      </w:r>
      <w:r>
        <w:rPr>
          <w:rFonts w:ascii="Times New Roman" w:hAnsi="Times New Roman"/>
          <w:szCs w:val="21"/>
        </w:rPr>
        <w:t>技术参数</w:t>
      </w:r>
    </w:p>
    <w:p w14:paraId="0B9D4A16">
      <w:pPr>
        <w:jc w:val="center"/>
        <w:rPr>
          <w:rFonts w:ascii="Times New Roman" w:hAnsi="Times New Roman"/>
          <w:szCs w:val="21"/>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4"/>
        <w:tblW w:w="5000" w:type="pct"/>
        <w:jc w:val="center"/>
        <w:tblLayout w:type="autofit"/>
        <w:tblCellMar>
          <w:top w:w="0" w:type="dxa"/>
          <w:left w:w="0" w:type="dxa"/>
          <w:bottom w:w="0" w:type="dxa"/>
          <w:right w:w="0" w:type="dxa"/>
        </w:tblCellMar>
      </w:tblPr>
      <w:tblGrid>
        <w:gridCol w:w="4962"/>
        <w:gridCol w:w="5242"/>
      </w:tblGrid>
      <w:tr w14:paraId="3BDDD0C2">
        <w:tblPrEx>
          <w:tblCellMar>
            <w:top w:w="0" w:type="dxa"/>
            <w:left w:w="0" w:type="dxa"/>
            <w:bottom w:w="0" w:type="dxa"/>
            <w:right w:w="0" w:type="dxa"/>
          </w:tblCellMar>
        </w:tblPrEx>
        <w:trPr>
          <w:trHeight w:val="519" w:hRule="atLeast"/>
          <w:jc w:val="center"/>
        </w:trPr>
        <w:tc>
          <w:tcPr>
            <w:tcW w:w="10214" w:type="dxa"/>
            <w:gridSpan w:val="2"/>
            <w:noWrap w:val="0"/>
            <w:vAlign w:val="top"/>
          </w:tcPr>
          <w:p w14:paraId="7161F688">
            <w:pPr>
              <w:rPr>
                <w:rFonts w:ascii="Times New Roman" w:hAnsi="Times New Roman"/>
                <w:szCs w:val="21"/>
              </w:rPr>
            </w:pPr>
            <w:r>
              <w:rPr>
                <w:rFonts w:hint="eastAsia" w:ascii="Times New Roman" w:hAnsi="Times New Roman"/>
                <w:szCs w:val="21"/>
              </w:rPr>
              <w:t>签订时间：</w:t>
            </w:r>
            <w:r>
              <w:rPr>
                <w:rFonts w:ascii="Times New Roman" w:hAnsi="Times New Roman"/>
              </w:rPr>
              <w:t>202</w:t>
            </w:r>
            <w:r>
              <w:rPr>
                <w:rFonts w:hint="eastAsia" w:ascii="Times New Roman" w:hAnsi="Times New Roman"/>
              </w:rPr>
              <w:t>*</w:t>
            </w:r>
            <w:r>
              <w:rPr>
                <w:rFonts w:ascii="Times New Roman" w:hAnsi="Times New Roman"/>
                <w:szCs w:val="21"/>
              </w:rPr>
              <w:t>年</w:t>
            </w:r>
            <w:permStart w:id="29" w:edGrp="everyone"/>
            <w:r>
              <w:rPr>
                <w:rFonts w:ascii="Times New Roman" w:hAnsi="Times New Roman"/>
                <w:szCs w:val="21"/>
              </w:rPr>
              <w:t>***</w:t>
            </w:r>
            <w:permEnd w:id="29"/>
            <w:r>
              <w:rPr>
                <w:rFonts w:ascii="Times New Roman" w:hAnsi="Times New Roman"/>
                <w:szCs w:val="21"/>
              </w:rPr>
              <w:t>月</w:t>
            </w:r>
            <w:permStart w:id="30" w:edGrp="everyone"/>
            <w:r>
              <w:rPr>
                <w:rFonts w:ascii="Times New Roman" w:hAnsi="Times New Roman"/>
                <w:szCs w:val="21"/>
              </w:rPr>
              <w:t>***</w:t>
            </w:r>
            <w:r>
              <w:rPr>
                <w:rFonts w:hint="eastAsia" w:ascii="Times New Roman" w:hAnsi="Times New Roman"/>
                <w:szCs w:val="21"/>
              </w:rPr>
              <w:t>日</w:t>
            </w:r>
            <w:permEnd w:id="30"/>
          </w:p>
        </w:tc>
      </w:tr>
      <w:tr w14:paraId="457A5716">
        <w:tblPrEx>
          <w:tblCellMar>
            <w:top w:w="0" w:type="dxa"/>
            <w:left w:w="0" w:type="dxa"/>
            <w:bottom w:w="0" w:type="dxa"/>
            <w:right w:w="0" w:type="dxa"/>
          </w:tblCellMar>
        </w:tblPrEx>
        <w:trPr>
          <w:jc w:val="center"/>
        </w:trPr>
        <w:tc>
          <w:tcPr>
            <w:tcW w:w="4967" w:type="dxa"/>
            <w:noWrap w:val="0"/>
            <w:vAlign w:val="top"/>
          </w:tcPr>
          <w:p w14:paraId="4B19B3B9">
            <w:pPr>
              <w:rPr>
                <w:rFonts w:ascii="Times New Roman" w:hAnsi="Times New Roman"/>
                <w:szCs w:val="21"/>
              </w:rPr>
            </w:pPr>
            <w:r>
              <w:rPr>
                <w:rFonts w:ascii="Times New Roman" w:hAnsi="Times New Roman"/>
                <w:szCs w:val="21"/>
              </w:rPr>
              <w:t>甲方：四川省人民医院（盖章）</w:t>
            </w:r>
          </w:p>
          <w:p w14:paraId="2554A7C6">
            <w:pPr>
              <w:rPr>
                <w:rFonts w:ascii="Times New Roman" w:hAnsi="Times New Roman"/>
                <w:szCs w:val="21"/>
              </w:rPr>
            </w:pPr>
            <w:r>
              <w:rPr>
                <w:rFonts w:ascii="Times New Roman" w:hAnsi="Times New Roman"/>
                <w:szCs w:val="21"/>
              </w:rPr>
              <w:t>法定代表人（授权代表签字）：</w:t>
            </w:r>
          </w:p>
          <w:p w14:paraId="459433BC">
            <w:pPr>
              <w:rPr>
                <w:rFonts w:ascii="Times New Roman" w:hAnsi="Times New Roman"/>
                <w:szCs w:val="21"/>
              </w:rPr>
            </w:pPr>
            <w:r>
              <w:rPr>
                <w:rFonts w:ascii="Times New Roman" w:hAnsi="Times New Roman"/>
                <w:szCs w:val="21"/>
              </w:rPr>
              <w:t>地    址：四川省成都市一环路西二段32号</w:t>
            </w:r>
          </w:p>
          <w:p w14:paraId="3B7FFA98">
            <w:pPr>
              <w:rPr>
                <w:rFonts w:ascii="Times New Roman" w:hAnsi="Times New Roman"/>
                <w:szCs w:val="21"/>
              </w:rPr>
            </w:pPr>
            <w:r>
              <w:rPr>
                <w:rFonts w:ascii="Times New Roman" w:hAnsi="Times New Roman"/>
                <w:szCs w:val="21"/>
              </w:rPr>
              <w:t>开户银行：建设银行成都青羊支行</w:t>
            </w:r>
          </w:p>
          <w:p w14:paraId="24CCAB04">
            <w:pPr>
              <w:rPr>
                <w:rFonts w:hint="eastAsia" w:ascii="Times New Roman" w:hAnsi="Times New Roman"/>
                <w:szCs w:val="21"/>
              </w:rPr>
            </w:pPr>
            <w:r>
              <w:rPr>
                <w:rFonts w:ascii="Times New Roman" w:hAnsi="Times New Roman"/>
                <w:szCs w:val="21"/>
              </w:rPr>
              <w:t>账号：5100 1446 4360 5037 4282</w:t>
            </w:r>
          </w:p>
        </w:tc>
        <w:tc>
          <w:tcPr>
            <w:tcW w:w="5247" w:type="dxa"/>
            <w:noWrap w:val="0"/>
            <w:vAlign w:val="top"/>
          </w:tcPr>
          <w:p w14:paraId="40E4B5A5">
            <w:pPr>
              <w:rPr>
                <w:rFonts w:ascii="Times New Roman" w:hAnsi="Times New Roman"/>
                <w:szCs w:val="21"/>
              </w:rPr>
            </w:pPr>
            <w:r>
              <w:rPr>
                <w:rFonts w:ascii="Times New Roman" w:hAnsi="Times New Roman"/>
                <w:szCs w:val="21"/>
              </w:rPr>
              <w:t>乙方：</w:t>
            </w:r>
            <w:permStart w:id="31" w:edGrp="everyone"/>
            <w:r>
              <w:rPr>
                <w:rFonts w:ascii="Times New Roman" w:hAnsi="Times New Roman"/>
                <w:szCs w:val="21"/>
              </w:rPr>
              <w:t>***</w:t>
            </w:r>
            <w:permEnd w:id="31"/>
            <w:r>
              <w:rPr>
                <w:rFonts w:ascii="Times New Roman" w:hAnsi="Times New Roman"/>
                <w:szCs w:val="21"/>
              </w:rPr>
              <w:t>（盖章）</w:t>
            </w:r>
          </w:p>
          <w:p w14:paraId="3B09F18D">
            <w:pPr>
              <w:rPr>
                <w:rFonts w:ascii="Times New Roman" w:hAnsi="Times New Roman"/>
                <w:szCs w:val="21"/>
              </w:rPr>
            </w:pPr>
            <w:r>
              <w:rPr>
                <w:rFonts w:ascii="Times New Roman" w:hAnsi="Times New Roman"/>
                <w:szCs w:val="21"/>
              </w:rPr>
              <w:t>法定代表人（授权代表签字）：</w:t>
            </w:r>
          </w:p>
          <w:p w14:paraId="2D33B39C">
            <w:pPr>
              <w:rPr>
                <w:rFonts w:ascii="Times New Roman" w:hAnsi="Times New Roman"/>
                <w:szCs w:val="21"/>
              </w:rPr>
            </w:pPr>
            <w:r>
              <w:rPr>
                <w:rFonts w:ascii="Times New Roman" w:hAnsi="Times New Roman"/>
                <w:szCs w:val="21"/>
              </w:rPr>
              <w:t>地址：</w:t>
            </w:r>
            <w:permStart w:id="32" w:edGrp="everyone"/>
            <w:r>
              <w:rPr>
                <w:rFonts w:ascii="Times New Roman" w:hAnsi="Times New Roman"/>
                <w:szCs w:val="21"/>
              </w:rPr>
              <w:t>***</w:t>
            </w:r>
            <w:permEnd w:id="32"/>
          </w:p>
          <w:p w14:paraId="090971C0">
            <w:pPr>
              <w:rPr>
                <w:rFonts w:ascii="Times New Roman" w:hAnsi="Times New Roman"/>
                <w:szCs w:val="21"/>
              </w:rPr>
            </w:pPr>
            <w:r>
              <w:rPr>
                <w:rFonts w:ascii="Times New Roman" w:hAnsi="Times New Roman"/>
                <w:szCs w:val="21"/>
              </w:rPr>
              <w:t>开户银行：</w:t>
            </w:r>
            <w:permStart w:id="33" w:edGrp="everyone"/>
            <w:r>
              <w:rPr>
                <w:rFonts w:ascii="Times New Roman" w:hAnsi="Times New Roman"/>
                <w:szCs w:val="21"/>
              </w:rPr>
              <w:t>***</w:t>
            </w:r>
          </w:p>
          <w:permEnd w:id="33"/>
          <w:p w14:paraId="184550F0">
            <w:pPr>
              <w:widowControl/>
              <w:jc w:val="left"/>
              <w:rPr>
                <w:rFonts w:hint="eastAsia" w:ascii="Times New Roman" w:hAnsi="Times New Roman"/>
              </w:rPr>
            </w:pPr>
            <w:r>
              <w:rPr>
                <w:rFonts w:ascii="Times New Roman" w:hAnsi="Times New Roman"/>
                <w:szCs w:val="21"/>
              </w:rPr>
              <w:t>账号：</w:t>
            </w:r>
            <w:permStart w:id="34" w:edGrp="everyone"/>
            <w:r>
              <w:rPr>
                <w:rFonts w:ascii="Times New Roman" w:hAnsi="Times New Roman"/>
                <w:szCs w:val="21"/>
              </w:rPr>
              <w:t>***</w:t>
            </w:r>
            <w:permEnd w:id="34"/>
          </w:p>
        </w:tc>
      </w:tr>
    </w:tbl>
    <w:p w14:paraId="6A84B2ED">
      <w:pPr>
        <w:widowControl/>
        <w:jc w:val="left"/>
        <w:rPr>
          <w:rFonts w:ascii="Times New Roman" w:hAnsi="Times New Roman"/>
          <w:b/>
          <w:bCs/>
          <w:szCs w:val="21"/>
        </w:rPr>
        <w:sectPr>
          <w:footerReference r:id="rId7" w:type="default"/>
          <w:pgSz w:w="11906" w:h="16838"/>
          <w:pgMar w:top="1134" w:right="851" w:bottom="1134" w:left="851" w:header="851" w:footer="567" w:gutter="0"/>
          <w:pgNumType w:fmt="decimal" w:start="1"/>
          <w:cols w:space="720" w:num="1"/>
          <w:docGrid w:type="lines" w:linePitch="312" w:charSpace="0"/>
        </w:sectPr>
      </w:pPr>
    </w:p>
    <w:p w14:paraId="216FD14F">
      <w:pPr>
        <w:widowControl/>
        <w:jc w:val="left"/>
        <w:rPr>
          <w:rFonts w:ascii="Times New Roman" w:hAnsi="Times New Roman"/>
          <w:b/>
          <w:bCs/>
          <w:szCs w:val="21"/>
        </w:rPr>
      </w:pPr>
      <w:r>
        <w:rPr>
          <w:rFonts w:ascii="Times New Roman" w:hAnsi="Times New Roman"/>
          <w:b/>
          <w:bCs/>
          <w:szCs w:val="21"/>
        </w:rPr>
        <w:t>附件1：配置清单</w:t>
      </w:r>
    </w:p>
    <w:p w14:paraId="5D398C31">
      <w:pPr>
        <w:pStyle w:val="5"/>
        <w:rPr>
          <w:rFonts w:hint="eastAsia"/>
        </w:rPr>
      </w:pPr>
    </w:p>
    <w:p w14:paraId="74326507">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14:paraId="3F9E0B79">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14:paraId="62B7306B">
      <w:pPr>
        <w:rPr>
          <w:rFonts w:ascii="Times New Roman" w:hAnsi="Times New Roman"/>
          <w:szCs w:val="21"/>
        </w:rPr>
      </w:pPr>
      <w:r>
        <w:rPr>
          <w:rFonts w:ascii="Times New Roman" w:hAnsi="Times New Roman"/>
          <w:szCs w:val="21"/>
        </w:rPr>
        <w:t>（以下配置为单台货物配置）</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3012"/>
        <w:gridCol w:w="2557"/>
        <w:gridCol w:w="1531"/>
        <w:gridCol w:w="1382"/>
        <w:gridCol w:w="1082"/>
      </w:tblGrid>
      <w:tr w14:paraId="0537C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4D466FEE">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14:paraId="164181DF">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14:paraId="036231A9">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14:paraId="395E9220">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14:paraId="2BE2B6BA">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14:paraId="7031D5AB">
            <w:pPr>
              <w:contextualSpacing/>
              <w:jc w:val="center"/>
              <w:outlineLvl w:val="0"/>
              <w:rPr>
                <w:rFonts w:ascii="Times New Roman" w:hAnsi="Times New Roman"/>
                <w:b/>
                <w:kern w:val="0"/>
                <w:szCs w:val="21"/>
              </w:rPr>
            </w:pPr>
            <w:r>
              <w:rPr>
                <w:rFonts w:ascii="Times New Roman" w:hAnsi="Times New Roman"/>
                <w:b/>
                <w:kern w:val="0"/>
                <w:szCs w:val="21"/>
              </w:rPr>
              <w:t>备注</w:t>
            </w:r>
          </w:p>
        </w:tc>
      </w:tr>
      <w:tr w14:paraId="4C27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D61FACD">
            <w:pPr>
              <w:pStyle w:val="5"/>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14:paraId="6C80F2D8">
            <w:pPr>
              <w:pStyle w:val="5"/>
              <w:spacing w:after="0"/>
              <w:contextualSpacing/>
              <w:rPr>
                <w:rFonts w:ascii="Times New Roman" w:hAnsi="Times New Roman"/>
                <w:b/>
                <w:bCs/>
                <w:szCs w:val="21"/>
              </w:rPr>
            </w:pPr>
          </w:p>
        </w:tc>
        <w:tc>
          <w:tcPr>
            <w:tcW w:w="2609" w:type="dxa"/>
            <w:noWrap w:val="0"/>
            <w:vAlign w:val="center"/>
          </w:tcPr>
          <w:p w14:paraId="6D98DE2D">
            <w:pPr>
              <w:pStyle w:val="5"/>
              <w:spacing w:after="0"/>
              <w:contextualSpacing/>
              <w:rPr>
                <w:rFonts w:ascii="Times New Roman" w:hAnsi="Times New Roman"/>
                <w:b/>
                <w:bCs/>
                <w:szCs w:val="21"/>
              </w:rPr>
            </w:pPr>
          </w:p>
        </w:tc>
        <w:tc>
          <w:tcPr>
            <w:tcW w:w="1562" w:type="dxa"/>
            <w:noWrap w:val="0"/>
            <w:vAlign w:val="center"/>
          </w:tcPr>
          <w:p w14:paraId="1A386218">
            <w:pPr>
              <w:pStyle w:val="5"/>
              <w:spacing w:after="0"/>
              <w:contextualSpacing/>
              <w:rPr>
                <w:rFonts w:ascii="Times New Roman" w:hAnsi="Times New Roman"/>
                <w:b/>
                <w:bCs/>
                <w:szCs w:val="21"/>
              </w:rPr>
            </w:pPr>
          </w:p>
        </w:tc>
        <w:tc>
          <w:tcPr>
            <w:tcW w:w="1410" w:type="dxa"/>
            <w:noWrap w:val="0"/>
            <w:vAlign w:val="center"/>
          </w:tcPr>
          <w:p w14:paraId="2EF4E2BA">
            <w:pPr>
              <w:pStyle w:val="5"/>
              <w:spacing w:after="0"/>
              <w:contextualSpacing/>
              <w:rPr>
                <w:rFonts w:ascii="Times New Roman" w:hAnsi="Times New Roman"/>
                <w:b/>
                <w:bCs/>
                <w:szCs w:val="21"/>
              </w:rPr>
            </w:pPr>
          </w:p>
        </w:tc>
        <w:tc>
          <w:tcPr>
            <w:tcW w:w="1104" w:type="dxa"/>
            <w:noWrap w:val="0"/>
            <w:vAlign w:val="center"/>
          </w:tcPr>
          <w:p w14:paraId="567E9DB3">
            <w:pPr>
              <w:contextualSpacing/>
              <w:rPr>
                <w:rFonts w:ascii="Times New Roman" w:hAnsi="Times New Roman"/>
                <w:b/>
                <w:bCs/>
                <w:szCs w:val="21"/>
              </w:rPr>
            </w:pPr>
          </w:p>
        </w:tc>
      </w:tr>
      <w:permEnd w:id="36"/>
      <w:permEnd w:id="37"/>
      <w:permEnd w:id="38"/>
      <w:permEnd w:id="39"/>
      <w:permEnd w:id="40"/>
      <w:permEnd w:id="41"/>
      <w:tr w14:paraId="0CE32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C44124F">
            <w:pPr>
              <w:pStyle w:val="5"/>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14:paraId="11234378">
            <w:pPr>
              <w:pStyle w:val="5"/>
              <w:spacing w:after="0"/>
              <w:contextualSpacing/>
              <w:rPr>
                <w:rFonts w:ascii="Times New Roman" w:hAnsi="Times New Roman"/>
                <w:b/>
                <w:bCs/>
                <w:szCs w:val="21"/>
              </w:rPr>
            </w:pPr>
          </w:p>
        </w:tc>
        <w:tc>
          <w:tcPr>
            <w:tcW w:w="2609" w:type="dxa"/>
            <w:noWrap w:val="0"/>
            <w:vAlign w:val="center"/>
          </w:tcPr>
          <w:p w14:paraId="6A7FE2E7">
            <w:pPr>
              <w:pStyle w:val="5"/>
              <w:spacing w:after="0"/>
              <w:contextualSpacing/>
              <w:rPr>
                <w:rFonts w:ascii="Times New Roman" w:hAnsi="Times New Roman"/>
                <w:b/>
                <w:bCs/>
                <w:szCs w:val="21"/>
              </w:rPr>
            </w:pPr>
          </w:p>
        </w:tc>
        <w:tc>
          <w:tcPr>
            <w:tcW w:w="1562" w:type="dxa"/>
            <w:noWrap w:val="0"/>
            <w:vAlign w:val="center"/>
          </w:tcPr>
          <w:p w14:paraId="015B81F8">
            <w:pPr>
              <w:contextualSpacing/>
              <w:rPr>
                <w:rFonts w:ascii="Times New Roman" w:hAnsi="Times New Roman"/>
                <w:b/>
                <w:bCs/>
                <w:szCs w:val="21"/>
              </w:rPr>
            </w:pPr>
          </w:p>
        </w:tc>
        <w:tc>
          <w:tcPr>
            <w:tcW w:w="1410" w:type="dxa"/>
            <w:noWrap w:val="0"/>
            <w:vAlign w:val="center"/>
          </w:tcPr>
          <w:p w14:paraId="75A81C8F">
            <w:pPr>
              <w:contextualSpacing/>
              <w:rPr>
                <w:rFonts w:ascii="Times New Roman" w:hAnsi="Times New Roman"/>
                <w:b/>
                <w:bCs/>
                <w:szCs w:val="21"/>
              </w:rPr>
            </w:pPr>
          </w:p>
        </w:tc>
        <w:tc>
          <w:tcPr>
            <w:tcW w:w="1104" w:type="dxa"/>
            <w:noWrap w:val="0"/>
            <w:vAlign w:val="center"/>
          </w:tcPr>
          <w:p w14:paraId="4323A54A">
            <w:pPr>
              <w:contextualSpacing/>
              <w:rPr>
                <w:rFonts w:ascii="Times New Roman" w:hAnsi="Times New Roman"/>
                <w:b/>
                <w:bCs/>
                <w:szCs w:val="21"/>
              </w:rPr>
            </w:pPr>
          </w:p>
        </w:tc>
      </w:tr>
      <w:permEnd w:id="42"/>
      <w:permEnd w:id="43"/>
      <w:permEnd w:id="44"/>
      <w:permEnd w:id="45"/>
      <w:permEnd w:id="46"/>
      <w:permEnd w:id="47"/>
      <w:tr w14:paraId="07F42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7C73242D">
            <w:pPr>
              <w:pStyle w:val="5"/>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14:paraId="736C0FB9">
            <w:pPr>
              <w:pStyle w:val="5"/>
              <w:spacing w:after="0"/>
              <w:contextualSpacing/>
              <w:rPr>
                <w:rFonts w:ascii="Times New Roman" w:hAnsi="Times New Roman"/>
                <w:b/>
                <w:bCs/>
                <w:szCs w:val="21"/>
              </w:rPr>
            </w:pPr>
          </w:p>
        </w:tc>
        <w:tc>
          <w:tcPr>
            <w:tcW w:w="2609" w:type="dxa"/>
            <w:noWrap w:val="0"/>
            <w:vAlign w:val="center"/>
          </w:tcPr>
          <w:p w14:paraId="3DB0B5C6">
            <w:pPr>
              <w:pStyle w:val="5"/>
              <w:spacing w:after="0"/>
              <w:contextualSpacing/>
              <w:rPr>
                <w:rFonts w:ascii="Times New Roman" w:hAnsi="Times New Roman"/>
                <w:b/>
                <w:bCs/>
                <w:szCs w:val="21"/>
              </w:rPr>
            </w:pPr>
          </w:p>
        </w:tc>
        <w:tc>
          <w:tcPr>
            <w:tcW w:w="1562" w:type="dxa"/>
            <w:noWrap w:val="0"/>
            <w:vAlign w:val="center"/>
          </w:tcPr>
          <w:p w14:paraId="326D0B89">
            <w:pPr>
              <w:contextualSpacing/>
              <w:rPr>
                <w:rFonts w:ascii="Times New Roman" w:hAnsi="Times New Roman"/>
                <w:b/>
                <w:bCs/>
                <w:szCs w:val="21"/>
              </w:rPr>
            </w:pPr>
          </w:p>
        </w:tc>
        <w:tc>
          <w:tcPr>
            <w:tcW w:w="1410" w:type="dxa"/>
            <w:noWrap w:val="0"/>
            <w:vAlign w:val="center"/>
          </w:tcPr>
          <w:p w14:paraId="16E2D255">
            <w:pPr>
              <w:contextualSpacing/>
              <w:rPr>
                <w:rFonts w:ascii="Times New Roman" w:hAnsi="Times New Roman"/>
                <w:b/>
                <w:bCs/>
                <w:szCs w:val="21"/>
              </w:rPr>
            </w:pPr>
          </w:p>
        </w:tc>
        <w:tc>
          <w:tcPr>
            <w:tcW w:w="1104" w:type="dxa"/>
            <w:noWrap w:val="0"/>
            <w:vAlign w:val="center"/>
          </w:tcPr>
          <w:p w14:paraId="79DEA7FC">
            <w:pPr>
              <w:contextualSpacing/>
              <w:rPr>
                <w:rFonts w:ascii="Times New Roman" w:hAnsi="Times New Roman"/>
                <w:b/>
                <w:bCs/>
                <w:szCs w:val="21"/>
              </w:rPr>
            </w:pPr>
          </w:p>
        </w:tc>
      </w:tr>
      <w:permEnd w:id="48"/>
      <w:permEnd w:id="49"/>
      <w:permEnd w:id="50"/>
      <w:permEnd w:id="51"/>
      <w:permEnd w:id="52"/>
      <w:permEnd w:id="53"/>
    </w:tbl>
    <w:p w14:paraId="01FA766B">
      <w:pPr>
        <w:pStyle w:val="5"/>
        <w:sectPr>
          <w:pgSz w:w="11906" w:h="16838"/>
          <w:pgMar w:top="1134" w:right="851" w:bottom="1134" w:left="851" w:header="851" w:footer="567" w:gutter="0"/>
          <w:pgNumType w:fmt="decimal"/>
          <w:cols w:space="720" w:num="1"/>
          <w:docGrid w:type="lines" w:linePitch="312" w:charSpace="0"/>
        </w:sectPr>
      </w:pPr>
    </w:p>
    <w:p w14:paraId="39C6ED18">
      <w:pPr>
        <w:pStyle w:val="5"/>
        <w:rPr>
          <w:rFonts w:ascii="Times New Roman" w:hAnsi="Times New Roman"/>
          <w:b/>
          <w:bCs/>
        </w:rPr>
      </w:pPr>
      <w:r>
        <w:rPr>
          <w:rFonts w:ascii="Times New Roman" w:hAnsi="Times New Roman"/>
          <w:b/>
          <w:bCs/>
        </w:rPr>
        <w:t>附件2：货物技术参数</w:t>
      </w:r>
    </w:p>
    <w:p w14:paraId="2E24F974">
      <w:pPr>
        <w:pStyle w:val="5"/>
        <w:rPr>
          <w:rFonts w:ascii="Times New Roman" w:hAnsi="Times New Roman"/>
        </w:rPr>
      </w:pPr>
    </w:p>
    <w:p w14:paraId="67924481">
      <w:pPr>
        <w:pStyle w:val="13"/>
        <w:ind w:firstLine="0" w:firstLineChars="0"/>
        <w:rPr>
          <w:rFonts w:hint="eastAsia"/>
        </w:rPr>
      </w:pPr>
      <w:r>
        <w:rPr>
          <w:rFonts w:hint="eastAsia"/>
        </w:rPr>
        <w:t>*</w:t>
      </w:r>
      <w:r>
        <w:t>**</w:t>
      </w:r>
    </w:p>
    <w:p w14:paraId="6D001411">
      <w:pPr>
        <w:pStyle w:val="5"/>
        <w:spacing w:line="276" w:lineRule="auto"/>
        <w:ind w:firstLine="420" w:firstLineChars="200"/>
        <w:jc w:val="left"/>
        <w:rPr>
          <w:rFonts w:hint="default" w:ascii="Times New Roman" w:hAnsi="Times New Roman" w:eastAsia="宋体" w:cs="Times New Roman"/>
          <w:color w:val="auto"/>
          <w:highlight w:val="none"/>
        </w:rPr>
      </w:pPr>
    </w:p>
    <w:sectPr>
      <w:footerReference r:id="rId10" w:type="first"/>
      <w:headerReference r:id="rId8" w:type="default"/>
      <w:footerReference r:id="rId9"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Cambria Math">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0" w:csb1="00000000"/>
  </w:font>
  <w:font w:name="Songti SC">
    <w:altName w:val="宋体"/>
    <w:panose1 w:val="00000000000000000000"/>
    <w:charset w:val="86"/>
    <w:family w:val="auto"/>
    <w:pitch w:val="default"/>
    <w:sig w:usb0="00000000" w:usb1="00000000" w:usb2="00000010" w:usb3="00000000" w:csb0="0004009F"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CB2BF">
    <w:pPr>
      <w:pStyle w:val="8"/>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4DCD464">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26</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04DCD464">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26</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8122D">
    <w:pPr>
      <w:pStyle w:val="8"/>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33F70AA5">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33F70AA5">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28</w:t>
                    </w:r>
                    <w:r>
                      <w:fldChar w:fldCharType="end"/>
                    </w:r>
                    <w:r>
                      <w:t xml:space="preserve"> 页</w:t>
                    </w:r>
                  </w:p>
                </w:txbxContent>
              </v:textbox>
            </v:shape>
          </w:pict>
        </mc:Fallback>
      </mc:AlternateContent>
    </w:r>
    <w:r>
      <w:rPr>
        <w:rFonts w:ascii="Times New Roman" w:hAnsi="Times New Roman" w:eastAsia="宋体" w:cs="Times New Roman"/>
        <w:sz w:val="21"/>
        <w:szCs w:val="21"/>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6EB3">
    <w:pPr>
      <w:pStyle w:val="8"/>
      <w:rPr>
        <w:rFonts w:hint="default"/>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ED32E8C">
                          <w:pPr>
                            <w:pStyle w:val="8"/>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26</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0ED32E8C">
                    <w:pPr>
                      <w:pStyle w:val="8"/>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26</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A697C">
    <w:pPr>
      <w:pStyle w:val="9"/>
      <w:jc w:val="right"/>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20" w:hanging="425"/>
      </w:pPr>
      <w:rPr>
        <w:rFonts w:hint="default"/>
      </w:rPr>
    </w:lvl>
  </w:abstractNum>
  <w:abstractNum w:abstractNumId="15">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7">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2"/>
  </w:num>
  <w:num w:numId="2">
    <w:abstractNumId w:val="10"/>
  </w:num>
  <w:num w:numId="3">
    <w:abstractNumId w:val="3"/>
  </w:num>
  <w:num w:numId="4">
    <w:abstractNumId w:val="32"/>
  </w:num>
  <w:num w:numId="5">
    <w:abstractNumId w:val="14"/>
  </w:num>
  <w:num w:numId="6">
    <w:abstractNumId w:val="26"/>
  </w:num>
  <w:num w:numId="7">
    <w:abstractNumId w:val="19"/>
  </w:num>
  <w:num w:numId="8">
    <w:abstractNumId w:val="2"/>
  </w:num>
  <w:num w:numId="9">
    <w:abstractNumId w:val="0"/>
  </w:num>
  <w:num w:numId="10">
    <w:abstractNumId w:val="15"/>
  </w:num>
  <w:num w:numId="11">
    <w:abstractNumId w:val="1"/>
  </w:num>
  <w:num w:numId="12">
    <w:abstractNumId w:val="30"/>
  </w:num>
  <w:num w:numId="13">
    <w:abstractNumId w:val="13"/>
  </w:num>
  <w:num w:numId="14">
    <w:abstractNumId w:val="12"/>
  </w:num>
  <w:num w:numId="15">
    <w:abstractNumId w:val="5"/>
  </w:num>
  <w:num w:numId="16">
    <w:abstractNumId w:val="23"/>
  </w:num>
  <w:num w:numId="17">
    <w:abstractNumId w:val="7"/>
  </w:num>
  <w:num w:numId="18">
    <w:abstractNumId w:val="28"/>
  </w:num>
  <w:num w:numId="19">
    <w:abstractNumId w:val="4"/>
  </w:num>
  <w:num w:numId="20">
    <w:abstractNumId w:val="33"/>
  </w:num>
  <w:num w:numId="21">
    <w:abstractNumId w:val="31"/>
  </w:num>
  <w:num w:numId="22">
    <w:abstractNumId w:val="24"/>
  </w:num>
  <w:num w:numId="23">
    <w:abstractNumId w:val="8"/>
  </w:num>
  <w:num w:numId="24">
    <w:abstractNumId w:val="16"/>
  </w:num>
  <w:num w:numId="25">
    <w:abstractNumId w:val="6"/>
  </w:num>
  <w:num w:numId="26">
    <w:abstractNumId w:val="18"/>
  </w:num>
  <w:num w:numId="27">
    <w:abstractNumId w:val="29"/>
  </w:num>
  <w:num w:numId="28">
    <w:abstractNumId w:val="27"/>
  </w:num>
  <w:num w:numId="29">
    <w:abstractNumId w:val="20"/>
  </w:num>
  <w:num w:numId="30">
    <w:abstractNumId w:val="17"/>
  </w:num>
  <w:num w:numId="31">
    <w:abstractNumId w:val="9"/>
  </w:num>
  <w:num w:numId="32">
    <w:abstractNumId w:val="21"/>
  </w:num>
  <w:num w:numId="33">
    <w:abstractNumId w:val="11"/>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3DF7"/>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8F4C90"/>
    <w:rsid w:val="032842F9"/>
    <w:rsid w:val="04D50D70"/>
    <w:rsid w:val="05AB5E10"/>
    <w:rsid w:val="067508F8"/>
    <w:rsid w:val="06826B71"/>
    <w:rsid w:val="074D53D1"/>
    <w:rsid w:val="08CB3FC4"/>
    <w:rsid w:val="08FF6B9F"/>
    <w:rsid w:val="09EF7B0F"/>
    <w:rsid w:val="0A486323"/>
    <w:rsid w:val="0AD656DD"/>
    <w:rsid w:val="0B204BAA"/>
    <w:rsid w:val="0B4E34C6"/>
    <w:rsid w:val="0B552AA6"/>
    <w:rsid w:val="0B9C39D7"/>
    <w:rsid w:val="0B9F6417"/>
    <w:rsid w:val="0BC1013B"/>
    <w:rsid w:val="0BD25EA5"/>
    <w:rsid w:val="0BED0D1B"/>
    <w:rsid w:val="0C2D757F"/>
    <w:rsid w:val="0C3E763F"/>
    <w:rsid w:val="0C915D60"/>
    <w:rsid w:val="0D0A49A8"/>
    <w:rsid w:val="0D3D7C96"/>
    <w:rsid w:val="0DD622EF"/>
    <w:rsid w:val="0DF90060"/>
    <w:rsid w:val="0DFF5E39"/>
    <w:rsid w:val="0E5434E9"/>
    <w:rsid w:val="0E7019A5"/>
    <w:rsid w:val="0EC87A33"/>
    <w:rsid w:val="0ED158DD"/>
    <w:rsid w:val="0F781459"/>
    <w:rsid w:val="0F9D0940"/>
    <w:rsid w:val="10376C1E"/>
    <w:rsid w:val="105F7F23"/>
    <w:rsid w:val="10AD5132"/>
    <w:rsid w:val="113A274F"/>
    <w:rsid w:val="11494E5B"/>
    <w:rsid w:val="11A1591C"/>
    <w:rsid w:val="120F276F"/>
    <w:rsid w:val="12490E8B"/>
    <w:rsid w:val="124C7D2B"/>
    <w:rsid w:val="126D4B79"/>
    <w:rsid w:val="12C1461A"/>
    <w:rsid w:val="13081A3E"/>
    <w:rsid w:val="1340403C"/>
    <w:rsid w:val="136E5EEF"/>
    <w:rsid w:val="13741F37"/>
    <w:rsid w:val="14045069"/>
    <w:rsid w:val="1457788F"/>
    <w:rsid w:val="14787805"/>
    <w:rsid w:val="147C72F5"/>
    <w:rsid w:val="15957368"/>
    <w:rsid w:val="15B42ABF"/>
    <w:rsid w:val="162C0264"/>
    <w:rsid w:val="16BF171B"/>
    <w:rsid w:val="17620A24"/>
    <w:rsid w:val="17A0154D"/>
    <w:rsid w:val="180B10BC"/>
    <w:rsid w:val="189F1804"/>
    <w:rsid w:val="18BB296F"/>
    <w:rsid w:val="18D771F0"/>
    <w:rsid w:val="1900654D"/>
    <w:rsid w:val="1904497C"/>
    <w:rsid w:val="193E101D"/>
    <w:rsid w:val="19B25567"/>
    <w:rsid w:val="19E41BC5"/>
    <w:rsid w:val="1B177D78"/>
    <w:rsid w:val="1B925650"/>
    <w:rsid w:val="1C077D39"/>
    <w:rsid w:val="1C275D99"/>
    <w:rsid w:val="1C4F709D"/>
    <w:rsid w:val="1C9F6277"/>
    <w:rsid w:val="1D322C47"/>
    <w:rsid w:val="1D772D50"/>
    <w:rsid w:val="1D8A4831"/>
    <w:rsid w:val="1DA84CB7"/>
    <w:rsid w:val="1E024BEA"/>
    <w:rsid w:val="1E6004DA"/>
    <w:rsid w:val="1E840723"/>
    <w:rsid w:val="20087C8F"/>
    <w:rsid w:val="200C3C23"/>
    <w:rsid w:val="201C373B"/>
    <w:rsid w:val="20992FDD"/>
    <w:rsid w:val="2100305C"/>
    <w:rsid w:val="210C1A01"/>
    <w:rsid w:val="2130749E"/>
    <w:rsid w:val="22042CE5"/>
    <w:rsid w:val="22821F7B"/>
    <w:rsid w:val="228850B7"/>
    <w:rsid w:val="23533917"/>
    <w:rsid w:val="235A6A54"/>
    <w:rsid w:val="2389558B"/>
    <w:rsid w:val="23FE1AD5"/>
    <w:rsid w:val="24156E1F"/>
    <w:rsid w:val="24CE2760"/>
    <w:rsid w:val="260A783C"/>
    <w:rsid w:val="2677791D"/>
    <w:rsid w:val="268D7140"/>
    <w:rsid w:val="26CD33AF"/>
    <w:rsid w:val="26D44D6F"/>
    <w:rsid w:val="27D03788"/>
    <w:rsid w:val="27F37477"/>
    <w:rsid w:val="280B656E"/>
    <w:rsid w:val="297C274F"/>
    <w:rsid w:val="298C3AA9"/>
    <w:rsid w:val="2B0F45C8"/>
    <w:rsid w:val="2B30453E"/>
    <w:rsid w:val="2B45448D"/>
    <w:rsid w:val="2B5B15BB"/>
    <w:rsid w:val="2B830B12"/>
    <w:rsid w:val="2C0B1233"/>
    <w:rsid w:val="2CFE2B46"/>
    <w:rsid w:val="2D0D2D89"/>
    <w:rsid w:val="2D7B7CF2"/>
    <w:rsid w:val="2DC4138A"/>
    <w:rsid w:val="2DCC49F2"/>
    <w:rsid w:val="2E2E1209"/>
    <w:rsid w:val="2E7806D6"/>
    <w:rsid w:val="2E953036"/>
    <w:rsid w:val="2F1F1070"/>
    <w:rsid w:val="2F335C20"/>
    <w:rsid w:val="2F3A3BDD"/>
    <w:rsid w:val="2F3E6F9F"/>
    <w:rsid w:val="2F974B8C"/>
    <w:rsid w:val="2FC736C3"/>
    <w:rsid w:val="310F3573"/>
    <w:rsid w:val="3192385D"/>
    <w:rsid w:val="32000BDF"/>
    <w:rsid w:val="327411B4"/>
    <w:rsid w:val="3287538B"/>
    <w:rsid w:val="33B57CD6"/>
    <w:rsid w:val="34190265"/>
    <w:rsid w:val="345179FF"/>
    <w:rsid w:val="346040E6"/>
    <w:rsid w:val="34F07218"/>
    <w:rsid w:val="3532368F"/>
    <w:rsid w:val="36BE6EA2"/>
    <w:rsid w:val="36D93CDC"/>
    <w:rsid w:val="371B42F4"/>
    <w:rsid w:val="3763616F"/>
    <w:rsid w:val="37B95FE7"/>
    <w:rsid w:val="37C96C92"/>
    <w:rsid w:val="37D56B99"/>
    <w:rsid w:val="37E40B8A"/>
    <w:rsid w:val="38514471"/>
    <w:rsid w:val="385775AE"/>
    <w:rsid w:val="386C12AB"/>
    <w:rsid w:val="38A1734A"/>
    <w:rsid w:val="38A81C3F"/>
    <w:rsid w:val="38F81DDC"/>
    <w:rsid w:val="399565E0"/>
    <w:rsid w:val="39BC591B"/>
    <w:rsid w:val="39D07618"/>
    <w:rsid w:val="39FC21BB"/>
    <w:rsid w:val="3A1C285D"/>
    <w:rsid w:val="3A2801BE"/>
    <w:rsid w:val="3A6D3892"/>
    <w:rsid w:val="3B311935"/>
    <w:rsid w:val="3B714E2B"/>
    <w:rsid w:val="3B822B94"/>
    <w:rsid w:val="3C0D6901"/>
    <w:rsid w:val="3C3A63A3"/>
    <w:rsid w:val="3D1837B0"/>
    <w:rsid w:val="3D5B18EE"/>
    <w:rsid w:val="3DC56D68"/>
    <w:rsid w:val="3DFF0247"/>
    <w:rsid w:val="3E1F1FE5"/>
    <w:rsid w:val="3EA352FB"/>
    <w:rsid w:val="3EDE6333"/>
    <w:rsid w:val="3F185CE9"/>
    <w:rsid w:val="3F220916"/>
    <w:rsid w:val="3F884943"/>
    <w:rsid w:val="3FBD0E9A"/>
    <w:rsid w:val="3FC512A1"/>
    <w:rsid w:val="402266F3"/>
    <w:rsid w:val="418238EE"/>
    <w:rsid w:val="430640AA"/>
    <w:rsid w:val="43BB6C43"/>
    <w:rsid w:val="43C05B54"/>
    <w:rsid w:val="43DD305D"/>
    <w:rsid w:val="43FE4D82"/>
    <w:rsid w:val="441177D6"/>
    <w:rsid w:val="441A7E0D"/>
    <w:rsid w:val="45592BB7"/>
    <w:rsid w:val="46377A12"/>
    <w:rsid w:val="46B362F7"/>
    <w:rsid w:val="474156B1"/>
    <w:rsid w:val="47491CA4"/>
    <w:rsid w:val="47C00CCC"/>
    <w:rsid w:val="48376AB4"/>
    <w:rsid w:val="488F069E"/>
    <w:rsid w:val="49284D7B"/>
    <w:rsid w:val="494D47E1"/>
    <w:rsid w:val="49793828"/>
    <w:rsid w:val="498E0956"/>
    <w:rsid w:val="49A90C47"/>
    <w:rsid w:val="49E35145"/>
    <w:rsid w:val="4A1E7BAE"/>
    <w:rsid w:val="4A315EB1"/>
    <w:rsid w:val="4A800BE6"/>
    <w:rsid w:val="4AC76815"/>
    <w:rsid w:val="4B0C247A"/>
    <w:rsid w:val="4B517E8D"/>
    <w:rsid w:val="4B663938"/>
    <w:rsid w:val="4C26756B"/>
    <w:rsid w:val="4C431ECB"/>
    <w:rsid w:val="4C756154"/>
    <w:rsid w:val="4CD314A1"/>
    <w:rsid w:val="4CF51D9E"/>
    <w:rsid w:val="4CF82CB6"/>
    <w:rsid w:val="4D0E072B"/>
    <w:rsid w:val="4DAB0A7E"/>
    <w:rsid w:val="4DBC7557"/>
    <w:rsid w:val="4DEC79E7"/>
    <w:rsid w:val="4E870795"/>
    <w:rsid w:val="4EC73630"/>
    <w:rsid w:val="4F091DE1"/>
    <w:rsid w:val="4F29184C"/>
    <w:rsid w:val="4F391364"/>
    <w:rsid w:val="4F465198"/>
    <w:rsid w:val="4F5F701C"/>
    <w:rsid w:val="4F6B58A1"/>
    <w:rsid w:val="4FA927A1"/>
    <w:rsid w:val="4FCE7CFE"/>
    <w:rsid w:val="4FD36D7D"/>
    <w:rsid w:val="500E7836"/>
    <w:rsid w:val="506A211C"/>
    <w:rsid w:val="507B60D8"/>
    <w:rsid w:val="5100482F"/>
    <w:rsid w:val="516E3547"/>
    <w:rsid w:val="51EE28D9"/>
    <w:rsid w:val="52972F71"/>
    <w:rsid w:val="529E1C09"/>
    <w:rsid w:val="52D7511B"/>
    <w:rsid w:val="5314011E"/>
    <w:rsid w:val="534E1882"/>
    <w:rsid w:val="53520B81"/>
    <w:rsid w:val="53551B3D"/>
    <w:rsid w:val="5364034C"/>
    <w:rsid w:val="544E765F"/>
    <w:rsid w:val="54817A35"/>
    <w:rsid w:val="54D20290"/>
    <w:rsid w:val="55006BAB"/>
    <w:rsid w:val="556C5FEF"/>
    <w:rsid w:val="56066443"/>
    <w:rsid w:val="56666EE2"/>
    <w:rsid w:val="56682C5A"/>
    <w:rsid w:val="568A2F61"/>
    <w:rsid w:val="56D71B8E"/>
    <w:rsid w:val="57624FD6"/>
    <w:rsid w:val="58E0655B"/>
    <w:rsid w:val="599C2C1B"/>
    <w:rsid w:val="59BD4057"/>
    <w:rsid w:val="5A0E6D1C"/>
    <w:rsid w:val="5A9D4E9D"/>
    <w:rsid w:val="5ABA77FD"/>
    <w:rsid w:val="5AC32B55"/>
    <w:rsid w:val="5BFD3497"/>
    <w:rsid w:val="5C003935"/>
    <w:rsid w:val="5C553C81"/>
    <w:rsid w:val="5CE31F05"/>
    <w:rsid w:val="5CFD7E74"/>
    <w:rsid w:val="5D042FB1"/>
    <w:rsid w:val="5E4E4E2C"/>
    <w:rsid w:val="5E8F0FA0"/>
    <w:rsid w:val="5ED41285"/>
    <w:rsid w:val="5FAB3BB8"/>
    <w:rsid w:val="601E25DC"/>
    <w:rsid w:val="60822D96"/>
    <w:rsid w:val="60882223"/>
    <w:rsid w:val="60BE084B"/>
    <w:rsid w:val="61113EEE"/>
    <w:rsid w:val="61131A15"/>
    <w:rsid w:val="61FF01EB"/>
    <w:rsid w:val="620829BD"/>
    <w:rsid w:val="62D16373"/>
    <w:rsid w:val="62D82F16"/>
    <w:rsid w:val="635B58F5"/>
    <w:rsid w:val="63DD3E3D"/>
    <w:rsid w:val="63DE27AE"/>
    <w:rsid w:val="640B10C9"/>
    <w:rsid w:val="64346872"/>
    <w:rsid w:val="64AA6B34"/>
    <w:rsid w:val="65424FBE"/>
    <w:rsid w:val="65D20CB3"/>
    <w:rsid w:val="66334C73"/>
    <w:rsid w:val="66970432"/>
    <w:rsid w:val="66C20165"/>
    <w:rsid w:val="66E16B34"/>
    <w:rsid w:val="66E53E53"/>
    <w:rsid w:val="6727621A"/>
    <w:rsid w:val="67892A30"/>
    <w:rsid w:val="67902011"/>
    <w:rsid w:val="67E41A67"/>
    <w:rsid w:val="67E73BFB"/>
    <w:rsid w:val="683C5CF5"/>
    <w:rsid w:val="68462BCD"/>
    <w:rsid w:val="684844AC"/>
    <w:rsid w:val="688768E9"/>
    <w:rsid w:val="68D36EC5"/>
    <w:rsid w:val="69416EAD"/>
    <w:rsid w:val="694F7E51"/>
    <w:rsid w:val="6A225B71"/>
    <w:rsid w:val="6A617C95"/>
    <w:rsid w:val="6A890F99"/>
    <w:rsid w:val="6AA81420"/>
    <w:rsid w:val="6B00125C"/>
    <w:rsid w:val="6C040682"/>
    <w:rsid w:val="6CF070AE"/>
    <w:rsid w:val="6D564496"/>
    <w:rsid w:val="6E7A1325"/>
    <w:rsid w:val="6ECB7DD2"/>
    <w:rsid w:val="6F4A519B"/>
    <w:rsid w:val="70311EB7"/>
    <w:rsid w:val="70FC4273"/>
    <w:rsid w:val="72227D09"/>
    <w:rsid w:val="7260609B"/>
    <w:rsid w:val="72C55A38"/>
    <w:rsid w:val="732A5565"/>
    <w:rsid w:val="736C7698"/>
    <w:rsid w:val="737E1108"/>
    <w:rsid w:val="73A3131E"/>
    <w:rsid w:val="73BA4A84"/>
    <w:rsid w:val="747477EB"/>
    <w:rsid w:val="74D3178F"/>
    <w:rsid w:val="75A506B2"/>
    <w:rsid w:val="75BA6BBF"/>
    <w:rsid w:val="75C31803"/>
    <w:rsid w:val="75DA1174"/>
    <w:rsid w:val="76085468"/>
    <w:rsid w:val="762A7AD4"/>
    <w:rsid w:val="76761669"/>
    <w:rsid w:val="768F26FA"/>
    <w:rsid w:val="769D1B10"/>
    <w:rsid w:val="76CA6BC2"/>
    <w:rsid w:val="774C5829"/>
    <w:rsid w:val="78281DF2"/>
    <w:rsid w:val="78931961"/>
    <w:rsid w:val="79181E66"/>
    <w:rsid w:val="79450781"/>
    <w:rsid w:val="7A0348C4"/>
    <w:rsid w:val="7AB43E11"/>
    <w:rsid w:val="7BB87930"/>
    <w:rsid w:val="7C792C1C"/>
    <w:rsid w:val="7CE65DD7"/>
    <w:rsid w:val="7D6C09D3"/>
    <w:rsid w:val="7DC425BD"/>
    <w:rsid w:val="7EDC1B88"/>
    <w:rsid w:val="7F005876"/>
    <w:rsid w:val="7F0A04A3"/>
    <w:rsid w:val="7F144E7E"/>
    <w:rsid w:val="7F1906E6"/>
    <w:rsid w:val="7F517E80"/>
    <w:rsid w:val="7F623E3B"/>
    <w:rsid w:val="7F724BB2"/>
    <w:rsid w:val="7F7B4EFD"/>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next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28</Pages>
  <Words>1061</Words>
  <Characters>1142</Characters>
  <Lines>59</Lines>
  <Paragraphs>16</Paragraphs>
  <TotalTime>19</TotalTime>
  <ScaleCrop>false</ScaleCrop>
  <LinksUpToDate>false</LinksUpToDate>
  <CharactersWithSpaces>1233</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蔡</cp:lastModifiedBy>
  <dcterms:modified xsi:type="dcterms:W3CDTF">2026-05-19T08:23:17Z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7F8F2088EC174EF9974FD3E5B107AC1E_13</vt:lpwstr>
  </property>
  <property fmtid="{D5CDD505-2E9C-101B-9397-08002B2CF9AE}" pid="4" name="KSOTemplateDocerSaveRecord">
    <vt:lpwstr>eyJoZGlkIjoiNDc0MTk5M2JkMmE1NDI4NDczMTFjZTZjODJmMzdhNjkiLCJ1c2VySWQiOiIyMTIzMTcyNzYifQ==</vt:lpwstr>
  </property>
</Properties>
</file>