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四川省人民医院检查自助一体化服务-自助打印服务采购项目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98" w:name="_GoBack"/>
      <w:bookmarkEnd w:id="98"/>
    </w:p>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471310326"/>
      <w:bookmarkStart w:id="2" w:name="_Toc21919"/>
      <w:bookmarkStart w:id="3" w:name="_Toc1907"/>
      <w:bookmarkStart w:id="4" w:name="_Toc20358"/>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ind w:left="210" w:leftChars="100"/>
              <w:jc w:val="center"/>
              <w:rPr>
                <w:rFonts w:hint="eastAsia" w:ascii="Times New Roman" w:hAnsi="Times New Roman" w:eastAsia="仿宋" w:cs="Times New Roman"/>
                <w:sz w:val="22"/>
                <w:lang w:val="zh-CN" w:eastAsia="zh-CN"/>
              </w:rPr>
            </w:pPr>
            <w:r>
              <w:rPr>
                <w:rFonts w:hint="eastAsia" w:ascii="Times New Roman" w:hAnsi="Times New Roman" w:eastAsia="仿宋" w:cs="Times New Roman"/>
                <w:sz w:val="22"/>
                <w:lang w:eastAsia="zh-CN"/>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四川省人民医院检查自助一体化服务-自助打印服务采购项目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ind w:left="210" w:leftChars="100"/>
              <w:jc w:val="center"/>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仿宋" w:hAnsi="仿宋" w:eastAsia="仿宋" w:cs="仿宋"/>
                <w:sz w:val="22"/>
                <w:lang w:eastAsia="zh-CN"/>
              </w:rPr>
              <w:t>CGZX-YXX20261230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u w:val="none"/>
                <w:lang w:val="en-US" w:eastAsia="zh-CN"/>
              </w:rPr>
              <w:t>支付</w:t>
            </w:r>
            <w:r>
              <w:rPr>
                <w:rFonts w:hint="eastAsia" w:ascii="仿宋" w:hAnsi="仿宋" w:eastAsia="仿宋" w:cs="仿宋"/>
                <w:sz w:val="22"/>
                <w:highlight w:val="none"/>
                <w:u w:val="none"/>
                <w:lang w:val="en-US" w:eastAsia="zh-CN"/>
              </w:rPr>
              <w:t>上限</w:t>
            </w: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100万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r>
              <w:rPr>
                <w:rFonts w:hint="eastAsia" w:ascii="Times New Roman" w:hAnsi="Times New Roman" w:eastAsia="仿宋" w:cs="Times New Roman"/>
                <w:sz w:val="22"/>
                <w:szCs w:val="22"/>
                <w:highlight w:val="none"/>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r>
              <w:rPr>
                <w:rFonts w:hint="eastAsia" w:ascii="Times New Roman" w:hAnsi="Times New Roman" w:eastAsia="仿宋" w:cs="Times New Roman"/>
                <w:sz w:val="22"/>
                <w:szCs w:val="22"/>
                <w:highlight w:val="none"/>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60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w:t>
            </w:r>
            <w:r>
              <w:rPr>
                <w:rFonts w:ascii="Times New Roman" w:hAnsi="Times New Roman" w:eastAsia="仿宋" w:cs="Times New Roman"/>
                <w:sz w:val="24"/>
                <w:szCs w:val="24"/>
                <w:highlight w:val="none"/>
              </w:rPr>
              <w:t>合理条款，</w:t>
            </w:r>
            <w:r>
              <w:rPr>
                <w:rFonts w:hint="eastAsia" w:ascii="Times New Roman" w:hAnsi="Times New Roman" w:eastAsia="仿宋" w:cs="Times New Roman"/>
                <w:sz w:val="24"/>
                <w:szCs w:val="24"/>
                <w:highlight w:val="none"/>
              </w:rPr>
              <w:t>同时</w:t>
            </w:r>
            <w:r>
              <w:rPr>
                <w:rFonts w:ascii="Times New Roman" w:hAnsi="Times New Roman" w:eastAsia="仿宋" w:cs="Times New Roman"/>
                <w:sz w:val="24"/>
                <w:szCs w:val="24"/>
                <w:highlight w:val="none"/>
              </w:rPr>
              <w:t>采购程序</w:t>
            </w:r>
            <w:r>
              <w:rPr>
                <w:rFonts w:hint="eastAsia" w:ascii="Times New Roman" w:hAnsi="Times New Roman" w:eastAsia="仿宋" w:cs="Times New Roman"/>
                <w:sz w:val="24"/>
                <w:szCs w:val="24"/>
                <w:highlight w:val="none"/>
              </w:rPr>
              <w:t>亦</w:t>
            </w:r>
            <w:r>
              <w:rPr>
                <w:rFonts w:ascii="Times New Roman" w:hAnsi="Times New Roman" w:eastAsia="仿宋" w:cs="Times New Roman"/>
                <w:sz w:val="24"/>
                <w:szCs w:val="24"/>
                <w:highlight w:val="none"/>
              </w:rPr>
              <w:t>符合规定的，</w:t>
            </w:r>
            <w:r>
              <w:rPr>
                <w:rFonts w:hint="eastAsia" w:ascii="Times New Roman" w:hAnsi="Times New Roman" w:eastAsia="仿宋" w:cs="Times New Roman"/>
                <w:sz w:val="24"/>
                <w:szCs w:val="24"/>
                <w:highlight w:val="none"/>
              </w:rPr>
              <w:t>仍</w:t>
            </w:r>
            <w:r>
              <w:rPr>
                <w:rFonts w:ascii="Times New Roman" w:hAnsi="Times New Roman" w:eastAsia="仿宋" w:cs="Times New Roman"/>
                <w:sz w:val="24"/>
                <w:szCs w:val="24"/>
                <w:highlight w:val="none"/>
              </w:rPr>
              <w:t>可以继续开展采购活动。谈判小组按照评审因素进行评分，得分最高的供应商为成交供应商。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若得分相同则报价最低的为成交供应</w:t>
            </w:r>
            <w:r>
              <w:rPr>
                <w:rFonts w:hint="eastAsia" w:ascii="Times New Roman" w:hAnsi="Times New Roman" w:eastAsia="仿宋" w:cs="Times New Roman"/>
                <w:sz w:val="24"/>
                <w:szCs w:val="24"/>
              </w:rPr>
              <w:t>商。若得分相同且报价亦相同，则采取随机抽取的方式确定成交供应商。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王</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14460"/>
      <w:bookmarkStart w:id="7" w:name="_Toc22329"/>
      <w:bookmarkStart w:id="8" w:name="_Toc24154"/>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w:t>
      </w:r>
      <w:r>
        <w:rPr>
          <w:rFonts w:hint="eastAsia" w:ascii="仿宋" w:hAnsi="仿宋" w:eastAsia="仿宋" w:cs="仿宋"/>
          <w:sz w:val="24"/>
          <w:szCs w:val="24"/>
          <w:highlight w:val="none"/>
          <w:lang w:val="en-US" w:eastAsia="zh-CN"/>
        </w:rPr>
        <w:t>提供自助打印服务。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64"/>
        <w:gridCol w:w="1802"/>
        <w:gridCol w:w="3539"/>
        <w:gridCol w:w="800"/>
        <w:gridCol w:w="1292"/>
        <w:gridCol w:w="1650"/>
      </w:tblGrid>
      <w:tr w14:paraId="3E2B0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jc w:val="center"/>
        </w:trPr>
        <w:tc>
          <w:tcPr>
            <w:tcW w:w="76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6A6753">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80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575FF1">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品名</w:t>
            </w:r>
          </w:p>
        </w:tc>
        <w:tc>
          <w:tcPr>
            <w:tcW w:w="353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0F750">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详细描述</w:t>
            </w:r>
          </w:p>
        </w:tc>
        <w:tc>
          <w:tcPr>
            <w:tcW w:w="8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0B27AD">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129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471DC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计价单位</w:t>
            </w:r>
          </w:p>
        </w:tc>
        <w:tc>
          <w:tcPr>
            <w:tcW w:w="1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B91A66">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限高单价（元）</w:t>
            </w:r>
          </w:p>
        </w:tc>
      </w:tr>
      <w:tr w14:paraId="4F99B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88E201">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8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478C43">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检查报告自助打印服务</w:t>
            </w:r>
          </w:p>
        </w:tc>
        <w:tc>
          <w:tcPr>
            <w:tcW w:w="353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265FE8">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检查报告自助打印服务采购，报告为彩色报告，包含人工、设备、软件以及耗材等。</w:t>
            </w:r>
          </w:p>
        </w:tc>
        <w:tc>
          <w:tcPr>
            <w:tcW w:w="80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E45DB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2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3E4306">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每份报告</w:t>
            </w:r>
          </w:p>
        </w:tc>
        <w:tc>
          <w:tcPr>
            <w:tcW w:w="1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4F1402">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3.7</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外现有软件供应商友好协商，并于协商前向采购人提交接口方案清单，对接所产生费用的限高价为本项目支付上限的10%。</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64"/>
        <w:gridCol w:w="1404"/>
        <w:gridCol w:w="3625"/>
        <w:gridCol w:w="4054"/>
      </w:tblGrid>
      <w:tr w14:paraId="7B5F2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E6FB1A">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40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A0E76F">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软硬件</w:t>
            </w:r>
          </w:p>
        </w:tc>
        <w:tc>
          <w:tcPr>
            <w:tcW w:w="362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7BBA2A">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生产厂商（全称）</w:t>
            </w:r>
          </w:p>
        </w:tc>
        <w:tc>
          <w:tcPr>
            <w:tcW w:w="405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A534D2">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对接描述</w:t>
            </w:r>
          </w:p>
        </w:tc>
      </w:tr>
      <w:tr w14:paraId="1254F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C94D4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D30BBA">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HIS系统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92FB41">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1D369C">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对接患者基本信息、缴费信息等相关信息</w:t>
            </w:r>
          </w:p>
        </w:tc>
      </w:tr>
      <w:tr w14:paraId="7F5EB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70EBA0">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160554">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银行系统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F834E9">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中国农业银行</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1EB037">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对接院方指定的银行，预留支付接口</w:t>
            </w:r>
          </w:p>
        </w:tc>
      </w:tr>
      <w:tr w14:paraId="6B6D8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C80641">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DF64F8">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医保系统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5A29C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根据医保局实际使用系统情况</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E96AE2">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对接医院医保收费接口</w:t>
            </w:r>
          </w:p>
        </w:tc>
      </w:tr>
      <w:tr w14:paraId="56102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1B523F">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C2A495">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内镜系统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C204CB8">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四川深蓝鸟科技有限公司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D5B7F4D">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获取检查报告信息</w:t>
            </w:r>
          </w:p>
        </w:tc>
      </w:tr>
      <w:tr w14:paraId="32157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34E109">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C4F234">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超声系统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C2FB7E">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成都试金石软件开发有限公司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76B0F1">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获取检查报告信息</w:t>
            </w:r>
          </w:p>
        </w:tc>
      </w:tr>
      <w:tr w14:paraId="19A2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33EF9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551EB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心超系统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2A3366">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成都试金石软件开发有限公司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ED18D6">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获取检查报告信息</w:t>
            </w:r>
          </w:p>
        </w:tc>
      </w:tr>
      <w:tr w14:paraId="53284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4BC084">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E89C89">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病理系统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0B4F4C">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宁波江丰生物信息技术有限公司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3E76E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获取检查报告信息</w:t>
            </w:r>
          </w:p>
        </w:tc>
      </w:tr>
      <w:tr w14:paraId="068E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3B418E7">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8</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EBC8FC">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核医学系统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8D0BB9">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北京天思英弘信息技术有限公司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464CE7">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获取检查报告信息</w:t>
            </w:r>
          </w:p>
        </w:tc>
      </w:tr>
      <w:tr w14:paraId="78D9D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E28C0C">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9</w:t>
            </w:r>
          </w:p>
        </w:tc>
        <w:tc>
          <w:tcPr>
            <w:tcW w:w="14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578892">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签到叫号系统</w:t>
            </w:r>
          </w:p>
        </w:tc>
        <w:tc>
          <w:tcPr>
            <w:tcW w:w="36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A3C112">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成都欧利德电子科技有限公司</w:t>
            </w:r>
          </w:p>
        </w:tc>
        <w:tc>
          <w:tcPr>
            <w:tcW w:w="405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11F465">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对接患者队列数据，实现自助签到</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highlight w:val="none"/>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highlight w:val="none"/>
          <w:lang w:val="en-US" w:eastAsia="zh-CN"/>
        </w:rPr>
        <w:t>1.技术要求</w:t>
      </w:r>
    </w:p>
    <w:p w14:paraId="38BABF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color w:val="auto"/>
          <w:kern w:val="2"/>
          <w:sz w:val="24"/>
          <w:szCs w:val="24"/>
          <w:highlight w:val="none"/>
          <w:shd w:val="clear" w:color="auto" w:fill="auto"/>
          <w:lang w:val="en-US" w:eastAsia="zh-CN" w:bidi="ar"/>
        </w:rPr>
        <w:t>提供不低于32台自助机。</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29"/>
        <w:gridCol w:w="1437"/>
        <w:gridCol w:w="1225"/>
        <w:gridCol w:w="6456"/>
      </w:tblGrid>
      <w:tr w14:paraId="1E3D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72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5783F0">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43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A9336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系统</w:t>
            </w:r>
          </w:p>
        </w:tc>
        <w:tc>
          <w:tcPr>
            <w:tcW w:w="122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D5244F">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模块</w:t>
            </w:r>
          </w:p>
        </w:tc>
        <w:tc>
          <w:tcPr>
            <w:tcW w:w="645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BE0667">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参数</w:t>
            </w:r>
          </w:p>
        </w:tc>
      </w:tr>
      <w:tr w14:paraId="448FC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EC563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437"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1DC9DF">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硬件参数</w:t>
            </w: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0B967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工控</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AD09D1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 专业工控主机：性能不低于 I3 2.5GHz 双核四线程； </w:t>
            </w:r>
          </w:p>
          <w:p w14:paraId="4053414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 内存：≥4G 内存； </w:t>
            </w:r>
          </w:p>
          <w:p w14:paraId="7A804AB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3. 硬盘：≥128G 固态硬盘； </w:t>
            </w:r>
          </w:p>
          <w:p w14:paraId="24C7657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4. RS232 串口：≥6 个； </w:t>
            </w:r>
          </w:p>
          <w:p w14:paraId="1C0E109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5. USB 接口：≥8 个； </w:t>
            </w:r>
          </w:p>
          <w:p w14:paraId="65F2F21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 网卡：100M/1000M 自适应网卡 ≥1 个</w:t>
            </w:r>
          </w:p>
        </w:tc>
      </w:tr>
      <w:tr w14:paraId="1242F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4ECD4C">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E10B76">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34EB2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触显屏</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3DEFF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7. 触摸屏+显示器 </w:t>
            </w:r>
          </w:p>
          <w:p w14:paraId="4838D81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8. ≥32 寸显示面板 </w:t>
            </w:r>
          </w:p>
          <w:p w14:paraId="4929C13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 分辨率 ≥1080P（1920*1080）</w:t>
            </w:r>
          </w:p>
          <w:p w14:paraId="7CFF042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 触摸寿命：单点大于 10 万次</w:t>
            </w:r>
          </w:p>
        </w:tc>
      </w:tr>
      <w:tr w14:paraId="6D88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CA2EA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0B013E">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6D679A">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金属加密键盘</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13339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 键数：16 键金属键盘，10 个数字键，6 个功能键；</w:t>
            </w:r>
          </w:p>
        </w:tc>
      </w:tr>
      <w:tr w14:paraId="365D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C7585A">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B0733E">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84807B">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条码、二维码扫描模块</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C69E4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12. 分辨率 ≥640 * 480 (全局曝光) </w:t>
            </w:r>
          </w:p>
          <w:p w14:paraId="353F664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13. 通讯接口 TTL232, RS232, USB(HID,CDC) </w:t>
            </w:r>
          </w:p>
          <w:p w14:paraId="3380686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14. 识读精度： ≥5mil </w:t>
            </w:r>
          </w:p>
          <w:p w14:paraId="54929D8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15. 旋转灵敏度：旋转 360°倾斜 ±50°偏转 ±50° </w:t>
            </w:r>
          </w:p>
          <w:p w14:paraId="4B47FF6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16. 符号反差≥ 30% </w:t>
            </w:r>
          </w:p>
          <w:p w14:paraId="0DCE433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17. 视场角：水平 68°±5°垂直 51°±5° </w:t>
            </w:r>
          </w:p>
          <w:p w14:paraId="74FBA79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18. 尺寸(mm)：长 65±5，宽 61±5，高 30±5 ( L x W x H)</w:t>
            </w:r>
          </w:p>
        </w:tc>
      </w:tr>
      <w:tr w14:paraId="27298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9BD632">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CAF1E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98DAB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身份证阅读模块</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64FB1A">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19. 保密模块：身份证核验系统专用模块； </w:t>
            </w:r>
          </w:p>
          <w:p w14:paraId="7A8D2A1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 读卡时间：≤1.0s；</w:t>
            </w:r>
          </w:p>
          <w:p w14:paraId="2AC37B8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21.符合 《GA450-2013 台式居民身份证阅读器通用技术要求》</w:t>
            </w:r>
          </w:p>
        </w:tc>
      </w:tr>
      <w:tr w14:paraId="56A97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944FF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F1904D">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F973B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凭条一体机</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1071A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22. 打印密度：≥8 点/mm </w:t>
            </w:r>
          </w:p>
          <w:p w14:paraId="42BD8FC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23. 打印速度：≥150mm/s（Max） </w:t>
            </w:r>
          </w:p>
          <w:p w14:paraId="312DD60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24. 打印宽度：79.5 ±0.5 毫米 </w:t>
            </w:r>
          </w:p>
          <w:p w14:paraId="1BBE819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25. 纸张类型：热敏纸</w:t>
            </w:r>
          </w:p>
          <w:p w14:paraId="70B93EB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26. 缺纸检测：预缺纸（少纸）检测、缺纸检测、缺纸报警</w:t>
            </w:r>
          </w:p>
        </w:tc>
      </w:tr>
      <w:tr w14:paraId="5D9B5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FC200B">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D05B8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9047E5">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打印模块</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0A17E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27. 支持彩色图文打印设备 </w:t>
            </w:r>
          </w:p>
          <w:p w14:paraId="6BD42C5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28. 单面支持纸张尺寸 A4；A5 </w:t>
            </w:r>
          </w:p>
          <w:p w14:paraId="418F87D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29. 月负荷：≥50000 页 </w:t>
            </w:r>
          </w:p>
          <w:p w14:paraId="511AD9F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30. 分辨率: 不低于600 x 600 dpi </w:t>
            </w:r>
          </w:p>
          <w:p w14:paraId="164976F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31. 进纸盒容量：≥250 页； </w:t>
            </w:r>
          </w:p>
          <w:p w14:paraId="57AAD70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32. 打印速度:≥24 页/分</w:t>
            </w:r>
          </w:p>
        </w:tc>
      </w:tr>
      <w:tr w14:paraId="54866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D4339B">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55DCE6">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F51152">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电动读卡器</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AC355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33.支持磁卡、IC 卡、RF 卡 </w:t>
            </w:r>
          </w:p>
          <w:p w14:paraId="689830F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34.支持自动识别异物：有</w:t>
            </w:r>
          </w:p>
        </w:tc>
      </w:tr>
      <w:tr w14:paraId="7D7A8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65C10F">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D03791">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507145">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时控开关</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E2763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35.支持对自助终端进行定时开关机统一管理</w:t>
            </w:r>
          </w:p>
        </w:tc>
      </w:tr>
      <w:tr w14:paraId="21446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96AB9E">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CE74FB">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8D614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val="0"/>
                <w:bCs/>
                <w:kern w:val="0"/>
                <w:sz w:val="24"/>
                <w:szCs w:val="24"/>
                <w:lang w:val="en-US" w:eastAsia="zh-CN" w:bidi="ar"/>
              </w:rPr>
            </w:pPr>
            <w:r>
              <w:rPr>
                <w:rStyle w:val="21"/>
                <w:rFonts w:hint="eastAsia" w:ascii="仿宋" w:hAnsi="仿宋" w:eastAsia="仿宋" w:cs="仿宋"/>
                <w:b w:val="0"/>
                <w:bCs/>
                <w:kern w:val="0"/>
                <w:sz w:val="24"/>
                <w:szCs w:val="24"/>
                <w:lang w:val="en-US" w:eastAsia="zh-CN" w:bidi="ar"/>
              </w:rPr>
              <w:t>机柜</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6B481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36.维护方式：前开门翻盖维护</w:t>
            </w:r>
          </w:p>
        </w:tc>
      </w:tr>
      <w:tr w14:paraId="799E6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restart"/>
            <w:tcBorders>
              <w:top w:val="nil"/>
              <w:left w:val="single" w:color="auto" w:sz="6" w:space="0"/>
              <w:right w:val="single" w:color="auto" w:sz="6" w:space="0"/>
            </w:tcBorders>
            <w:shd w:val="clear" w:color="auto" w:fill="auto"/>
            <w:tcMar>
              <w:top w:w="0" w:type="dxa"/>
              <w:left w:w="105" w:type="dxa"/>
              <w:bottom w:w="0" w:type="dxa"/>
              <w:right w:w="105" w:type="dxa"/>
            </w:tcMar>
            <w:vAlign w:val="center"/>
          </w:tcPr>
          <w:p w14:paraId="0C460F5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437" w:type="dxa"/>
            <w:vMerge w:val="restart"/>
            <w:tcBorders>
              <w:top w:val="nil"/>
              <w:left w:val="single" w:color="auto" w:sz="6" w:space="0"/>
              <w:right w:val="single" w:color="auto" w:sz="6" w:space="0"/>
            </w:tcBorders>
            <w:shd w:val="clear" w:color="auto" w:fill="auto"/>
            <w:tcMar>
              <w:top w:w="0" w:type="dxa"/>
              <w:left w:w="105" w:type="dxa"/>
              <w:bottom w:w="0" w:type="dxa"/>
              <w:right w:w="105" w:type="dxa"/>
            </w:tcMar>
            <w:vAlign w:val="center"/>
          </w:tcPr>
          <w:p w14:paraId="6C2B2437">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软件参数</w:t>
            </w: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6E0B3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就诊介质</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616EEA">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支持患者使用身份证、院内就诊卡、外国人永久居留身份 证（新旧版）、电子社保卡、医保电子凭证、实体医保卡、 电子健康卡在自助机上做介质用。支持在自助机上使用成都市人社电子社保卡通过一卡通平台做介质用。</w:t>
            </w:r>
          </w:p>
        </w:tc>
      </w:tr>
      <w:tr w14:paraId="18595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5D34309E">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0FDE2A9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CA6F7F2">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报告</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18E59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1、内镜报告：通过使用院内就诊介质在自助机打印已审核后的内镜报告，支持功能开关配置。</w:t>
            </w:r>
          </w:p>
          <w:p w14:paraId="64EC822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2、超声报告：通过使用院内就诊介质在自助机打印已审核后的超声报告，支持功能开关配置。</w:t>
            </w:r>
          </w:p>
          <w:p w14:paraId="0366423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3、心超报告：通过使用院内就诊介质在自助机打印已审核后的心超报告，支持功能开关配置。</w:t>
            </w:r>
          </w:p>
          <w:p w14:paraId="1111FAB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4、病理报告：通过使用院内就诊介质在自助机打印已审核后的病理报告，支持功能开关配置。</w:t>
            </w:r>
          </w:p>
          <w:p w14:paraId="066AC87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5、核医学报告：通过使用院内就诊介质在自助机上打印</w:t>
            </w:r>
            <w:bookmarkStart w:id="15" w:name="OLE_LINK4"/>
            <w:bookmarkEnd w:id="15"/>
            <w:r>
              <w:rPr>
                <w:rFonts w:hint="eastAsia" w:ascii="仿宋" w:hAnsi="仿宋" w:eastAsia="仿宋" w:cs="仿宋"/>
                <w:kern w:val="0"/>
                <w:sz w:val="24"/>
                <w:szCs w:val="24"/>
                <w:lang w:val="en-US" w:eastAsia="zh-CN" w:bidi="ar"/>
              </w:rPr>
              <w:t>已审核后的核医学报告（ECT、骨密度），支持功能开关配置。</w:t>
            </w:r>
          </w:p>
        </w:tc>
      </w:tr>
      <w:tr w14:paraId="3D515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4DD873EF">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25E8615E">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DE2287">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患者签到</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97DE6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6、支持在自助机上实现排队签到、医技签到。</w:t>
            </w:r>
          </w:p>
        </w:tc>
      </w:tr>
      <w:tr w14:paraId="6FA67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61EFB737">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5B711A6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23DA2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支付功能</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A45C0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对接院方指定的银行，预留支付接口</w:t>
            </w:r>
          </w:p>
        </w:tc>
      </w:tr>
      <w:tr w14:paraId="4DD8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6F35BAC2">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0CC6EA9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637AB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后台数据统计</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244CC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图形报表：通过时间维度统计分析业务类型饼状图。 </w:t>
            </w:r>
          </w:p>
          <w:p w14:paraId="6EB8BDF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纸张统计：并支持根据类型进行分类统计</w:t>
            </w:r>
          </w:p>
          <w:p w14:paraId="4E8DCED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打印记录:查询并展示当前所有打印情况如：病人ID, 病 人姓名,报告ID,终端, 院区, 打印类型, 报告时间, 打印时间等 </w:t>
            </w:r>
          </w:p>
          <w:p w14:paraId="00EC359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缴费明细:查询并展示当前所有收费记录。如:终端号、患者卡号、患者基本信息、业务类型(挂号、缴费、住院预交等)以及对应的银行收款信息、社保收款信息和提交HIS状态等。对查询结果支持数据导出。</w:t>
            </w:r>
          </w:p>
        </w:tc>
      </w:tr>
      <w:tr w14:paraId="772E4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5190E185">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57D6EE4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8485B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后台设备管理</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432E0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设备列表:支持实时查询当前所有设备，包括设备终端号、IP、软件版本、设备状态、更新时间、所在位置、设备型号、MAC地址等。并支持新增、修改、删除、停用设备。对 查询结果支持数据导出。 </w:t>
            </w:r>
          </w:p>
          <w:p w14:paraId="2C957A0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异常列表:支持实时查询当前异常设备包括设备终端号、IP、软件版本、设备状态、更新时间、所在位置、设备型号、MAC地址及导出等。 </w:t>
            </w:r>
          </w:p>
          <w:p w14:paraId="48FDB79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设备控制:对所有设备进行管理，支持关机、重启、升级、暂停、修改开关机时间、查看维修记录、开关终端功能等。 </w:t>
            </w:r>
          </w:p>
          <w:p w14:paraId="64E7C48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维护记录:通过时间、设备编号、错误状态、错误状态码查看故障设备的维修记录。包括故障的开始时间，结束时间，耗时时长。以及错误状态。 </w:t>
            </w:r>
          </w:p>
          <w:p w14:paraId="0047482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广告发布:支持在后台发布视频或图片。对终端播放的广告内容进行更新。</w:t>
            </w:r>
          </w:p>
        </w:tc>
      </w:tr>
      <w:tr w14:paraId="78E1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5FB1705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095FBD58">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35ED5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后台系统设置</w:t>
            </w:r>
          </w:p>
        </w:tc>
        <w:tc>
          <w:tcPr>
            <w:tcW w:w="64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FFCE9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主要配置：对系统的基本配置进行设置，如系统名称，是否进行短信故障通知、是否显示医保交易信息、设备功能等。 </w:t>
            </w:r>
          </w:p>
          <w:p w14:paraId="6A068A3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院区管理：支持对院区进行新增、修改、删除以及导出。 </w:t>
            </w:r>
          </w:p>
          <w:p w14:paraId="52F0F40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楼栋管理：对院内楼栋进行基本的新增、修改、删除、所属院区等基本信息进行维护。 </w:t>
            </w:r>
          </w:p>
          <w:p w14:paraId="3682DCB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状态代码：对终端出现的故障状态代码进行基本维护。</w:t>
            </w:r>
          </w:p>
        </w:tc>
      </w:tr>
      <w:tr w14:paraId="6DC1C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7B31DAF4">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218809D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nil"/>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7336710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后台系统管理</w:t>
            </w:r>
          </w:p>
        </w:tc>
        <w:tc>
          <w:tcPr>
            <w:tcW w:w="6456" w:type="dxa"/>
            <w:tcBorders>
              <w:top w:val="nil"/>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57C0CCF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用户管理：对系统分配的用户进行基本的新增、修改、删除以及权限进行管理，或密码重置等。 </w:t>
            </w:r>
          </w:p>
          <w:p w14:paraId="5069032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角色管理：新增、修改、删除系统分配的角色。以及对角色权限进行分配。</w:t>
            </w:r>
          </w:p>
          <w:p w14:paraId="4F7D73B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日志管理：操作日志:通过系统模块、操作人员、类型、状态、时间等条件查询条件范围类的操作情况。以便对相关数据进行索源。登录日志：可实时查看所有用户的登录情况包括登录IP，登录时间，登录的操作系统、浏览器等。</w:t>
            </w:r>
          </w:p>
          <w:p w14:paraId="17CA91F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定时任务：对系统的定时任务进行管理及维护</w:t>
            </w:r>
          </w:p>
        </w:tc>
      </w:tr>
      <w:tr w14:paraId="263BA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4727CC26">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3541201F">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319F7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建档/取票</w:t>
            </w:r>
          </w:p>
        </w:tc>
        <w:tc>
          <w:tcPr>
            <w:tcW w:w="645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30639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支持患者使用身份证、院内就诊卡外国人永久居留身份证(新旧版)、电子社保卡、医保电子凭证、实体医保卡、电子健康卡在自助机上建档取票。支持在自助机上进行入院登记。与门诊现有自助机功能一致。</w:t>
            </w:r>
          </w:p>
        </w:tc>
      </w:tr>
      <w:tr w14:paraId="27622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6B4C715C">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4C063421">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8E1361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挂号/取号</w:t>
            </w:r>
          </w:p>
        </w:tc>
        <w:tc>
          <w:tcPr>
            <w:tcW w:w="645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C1EF1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支持在自助终端当日挂号、预约挂号通过微信扫码、微信刷掌、支付宝、云闪付主扫或被扫支付、银行卡支付、银行网金医保,人社支付平台支付，统一支付平台支付，医保支付，混合支付，共济支付。与门诊现有自助机功能一致。</w:t>
            </w:r>
          </w:p>
        </w:tc>
      </w:tr>
      <w:tr w14:paraId="643C4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1D3CD99A">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right w:val="single" w:color="auto" w:sz="6" w:space="0"/>
            </w:tcBorders>
            <w:shd w:val="clear" w:color="auto" w:fill="auto"/>
            <w:tcMar>
              <w:top w:w="0" w:type="dxa"/>
              <w:left w:w="105" w:type="dxa"/>
              <w:bottom w:w="0" w:type="dxa"/>
              <w:right w:w="105" w:type="dxa"/>
            </w:tcMar>
            <w:vAlign w:val="center"/>
          </w:tcPr>
          <w:p w14:paraId="6EA0A6B9">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2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BCF870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缴费</w:t>
            </w:r>
          </w:p>
        </w:tc>
        <w:tc>
          <w:tcPr>
            <w:tcW w:w="645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C7805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支持在自助终端通过微信扫码、微信刷掌支付宝、云闪付主扫或被扫支付、银行卡支付、银行网金医保,人社支付平台支付统一支付平台支付，医保支付，混合支付，共济支付实现门诊缴费、体检缴费、门特缴费，重特缴费、多病种缴费、自助开单并缴费。与门诊现有自助机功能一致。</w:t>
            </w:r>
          </w:p>
        </w:tc>
      </w:tr>
      <w:tr w14:paraId="587AD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vMerge w:val="continue"/>
            <w:tcBorders>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2CEC3996">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1437" w:type="dxa"/>
            <w:vMerge w:val="continue"/>
            <w:tcBorders>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center"/>
          </w:tcPr>
          <w:p w14:paraId="28D38AF2">
            <w:pPr>
              <w:keepNext w:val="0"/>
              <w:keepLines w:val="0"/>
              <w:pageBreakBefore w:val="0"/>
              <w:widowControl/>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bidi="ar"/>
              </w:rPr>
            </w:pPr>
          </w:p>
        </w:tc>
        <w:tc>
          <w:tcPr>
            <w:tcW w:w="7681"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C4F91B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支持院内检验、检查报告查询。</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13"/>
        <w:gridCol w:w="1489"/>
        <w:gridCol w:w="6109"/>
        <w:gridCol w:w="1436"/>
      </w:tblGrid>
      <w:tr w14:paraId="182A3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3"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4F3C430">
            <w:pPr>
              <w:keepNext w:val="0"/>
              <w:keepLines w:val="0"/>
              <w:pageBreakBefore w:val="0"/>
              <w:widowControl/>
              <w:suppressLineNumbers w:val="0"/>
              <w:kinsoku/>
              <w:wordWrap/>
              <w:overflowPunct/>
              <w:topLinePunct w:val="0"/>
              <w:autoSpaceDN/>
              <w:bidi w:val="0"/>
              <w:adjustRightInd w:val="0"/>
              <w:snapToGrid w:val="0"/>
              <w:spacing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48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23ED3B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10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78FCDD2">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BD79D8F">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46346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4719C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48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9D4F9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EC2017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667271A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0586153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0038FEBD">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3、数据质量：</w:t>
            </w:r>
            <w:r>
              <w:rPr>
                <w:rFonts w:hint="eastAsia" w:ascii="仿宋" w:hAnsi="仿宋" w:eastAsia="仿宋" w:cs="仿宋"/>
                <w:kern w:val="0"/>
                <w:sz w:val="24"/>
                <w:szCs w:val="24"/>
                <w:lang w:val="en-US" w:eastAsia="zh-CN" w:bidi="ar"/>
              </w:rPr>
              <w:t>供应商收到异议后，成交供应商应在5个工作日内对数据质量问题进行原因查找和反馈，30个工作日内对数据质量问题进行数据清洗；</w:t>
            </w:r>
          </w:p>
          <w:p w14:paraId="0F128B5D">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13593804">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shd w:val="clear" w:color="auto" w:fill="auto"/>
                <w:lang w:val="en-US" w:eastAsia="zh-CN" w:bidi="ar"/>
              </w:rPr>
              <w:t>5、备件供应：</w:t>
            </w:r>
            <w:r>
              <w:rPr>
                <w:rFonts w:hint="eastAsia" w:ascii="仿宋" w:hAnsi="仿宋" w:eastAsia="仿宋" w:cs="仿宋"/>
                <w:kern w:val="0"/>
                <w:sz w:val="24"/>
                <w:szCs w:val="24"/>
                <w:shd w:val="clear" w:color="auto" w:fill="auto"/>
                <w:lang w:val="en-US" w:eastAsia="zh-CN" w:bidi="ar"/>
              </w:rPr>
              <w:t>服务期内设备故障并经排查，明确2小时内无法恢复，应当在4小时内提供相同类型和性能的可用机器恢复业务工作，直至故障排除；本部现场预备至少1台可随时使用的备机；</w:t>
            </w:r>
          </w:p>
          <w:p w14:paraId="338C6AFB">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6、定期巡检：</w:t>
            </w:r>
            <w:r>
              <w:rPr>
                <w:rFonts w:hint="eastAsia" w:ascii="仿宋" w:hAnsi="仿宋" w:eastAsia="仿宋" w:cs="仿宋"/>
                <w:kern w:val="0"/>
                <w:sz w:val="24"/>
                <w:szCs w:val="24"/>
                <w:lang w:val="en-US" w:eastAsia="zh-CN" w:bidi="ar"/>
              </w:rPr>
              <w:t>服务期内每月提供至少1次软硬件服务期巡检报告；</w:t>
            </w:r>
          </w:p>
          <w:p w14:paraId="2DF9D9E0">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7、培训服务：</w:t>
            </w:r>
            <w:r>
              <w:rPr>
                <w:rFonts w:hint="eastAsia" w:ascii="仿宋" w:hAnsi="仿宋" w:eastAsia="仿宋" w:cs="仿宋"/>
                <w:kern w:val="0"/>
                <w:sz w:val="24"/>
                <w:szCs w:val="24"/>
                <w:lang w:val="en-US" w:eastAsia="zh-CN" w:bidi="ar"/>
              </w:rPr>
              <w:t>每年提供≥2次培训服务，并提交培训方案和签到表；</w:t>
            </w:r>
          </w:p>
          <w:p w14:paraId="48D94A5E">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8、文档服务：</w:t>
            </w:r>
            <w:r>
              <w:rPr>
                <w:rFonts w:hint="eastAsia" w:ascii="仿宋" w:hAnsi="仿宋" w:eastAsia="仿宋" w:cs="仿宋"/>
                <w:kern w:val="0"/>
                <w:sz w:val="24"/>
                <w:szCs w:val="24"/>
                <w:lang w:val="en-US" w:eastAsia="zh-CN" w:bidi="ar"/>
              </w:rPr>
              <w:t>上线运行之日提交本次采购内容的《四川省人民医院应用系统档案》。服务期满后需提交本次采购内容的运维记录签字扫描版本。</w:t>
            </w:r>
          </w:p>
          <w:p w14:paraId="648E0878">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9、</w:t>
            </w:r>
            <w:r>
              <w:rPr>
                <w:rStyle w:val="21"/>
                <w:rFonts w:hint="eastAsia" w:ascii="仿宋" w:hAnsi="仿宋" w:eastAsia="仿宋" w:cs="仿宋"/>
                <w:kern w:val="0"/>
                <w:sz w:val="24"/>
                <w:szCs w:val="24"/>
                <w:lang w:val="en-US" w:eastAsia="zh-CN" w:bidi="ar"/>
              </w:rPr>
              <w:t>人员服务：</w:t>
            </w:r>
            <w:r>
              <w:rPr>
                <w:rFonts w:hint="eastAsia" w:ascii="仿宋" w:hAnsi="仿宋" w:eastAsia="仿宋" w:cs="仿宋"/>
                <w:kern w:val="0"/>
                <w:sz w:val="24"/>
                <w:szCs w:val="24"/>
                <w:shd w:val="clear" w:color="auto" w:fill="auto"/>
                <w:lang w:val="en-US" w:eastAsia="zh-CN" w:bidi="ar"/>
              </w:rPr>
              <w:t>服务期间提供至少3名导医（引导患者自助打印报告）和至少2名专业技术人员（负责自助机和打印机维护、耗材配送和更换），常驻采购人现场工作；工作时间 8：00-17：30 上班，17：30-次日 8：00 值班（至少安排一人现场值守），全年 365 天不休（包括法定节假日），如遇紧急事件（系统上线、科室搬家、新建指挥中心等重要事件）根据采购人要求增派维护维修人员现场跟踪处理。</w:t>
            </w:r>
          </w:p>
          <w:p w14:paraId="54AA1661">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10、</w:t>
            </w:r>
            <w:r>
              <w:rPr>
                <w:rStyle w:val="21"/>
                <w:rFonts w:hint="eastAsia" w:ascii="仿宋" w:hAnsi="仿宋" w:eastAsia="仿宋" w:cs="仿宋"/>
                <w:kern w:val="0"/>
                <w:sz w:val="24"/>
                <w:szCs w:val="24"/>
                <w:lang w:val="en-US" w:eastAsia="zh-CN" w:bidi="ar"/>
              </w:rPr>
              <w:t>其他：</w:t>
            </w:r>
            <w:r>
              <w:rPr>
                <w:rFonts w:hint="eastAsia" w:ascii="仿宋" w:hAnsi="仿宋" w:eastAsia="仿宋" w:cs="仿宋"/>
                <w:kern w:val="0"/>
                <w:sz w:val="24"/>
                <w:szCs w:val="24"/>
                <w:lang w:val="en-US" w:eastAsia="zh-CN" w:bidi="ar"/>
              </w:rPr>
              <w:t>1）服务期内，采购人</w:t>
            </w:r>
            <w:r>
              <w:rPr>
                <w:rStyle w:val="21"/>
                <w:rFonts w:hint="eastAsia" w:ascii="仿宋" w:hAnsi="仿宋" w:eastAsia="仿宋" w:cs="仿宋"/>
                <w:kern w:val="0"/>
                <w:sz w:val="24"/>
                <w:szCs w:val="24"/>
                <w:u w:val="single"/>
                <w:lang w:val="en-US" w:eastAsia="zh-CN" w:bidi="ar"/>
              </w:rPr>
              <w:t>每月</w:t>
            </w:r>
            <w:r>
              <w:rPr>
                <w:rFonts w:hint="eastAsia" w:ascii="仿宋" w:hAnsi="仿宋" w:eastAsia="仿宋" w:cs="仿宋"/>
                <w:kern w:val="0"/>
                <w:sz w:val="24"/>
                <w:szCs w:val="24"/>
                <w:lang w:val="en-US" w:eastAsia="zh-CN" w:bidi="ar"/>
              </w:rPr>
              <w:t>按照</w:t>
            </w:r>
            <w:r>
              <w:rPr>
                <w:rStyle w:val="21"/>
                <w:rFonts w:hint="eastAsia" w:ascii="仿宋" w:hAnsi="仿宋" w:eastAsia="仿宋" w:cs="仿宋"/>
                <w:kern w:val="0"/>
                <w:sz w:val="24"/>
                <w:szCs w:val="24"/>
                <w:lang w:val="en-US" w:eastAsia="zh-CN" w:bidi="ar"/>
              </w:rPr>
              <w:t>四川省人民医院供应商考核</w:t>
            </w:r>
            <w:r>
              <w:rPr>
                <w:rFonts w:hint="eastAsia" w:ascii="仿宋" w:hAnsi="仿宋" w:eastAsia="仿宋" w:cs="仿宋"/>
                <w:kern w:val="0"/>
                <w:sz w:val="24"/>
                <w:szCs w:val="24"/>
                <w:lang w:val="en-US" w:eastAsia="zh-CN" w:bidi="ar"/>
              </w:rPr>
              <w:t>指标对供应商行为进行评价考核，考核结果关联最终付款金额和履约保证金</w:t>
            </w:r>
            <w:r>
              <w:rPr>
                <w:rFonts w:hint="eastAsia" w:ascii="仿宋" w:hAnsi="仿宋" w:eastAsia="仿宋" w:cs="仿宋"/>
                <w:kern w:val="0"/>
                <w:sz w:val="24"/>
                <w:szCs w:val="24"/>
                <w:shd w:val="clear" w:color="auto" w:fill="auto"/>
                <w:lang w:val="en-US" w:eastAsia="zh-CN" w:bidi="ar"/>
              </w:rPr>
              <w:t>（如有履约保证金）</w:t>
            </w:r>
            <w:r>
              <w:rPr>
                <w:rFonts w:hint="eastAsia" w:ascii="仿宋" w:hAnsi="仿宋" w:eastAsia="仿宋" w:cs="仿宋"/>
                <w:kern w:val="0"/>
                <w:sz w:val="24"/>
                <w:szCs w:val="24"/>
                <w:lang w:val="en-US" w:eastAsia="zh-CN" w:bidi="ar"/>
              </w:rPr>
              <w:t>。</w:t>
            </w:r>
          </w:p>
          <w:p w14:paraId="6BF3320E">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2）成交供应商应当与本项目相关的第三方保持有痕的沟通，明确项目的具体要求和功能等方面的细节。采购人负责组织、监督和验收，以确保项目的顺利完成。</w:t>
            </w:r>
          </w:p>
          <w:p w14:paraId="638057D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3）如涉及因本项目开发的系统原因造成采购人的经济损失，由成交供应商负责向采购人进行赔偿。</w:t>
            </w:r>
          </w:p>
        </w:tc>
        <w:tc>
          <w:tcPr>
            <w:tcW w:w="1436"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D20EED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采购人现行服务合同结束后，以采购人书面通知供应商的时间作为本项目服务期起始时间，服务期1年，或达到合同支付上限，以先到达的作为服务期截止时间。</w:t>
            </w:r>
          </w:p>
        </w:tc>
      </w:tr>
      <w:tr w14:paraId="05B6E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1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F90475">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auto"/>
                <w:kern w:val="0"/>
                <w:sz w:val="24"/>
                <w:szCs w:val="24"/>
                <w:shd w:val="clear" w:color="auto" w:fill="auto"/>
                <w:lang w:val="en-US" w:eastAsia="zh-CN" w:bidi="ar"/>
              </w:rPr>
            </w:pPr>
            <w:r>
              <w:rPr>
                <w:rStyle w:val="21"/>
                <w:rFonts w:hint="eastAsia" w:ascii="仿宋" w:hAnsi="仿宋" w:eastAsia="仿宋" w:cs="仿宋"/>
                <w:color w:val="auto"/>
                <w:kern w:val="0"/>
                <w:sz w:val="24"/>
                <w:szCs w:val="24"/>
                <w:shd w:val="clear" w:color="auto" w:fill="auto"/>
                <w:lang w:val="en-US" w:eastAsia="zh-CN" w:bidi="ar"/>
              </w:rPr>
              <w:t>2</w:t>
            </w:r>
          </w:p>
        </w:tc>
        <w:tc>
          <w:tcPr>
            <w:tcW w:w="148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A4726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auto"/>
                <w:kern w:val="0"/>
                <w:sz w:val="24"/>
                <w:szCs w:val="24"/>
                <w:shd w:val="clear" w:color="auto" w:fill="auto"/>
                <w:lang w:val="en-US" w:eastAsia="zh-CN" w:bidi="ar"/>
              </w:rPr>
            </w:pPr>
            <w:r>
              <w:rPr>
                <w:rStyle w:val="21"/>
                <w:rFonts w:hint="eastAsia" w:ascii="仿宋" w:hAnsi="仿宋" w:eastAsia="仿宋" w:cs="仿宋"/>
                <w:color w:val="auto"/>
                <w:kern w:val="0"/>
                <w:sz w:val="24"/>
                <w:szCs w:val="24"/>
                <w:shd w:val="clear" w:color="auto" w:fill="auto"/>
                <w:lang w:val="en-US" w:eastAsia="zh-CN" w:bidi="ar"/>
              </w:rPr>
              <w:t>质保服务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256E5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auto"/>
                <w:kern w:val="0"/>
                <w:sz w:val="24"/>
                <w:szCs w:val="24"/>
                <w:shd w:val="clear" w:color="auto" w:fill="auto"/>
                <w:lang w:val="en-US" w:eastAsia="zh-CN" w:bidi="ar"/>
              </w:rPr>
            </w:pPr>
            <w:r>
              <w:rPr>
                <w:rFonts w:hint="eastAsia" w:ascii="仿宋" w:hAnsi="仿宋" w:eastAsia="仿宋" w:cs="仿宋"/>
                <w:color w:val="auto"/>
                <w:kern w:val="0"/>
                <w:sz w:val="24"/>
                <w:szCs w:val="24"/>
                <w:shd w:val="clear" w:color="auto" w:fill="auto"/>
                <w:lang w:val="en-US" w:eastAsia="zh-CN" w:bidi="ar"/>
              </w:rPr>
              <w:t>保证软硬件功能正常运行，提供7*24小时原厂质保服务。</w:t>
            </w:r>
          </w:p>
        </w:tc>
        <w:tc>
          <w:tcPr>
            <w:tcW w:w="1436"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DC7656">
            <w:pPr>
              <w:keepNext w:val="0"/>
              <w:keepLines w:val="0"/>
              <w:pageBreakBefore w:val="0"/>
              <w:widowControl/>
              <w:kinsoku/>
              <w:wordWrap/>
              <w:overflowPunct/>
              <w:topLinePunct w:val="0"/>
              <w:autoSpaceDN/>
              <w:bidi w:val="0"/>
              <w:adjustRightInd w:val="0"/>
              <w:snapToGrid w:val="0"/>
              <w:spacing w:line="240" w:lineRule="auto"/>
              <w:jc w:val="left"/>
              <w:textAlignment w:val="auto"/>
              <w:rPr>
                <w:rFonts w:hint="eastAsia" w:ascii="仿宋" w:hAnsi="仿宋" w:eastAsia="仿宋" w:cs="仿宋"/>
                <w:kern w:val="0"/>
                <w:sz w:val="24"/>
                <w:szCs w:val="24"/>
                <w:lang w:bidi="ar"/>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1.实施时间：本项目合同签订生效后，供应商应在接到采购人书面通知后5个工作日内开始实施。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30 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08A6E3D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试运行期：试运行期为实施结束后(即完成本项目包含的所有软硬件功能的上线运行)5工作日，试运行期间，如发现软件有缺陷，或性能和质量不符合本项目。须对相关问题进行修改和更正，同时试运行期时限按照上述修改、更正期进行相应顺延，连续2次整改未通过，采购人有权终止合同，合同所有款项将不予支付（如有履约保证金，将不予退还）。</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本项目每三个月结算一次，每三个月服务完成后，供应商须根据本项目成交单价及实际服务情况向采购人提供结算费用清单进行确认，并在确认后5日内按确认金额向采购人提供合法有效票据及其他相关请款资料，采购人于接到上述票据及资料后的55日内支付相应价款（如有因考核等原因产生的扣款，应在支付前予以扣除），服务期内结算总金额不超过100万元。</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bookmarkStart w:id="16" w:name="_Toc153964904"/>
      <w:bookmarkEnd w:id="16"/>
      <w:bookmarkStart w:id="17" w:name="_Toc18622"/>
      <w:bookmarkEnd w:id="17"/>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（5）履约验收内容：按照基于本项目采购需求编制的采购文件要求及供应商响应文件情况，由供应商向采购人提供的本项目包含的所有软硬件功能。</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（6）履约验收时间：实施期结束后5日内通知采购人验收，采购人接供应商通知后10日内组织验收。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20C349A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0D7876FA">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1.综合实力</w:t>
      </w:r>
    </w:p>
    <w:p w14:paraId="4B03295A">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（1）供应商提供自助机生产厂家具有由国家版权局颁发的涉及“文档扫描”“图像识别”“信息集成”“GB18930中文字符打印”“图文识别”类似技术能力的有效软件著作权证书。</w:t>
      </w:r>
    </w:p>
    <w:p w14:paraId="25FEDC9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提供在全国范围内与采购人现有系统完成对接，系统厂商（①东软集团股份有限公司的HIS系统；②东软集团股份有限公司的LIS系统；③成都试金石软件开发有限公司的超声系统；④成都欧利德科技有限公司的电子签到系统；⑤厦门纳龙科技有限公司的心电系统；⑥四川深蓝鸟科技有限公司的内镜系统）出具通过相应系统融合性测试的证明文件复印件。</w:t>
      </w:r>
    </w:p>
    <w:p w14:paraId="4945CDB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2.人员配置</w:t>
      </w:r>
    </w:p>
    <w:p w14:paraId="58A0B12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（1）供应商针对本项目拟派项目负责人（1人）：具有计算机类或电子技术类专业职称证书。</w:t>
      </w:r>
    </w:p>
    <w:p w14:paraId="1493525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（2）供应商针对本项目拟派项目团队人员（除项目负责人外）：具有计算机类或电子技术类专业职称证书。</w:t>
      </w:r>
    </w:p>
    <w:p w14:paraId="2101F80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3.项目实施方案</w:t>
      </w:r>
    </w:p>
    <w:p w14:paraId="64468BC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供应商根据本项目特点，提供项目实施方案。方案包括：①项目进度安排与保障；②项目质量保障；③培训计划；④巡检方案。</w:t>
      </w:r>
    </w:p>
    <w:p w14:paraId="7C9E405C">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lang w:val="en-US" w:eastAsia="zh-CN"/>
        </w:rPr>
        <w:t>运维服务方案</w:t>
      </w:r>
    </w:p>
    <w:p w14:paraId="561704E9">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供应商根据本项目特点，提供运维服务方案。方案包括：①运维服务方案；②服务过程中可能出现的技术问题分析；③技术问题解决方案及服务响应时间。</w:t>
      </w:r>
    </w:p>
    <w:p w14:paraId="127CE179">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5.业绩</w:t>
      </w:r>
    </w:p>
    <w:p w14:paraId="79CCF364">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供应商提供2023年1月1日（含）以来自助打印服务类似项目的业绩证明</w:t>
      </w:r>
      <w:r>
        <w:rPr>
          <w:rFonts w:hint="eastAsia" w:ascii="仿宋" w:hAnsi="仿宋" w:eastAsia="仿宋" w:cs="仿宋"/>
          <w:sz w:val="24"/>
          <w:szCs w:val="24"/>
          <w:lang w:val="en-US" w:eastAsia="zh-CN"/>
        </w:rPr>
        <w:t>。</w:t>
      </w:r>
    </w:p>
    <w:p w14:paraId="406146BE">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Chars="200"/>
        <w:textAlignment w:val="auto"/>
        <w:rPr>
          <w:rFonts w:hint="default" w:ascii="仿宋" w:hAnsi="仿宋" w:eastAsia="仿宋" w:cs="仿宋"/>
          <w:sz w:val="24"/>
          <w:szCs w:val="24"/>
          <w:lang w:val="en-US" w:eastAsia="zh-CN"/>
        </w:rPr>
      </w:pP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3E3E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8520" w:type="dxa"/>
            <w:gridSpan w:val="6"/>
            <w:shd w:val="clear" w:color="auto" w:fill="auto"/>
            <w:tcMar>
              <w:top w:w="0" w:type="dxa"/>
              <w:left w:w="105" w:type="dxa"/>
              <w:bottom w:w="0" w:type="dxa"/>
              <w:right w:w="105" w:type="dxa"/>
            </w:tcMar>
            <w:vAlign w:val="top"/>
          </w:tcPr>
          <w:p w14:paraId="2A100B6E">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四川省人民医院供应商考核</w:t>
            </w:r>
          </w:p>
        </w:tc>
      </w:tr>
      <w:tr w14:paraId="1788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01CB1D2">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1D361B5D">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05149ECD">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0C91193E">
            <w:pPr>
              <w:keepNext w:val="0"/>
              <w:keepLines w:val="0"/>
              <w:widowControl/>
              <w:suppressLineNumbers w:val="0"/>
              <w:jc w:val="left"/>
              <w:rPr>
                <w:rFonts w:hint="eastAsia" w:ascii="仿宋" w:hAnsi="仿宋" w:eastAsia="仿宋" w:cs="仿宋"/>
                <w:kern w:val="0"/>
                <w:sz w:val="24"/>
                <w:szCs w:val="24"/>
                <w:lang w:bidi="ar"/>
              </w:rPr>
            </w:pPr>
          </w:p>
        </w:tc>
      </w:tr>
      <w:tr w14:paraId="45DD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F7D2480">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512E6533">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21AC245B">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159A7B7A">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0D649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09F78496">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3994BD91">
            <w:pPr>
              <w:keepNext w:val="0"/>
              <w:keepLines w:val="0"/>
              <w:widowControl/>
              <w:suppressLineNumbers w:val="0"/>
              <w:autoSpaceDE w:val="0"/>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350" w:type="dxa"/>
            <w:shd w:val="clear" w:color="auto" w:fill="auto"/>
            <w:tcMar>
              <w:top w:w="0" w:type="dxa"/>
              <w:left w:w="105" w:type="dxa"/>
              <w:bottom w:w="0" w:type="dxa"/>
              <w:right w:w="105" w:type="dxa"/>
            </w:tcMar>
            <w:vAlign w:val="center"/>
          </w:tcPr>
          <w:p w14:paraId="7D11BA8E">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31E23AC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1905154">
            <w:pPr>
              <w:keepNext w:val="0"/>
              <w:keepLines w:val="0"/>
              <w:widowControl/>
              <w:suppressLineNumbers w:val="0"/>
              <w:jc w:val="left"/>
              <w:rPr>
                <w:rFonts w:hint="eastAsia" w:ascii="仿宋" w:hAnsi="仿宋" w:eastAsia="仿宋" w:cs="仿宋"/>
                <w:kern w:val="0"/>
                <w:sz w:val="24"/>
                <w:szCs w:val="24"/>
                <w:lang w:bidi="ar"/>
              </w:rPr>
            </w:pPr>
          </w:p>
        </w:tc>
      </w:tr>
      <w:tr w14:paraId="7107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5A77A9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855D6F6">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28F94EA2">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55119902">
            <w:pPr>
              <w:keepNext w:val="0"/>
              <w:keepLines w:val="0"/>
              <w:widowControl/>
              <w:suppressLineNumbers w:val="0"/>
              <w:jc w:val="left"/>
              <w:rPr>
                <w:rFonts w:hint="eastAsia" w:ascii="仿宋" w:hAnsi="仿宋" w:eastAsia="仿宋" w:cs="仿宋"/>
                <w:kern w:val="0"/>
                <w:sz w:val="24"/>
                <w:szCs w:val="24"/>
                <w:lang w:bidi="ar"/>
              </w:rPr>
            </w:pPr>
          </w:p>
        </w:tc>
      </w:tr>
      <w:tr w14:paraId="7804B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E0DB6FF">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331E28DA">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3922209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35823D4A">
            <w:pPr>
              <w:keepNext w:val="0"/>
              <w:keepLines w:val="0"/>
              <w:widowControl/>
              <w:suppressLineNumbers w:val="0"/>
              <w:jc w:val="left"/>
              <w:rPr>
                <w:rFonts w:hint="eastAsia" w:ascii="仿宋" w:hAnsi="仿宋" w:eastAsia="仿宋" w:cs="仿宋"/>
                <w:kern w:val="0"/>
                <w:sz w:val="24"/>
                <w:szCs w:val="24"/>
                <w:lang w:bidi="ar"/>
              </w:rPr>
            </w:pPr>
          </w:p>
        </w:tc>
      </w:tr>
      <w:tr w14:paraId="471C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6A00F553">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7A2DDE5D">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1E2C707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1E7851F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0BAC02AF">
            <w:pPr>
              <w:keepNext w:val="0"/>
              <w:keepLines w:val="0"/>
              <w:widowControl/>
              <w:suppressLineNumbers w:val="0"/>
              <w:jc w:val="left"/>
              <w:rPr>
                <w:rFonts w:hint="eastAsia" w:ascii="仿宋" w:hAnsi="仿宋" w:eastAsia="仿宋" w:cs="仿宋"/>
                <w:kern w:val="0"/>
                <w:sz w:val="24"/>
                <w:szCs w:val="24"/>
                <w:lang w:bidi="ar"/>
              </w:rPr>
            </w:pPr>
          </w:p>
        </w:tc>
      </w:tr>
      <w:tr w14:paraId="7F3C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2478D1A">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9B5A75F">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22DBD21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7BAC1A7A">
            <w:pPr>
              <w:keepNext w:val="0"/>
              <w:keepLines w:val="0"/>
              <w:widowControl/>
              <w:suppressLineNumbers w:val="0"/>
              <w:jc w:val="left"/>
              <w:rPr>
                <w:rFonts w:hint="eastAsia" w:ascii="仿宋" w:hAnsi="仿宋" w:eastAsia="仿宋" w:cs="仿宋"/>
                <w:kern w:val="0"/>
                <w:sz w:val="24"/>
                <w:szCs w:val="24"/>
                <w:lang w:bidi="ar"/>
              </w:rPr>
            </w:pPr>
          </w:p>
        </w:tc>
      </w:tr>
      <w:tr w14:paraId="4FC55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A9588F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36ED3A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509682F5">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5415" w:type="dxa"/>
            <w:gridSpan w:val="3"/>
            <w:shd w:val="clear" w:color="auto" w:fill="auto"/>
            <w:tcMar>
              <w:top w:w="0" w:type="dxa"/>
              <w:left w:w="105" w:type="dxa"/>
              <w:bottom w:w="0" w:type="dxa"/>
              <w:right w:w="105" w:type="dxa"/>
            </w:tcMar>
            <w:vAlign w:val="center"/>
          </w:tcPr>
          <w:p w14:paraId="15A6F723">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1DF6EF50">
            <w:pPr>
              <w:keepNext w:val="0"/>
              <w:keepLines w:val="0"/>
              <w:widowControl/>
              <w:suppressLineNumbers w:val="0"/>
              <w:jc w:val="left"/>
              <w:rPr>
                <w:rFonts w:hint="eastAsia" w:ascii="仿宋" w:hAnsi="仿宋" w:eastAsia="仿宋" w:cs="仿宋"/>
                <w:kern w:val="0"/>
                <w:sz w:val="24"/>
                <w:szCs w:val="24"/>
                <w:lang w:bidi="ar"/>
              </w:rPr>
            </w:pPr>
          </w:p>
        </w:tc>
      </w:tr>
      <w:tr w14:paraId="2808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4D66512">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F2C83A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6272B4B2">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173C299D">
            <w:pPr>
              <w:keepNext w:val="0"/>
              <w:keepLines w:val="0"/>
              <w:widowControl/>
              <w:suppressLineNumbers w:val="0"/>
              <w:jc w:val="left"/>
              <w:rPr>
                <w:rFonts w:hint="eastAsia" w:ascii="仿宋" w:hAnsi="仿宋" w:eastAsia="仿宋" w:cs="仿宋"/>
                <w:kern w:val="0"/>
                <w:sz w:val="24"/>
                <w:szCs w:val="24"/>
                <w:lang w:bidi="ar"/>
              </w:rPr>
            </w:pPr>
          </w:p>
        </w:tc>
      </w:tr>
      <w:tr w14:paraId="4D70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C5E0F09">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5227A4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5450C47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481E14B3">
            <w:pPr>
              <w:keepNext w:val="0"/>
              <w:keepLines w:val="0"/>
              <w:widowControl/>
              <w:suppressLineNumbers w:val="0"/>
              <w:jc w:val="left"/>
              <w:rPr>
                <w:rFonts w:hint="eastAsia" w:ascii="仿宋" w:hAnsi="仿宋" w:eastAsia="仿宋" w:cs="仿宋"/>
                <w:kern w:val="0"/>
                <w:sz w:val="24"/>
                <w:szCs w:val="24"/>
                <w:lang w:bidi="ar"/>
              </w:rPr>
            </w:pPr>
          </w:p>
        </w:tc>
      </w:tr>
      <w:tr w14:paraId="4230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B4D7762">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8A34FA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319E9D5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4616D51A">
            <w:pPr>
              <w:keepNext w:val="0"/>
              <w:keepLines w:val="0"/>
              <w:widowControl/>
              <w:suppressLineNumbers w:val="0"/>
              <w:jc w:val="left"/>
              <w:rPr>
                <w:rFonts w:hint="eastAsia" w:ascii="仿宋" w:hAnsi="仿宋" w:eastAsia="仿宋" w:cs="仿宋"/>
                <w:kern w:val="0"/>
                <w:sz w:val="24"/>
                <w:szCs w:val="24"/>
                <w:lang w:bidi="ar"/>
              </w:rPr>
            </w:pPr>
          </w:p>
        </w:tc>
      </w:tr>
      <w:tr w14:paraId="2031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504A144C">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22B90E3E">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5F14AEAA">
            <w:pPr>
              <w:keepNext w:val="0"/>
              <w:keepLines w:val="0"/>
              <w:widowControl/>
              <w:suppressLineNumbers w:val="0"/>
              <w:autoSpaceDE w:val="0"/>
              <w:autoSpaceDN/>
              <w:spacing w:before="0" w:beforeAutospacing="1" w:after="195" w:afterAutospacing="0"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2D66FC48">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2A13B14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2EED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D857AD2">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3B8A877">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06107FC0">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3DE903D3">
            <w:pPr>
              <w:keepNext w:val="0"/>
              <w:keepLines w:val="0"/>
              <w:widowControl/>
              <w:suppressLineNumbers w:val="0"/>
              <w:jc w:val="left"/>
              <w:rPr>
                <w:rFonts w:hint="eastAsia" w:ascii="仿宋" w:hAnsi="仿宋" w:eastAsia="仿宋" w:cs="仿宋"/>
                <w:kern w:val="0"/>
                <w:sz w:val="24"/>
                <w:szCs w:val="24"/>
                <w:lang w:bidi="ar"/>
              </w:rPr>
            </w:pPr>
          </w:p>
        </w:tc>
      </w:tr>
      <w:tr w14:paraId="24E0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BC7172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ABB6E05">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10C8279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6925CDC5">
            <w:pPr>
              <w:keepNext w:val="0"/>
              <w:keepLines w:val="0"/>
              <w:widowControl/>
              <w:suppressLineNumbers w:val="0"/>
              <w:jc w:val="left"/>
              <w:rPr>
                <w:rFonts w:hint="eastAsia" w:ascii="仿宋" w:hAnsi="仿宋" w:eastAsia="仿宋" w:cs="仿宋"/>
                <w:kern w:val="0"/>
                <w:sz w:val="24"/>
                <w:szCs w:val="24"/>
                <w:lang w:bidi="ar"/>
              </w:rPr>
            </w:pPr>
          </w:p>
        </w:tc>
      </w:tr>
      <w:tr w14:paraId="562DA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2360A7E">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1895AC6B">
            <w:pPr>
              <w:keepNext w:val="0"/>
              <w:keepLines w:val="0"/>
              <w:widowControl/>
              <w:suppressLineNumbers w:val="0"/>
              <w:jc w:val="left"/>
              <w:rPr>
                <w:rFonts w:hint="eastAsia" w:ascii="仿宋" w:hAnsi="仿宋" w:eastAsia="仿宋" w:cs="仿宋"/>
                <w:kern w:val="0"/>
                <w:sz w:val="24"/>
                <w:szCs w:val="24"/>
                <w:lang w:bidi="ar"/>
              </w:rPr>
            </w:pPr>
          </w:p>
        </w:tc>
      </w:tr>
      <w:tr w14:paraId="1999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E500A7C">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7CA3A8FD">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19E46C5A">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7C09EFE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52E8CA8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0F0FBF5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4E4E656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675CF1D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63F12A2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3）3分&lt;平均扣分≤5分，对供应商提出警告，从合同待支付金额中或履约保证金中扣除支付上限5%费用，扣完为止；</w:t>
      </w:r>
    </w:p>
    <w:p w14:paraId="53C94D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4）5分&lt;平均扣分≤10分，对供应商提出严重警告，从合同待支付金额中或履约保证金中扣除支付上限10%费用，扣完为止；</w:t>
      </w:r>
    </w:p>
    <w:p w14:paraId="3600B8F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履约保证金（如有履约保证金）不予退还；</w:t>
      </w:r>
    </w:p>
    <w:p w14:paraId="52A8A7D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39A5E0F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4.如合同待支付金额或履约保证金中无款可扣且考核后出现扣款情况，供应商承诺在得到采购人考核结果后的10日内向采购人缴纳对应的扣款金额。（提供承诺函）</w:t>
      </w:r>
    </w:p>
    <w:p w14:paraId="758E3AF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.本考核指标最终解释权归四川省医学科学院·四川省人民医院。</w:t>
      </w:r>
    </w:p>
    <w:p w14:paraId="7CA909E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8" w:name="_Toc13768"/>
      <w:bookmarkStart w:id="19" w:name="_Toc28789"/>
      <w:bookmarkStart w:id="20"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8"/>
      <w:bookmarkEnd w:id="19"/>
      <w:bookmarkEnd w:id="20"/>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综合实力22</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22分</w:t>
            </w:r>
          </w:p>
        </w:tc>
        <w:tc>
          <w:tcPr>
            <w:tcW w:w="4899" w:type="dxa"/>
            <w:tcBorders>
              <w:top w:val="single" w:color="auto" w:sz="4" w:space="0"/>
              <w:left w:val="single" w:color="auto" w:sz="4" w:space="0"/>
              <w:bottom w:val="single" w:color="auto" w:sz="4" w:space="0"/>
              <w:right w:val="single" w:color="auto" w:sz="4" w:space="0"/>
            </w:tcBorders>
            <w:vAlign w:val="center"/>
          </w:tcPr>
          <w:p w14:paraId="351638B6">
            <w:pPr>
              <w:keepNext w:val="0"/>
              <w:keepLines w:val="0"/>
              <w:pageBreakBefore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供应商提供自助机生产厂家具有由国家版权局颁发的涉及“文档扫描”“图像识别”“信息集成”“GB18930中文字符打印”“图文识别”类似技术能力的有效软件著作权证书。每有一项著作权的得2分，本项最多的得10分,否则不得分。</w:t>
            </w:r>
          </w:p>
          <w:p w14:paraId="5D8B356D">
            <w:pPr>
              <w:keepNext w:val="0"/>
              <w:keepLines w:val="0"/>
              <w:pageBreakBefore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【说明：证书中的软件名称可以不完全相同，但需确保满足本项目招标服务需求功能，并提供相关证书扫描件加盖供应商公章】</w:t>
            </w:r>
          </w:p>
          <w:p w14:paraId="6F870E7E">
            <w:pPr>
              <w:keepNext w:val="0"/>
              <w:keepLines w:val="0"/>
              <w:pageBreakBefore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为确保项目按时顺利实施，供应商提供在全国范围内与采购人现有系统完成对接，系统厂商（①东软集团股份有限公司的HIS系统；②东软集团股份有限公司的LIS系统；③成都试金石软件开发有限公司的超声系统；④成都欧利德科技有限公司的电子签到系统；⑤厦门纳龙科技有限公司的心电系统；⑥四川深蓝鸟科技有限公司的内镜系统）出具的通过相应系统融合性测试的证明文件复印件，每有1份得2分，本项最多的得12分,否则不得分。</w:t>
            </w:r>
          </w:p>
          <w:p w14:paraId="0758D746">
            <w:pPr>
              <w:keepNext w:val="0"/>
              <w:keepLines w:val="0"/>
              <w:pageBreakBefore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【说明：提供系统厂商出具的融合性测试证明文件扫描件加盖供应商公章】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6D6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166E357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top w:val="single" w:color="auto" w:sz="4" w:space="0"/>
              <w:left w:val="single" w:color="auto" w:sz="4" w:space="0"/>
              <w:right w:val="single" w:color="auto" w:sz="4" w:space="0"/>
            </w:tcBorders>
            <w:vAlign w:val="center"/>
          </w:tcPr>
          <w:p w14:paraId="6F59F0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人员配置28%</w:t>
            </w:r>
          </w:p>
        </w:tc>
        <w:tc>
          <w:tcPr>
            <w:tcW w:w="1383" w:type="dxa"/>
            <w:tcBorders>
              <w:top w:val="single" w:color="auto" w:sz="4" w:space="0"/>
              <w:left w:val="single" w:color="auto" w:sz="4" w:space="0"/>
              <w:bottom w:val="single" w:color="auto" w:sz="4" w:space="0"/>
              <w:right w:val="single" w:color="auto" w:sz="4" w:space="0"/>
            </w:tcBorders>
            <w:vAlign w:val="center"/>
          </w:tcPr>
          <w:p w14:paraId="79235E6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28分</w:t>
            </w:r>
          </w:p>
        </w:tc>
        <w:tc>
          <w:tcPr>
            <w:tcW w:w="4899" w:type="dxa"/>
            <w:tcBorders>
              <w:top w:val="single" w:color="auto" w:sz="4" w:space="0"/>
              <w:left w:val="single" w:color="auto" w:sz="4" w:space="0"/>
              <w:bottom w:val="single" w:color="auto" w:sz="4" w:space="0"/>
              <w:right w:val="single" w:color="auto" w:sz="4" w:space="0"/>
            </w:tcBorders>
            <w:vAlign w:val="center"/>
          </w:tcPr>
          <w:p w14:paraId="08DC488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针对本项目拟派项目负责人（1人）：具有计算机类或电子技术类专业高级或以上职称证书，得6分；具有计算机类或电子技术类专业中级职称证书，得3分；具有计算机类或电子技术类专业初级职称证书，得1分，本小项最多得6分。</w:t>
            </w:r>
          </w:p>
          <w:p w14:paraId="2715735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【说明：①提供多个证书只计算1次，按得分最高证书计算；②提供拟派人员清单（至少包括姓名、联系电话、身份证号）及证书扫描</w:t>
            </w:r>
            <w:r>
              <w:rPr>
                <w:rFonts w:hint="eastAsia" w:ascii="仿宋" w:hAnsi="仿宋" w:eastAsia="仿宋" w:cs="仿宋"/>
                <w:color w:val="000000" w:themeColor="text1"/>
                <w:sz w:val="24"/>
                <w:szCs w:val="24"/>
                <w:highlight w:val="none"/>
                <w:lang w:val="en-US" w:eastAsia="zh-CN"/>
                <w14:textFill>
                  <w14:solidFill>
                    <w14:schemeClr w14:val="tx1"/>
                  </w14:solidFill>
                </w14:textFill>
              </w:rPr>
              <w:t>件</w:t>
            </w:r>
            <w:r>
              <w:rPr>
                <w:rFonts w:hint="eastAsia" w:ascii="仿宋" w:hAnsi="仿宋" w:eastAsia="仿宋" w:cs="仿宋"/>
                <w:color w:val="000000" w:themeColor="text1"/>
                <w:sz w:val="24"/>
                <w:szCs w:val="24"/>
                <w:highlight w:val="none"/>
                <w14:textFill>
                  <w14:solidFill>
                    <w14:schemeClr w14:val="tx1"/>
                  </w14:solidFill>
                </w14:textFill>
              </w:rPr>
              <w:t>并加盖</w:t>
            </w:r>
            <w:r>
              <w:rPr>
                <w:rFonts w:hint="eastAsia" w:ascii="仿宋" w:hAnsi="仿宋" w:eastAsia="仿宋" w:cs="仿宋"/>
                <w:color w:val="000000" w:themeColor="text1"/>
                <w:sz w:val="24"/>
                <w:szCs w:val="24"/>
                <w:highlight w:val="none"/>
                <w:lang w:eastAsia="zh-CN"/>
                <w14:textFill>
                  <w14:solidFill>
                    <w14:schemeClr w14:val="tx1"/>
                  </w14:solidFill>
                </w14:textFill>
              </w:rPr>
              <w:t>供应商公章</w:t>
            </w:r>
            <w:r>
              <w:rPr>
                <w:rFonts w:hint="eastAsia" w:ascii="仿宋" w:hAnsi="仿宋" w:eastAsia="仿宋" w:cs="仿宋"/>
                <w:color w:val="000000" w:themeColor="text1"/>
                <w:sz w:val="24"/>
                <w:szCs w:val="24"/>
                <w:highlight w:val="none"/>
                <w14:textFill>
                  <w14:solidFill>
                    <w14:schemeClr w14:val="tx1"/>
                  </w14:solidFill>
                </w14:textFill>
              </w:rPr>
              <w:t>】</w:t>
            </w:r>
          </w:p>
          <w:p w14:paraId="26479CF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 xml:space="preserve">针对本项目拟派项目团队人员（除项目负责人外）：①每有1人具有计算机类或电子技术类专业高级或以上职称证书，得4分； ②每有1人具有计算机类或电子技术类专业中级职称证书，得3分；③每有1人具有计算机类或电子技术类专业初级职称证书，得1分。本小项最多得12分。 </w:t>
            </w:r>
          </w:p>
          <w:p w14:paraId="565FE05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【说明：①按得分最高的证书计算；②同一人不重复计分；③提供拟派人员清单（至少包括姓名、联系电话、身份证号）及证书扫描件并加盖</w:t>
            </w:r>
            <w:r>
              <w:rPr>
                <w:rFonts w:hint="eastAsia" w:ascii="仿宋" w:hAnsi="仿宋" w:eastAsia="仿宋" w:cs="仿宋"/>
                <w:color w:val="000000" w:themeColor="text1"/>
                <w:sz w:val="24"/>
                <w:szCs w:val="24"/>
                <w:highlight w:val="none"/>
                <w:lang w:eastAsia="zh-CN"/>
                <w14:textFill>
                  <w14:solidFill>
                    <w14:schemeClr w14:val="tx1"/>
                  </w14:solidFill>
                </w14:textFill>
              </w:rPr>
              <w:t>供应商公章</w:t>
            </w:r>
            <w:r>
              <w:rPr>
                <w:rFonts w:hint="eastAsia" w:ascii="仿宋" w:hAnsi="仿宋" w:eastAsia="仿宋" w:cs="仿宋"/>
                <w:color w:val="000000" w:themeColor="text1"/>
                <w:sz w:val="24"/>
                <w:szCs w:val="24"/>
                <w:highlight w:val="none"/>
                <w14:textFill>
                  <w14:solidFill>
                    <w14:schemeClr w14:val="tx1"/>
                  </w14:solidFill>
                </w14:textFill>
              </w:rPr>
              <w:t>】</w:t>
            </w:r>
          </w:p>
          <w:p w14:paraId="0A45DCA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派驻的技术人员（负责自助机和打印机维护、耗材配送和更换）（除上述项目负责人和项目团队人员外）拥有2年或以上自助机或打印机维护、耗材配送和更换的工作经验，每有1人得5分，最多得10分。</w:t>
            </w:r>
          </w:p>
          <w:p w14:paraId="36831B6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【说明：</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提供单独承诺函，格式自拟】</w:t>
            </w:r>
          </w:p>
        </w:tc>
        <w:tc>
          <w:tcPr>
            <w:tcW w:w="1086" w:type="dxa"/>
            <w:tcBorders>
              <w:top w:val="single" w:color="auto" w:sz="4" w:space="0"/>
              <w:left w:val="single" w:color="auto" w:sz="4" w:space="0"/>
              <w:bottom w:val="single" w:color="auto" w:sz="4" w:space="0"/>
              <w:right w:val="single" w:color="auto" w:sz="4" w:space="0"/>
            </w:tcBorders>
            <w:vAlign w:val="center"/>
          </w:tcPr>
          <w:p w14:paraId="3C6B1C9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项目实施方案8%</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8分</w:t>
            </w:r>
          </w:p>
        </w:tc>
        <w:tc>
          <w:tcPr>
            <w:tcW w:w="4899" w:type="dxa"/>
            <w:tcBorders>
              <w:top w:val="single" w:color="auto" w:sz="4" w:space="0"/>
              <w:left w:val="single" w:color="auto" w:sz="4" w:space="0"/>
              <w:bottom w:val="single" w:color="auto" w:sz="4" w:space="0"/>
              <w:right w:val="single" w:color="auto" w:sz="4" w:space="0"/>
            </w:tcBorders>
            <w:vAlign w:val="top"/>
          </w:tcPr>
          <w:p w14:paraId="45C80DA7">
            <w:pPr>
              <w:pStyle w:val="43"/>
              <w:jc w:val="left"/>
              <w:rPr>
                <w:rFonts w:hint="eastAsia" w:ascii="仿宋" w:hAnsi="仿宋" w:eastAsia="仿宋" w:cs="仿宋"/>
                <w:sz w:val="24"/>
                <w:szCs w:val="24"/>
              </w:rPr>
            </w:pPr>
            <w:r>
              <w:rPr>
                <w:rFonts w:hint="eastAsia" w:ascii="仿宋" w:hAnsi="仿宋" w:eastAsia="仿宋" w:cs="仿宋"/>
                <w:sz w:val="24"/>
                <w:szCs w:val="24"/>
                <w:lang w:eastAsia="zh-CN"/>
              </w:rPr>
              <w:t>供应商</w:t>
            </w:r>
            <w:r>
              <w:rPr>
                <w:rFonts w:hint="eastAsia" w:ascii="仿宋" w:hAnsi="仿宋" w:eastAsia="仿宋" w:cs="仿宋"/>
                <w:sz w:val="24"/>
                <w:szCs w:val="24"/>
              </w:rPr>
              <w:t>根据本项目特点，提供项目实施方案。方案包括：①项目进度安排与保障；②项目质量保障；③培训计划；④巡检方案。完整提供上述4项内容的得8分；每有一项未提供扣2分，扣完为止；每有一处有缺陷扣1分，单项最多扣2分，扣完为止。</w:t>
            </w:r>
          </w:p>
          <w:p w14:paraId="5F94F3F5">
            <w:pPr>
              <w:pStyle w:val="43"/>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注：内容存在缺陷是指以下任意情况之一：①项目名称、实施地点、涉及的规范、标准、所阐述的项目信息与本项目要求不一致；②引用的规定、规范错误或不符合国家相关法律法规、规范要求；③阐述的方式方法明显不符合本项目实际情况或套用与本项目无关的其他项目方案；④照搬采购文件内容且未作出进一步描述。</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265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E8F1E8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left w:val="single" w:color="auto" w:sz="4" w:space="0"/>
              <w:bottom w:val="single" w:color="auto" w:sz="4" w:space="0"/>
              <w:right w:val="single" w:color="auto" w:sz="4" w:space="0"/>
            </w:tcBorders>
            <w:vAlign w:val="center"/>
          </w:tcPr>
          <w:p w14:paraId="4BF324C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运维服务方案6%</w:t>
            </w:r>
          </w:p>
        </w:tc>
        <w:tc>
          <w:tcPr>
            <w:tcW w:w="1383" w:type="dxa"/>
            <w:tcBorders>
              <w:top w:val="single" w:color="auto" w:sz="4" w:space="0"/>
              <w:left w:val="single" w:color="auto" w:sz="4" w:space="0"/>
              <w:bottom w:val="single" w:color="auto" w:sz="4" w:space="0"/>
              <w:right w:val="single" w:color="auto" w:sz="4" w:space="0"/>
            </w:tcBorders>
            <w:vAlign w:val="center"/>
          </w:tcPr>
          <w:p w14:paraId="766C81A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6分</w:t>
            </w:r>
          </w:p>
        </w:tc>
        <w:tc>
          <w:tcPr>
            <w:tcW w:w="4899" w:type="dxa"/>
            <w:tcBorders>
              <w:top w:val="single" w:color="auto" w:sz="4" w:space="0"/>
              <w:left w:val="single" w:color="auto" w:sz="4" w:space="0"/>
              <w:bottom w:val="single" w:color="auto" w:sz="4" w:space="0"/>
              <w:right w:val="single" w:color="auto" w:sz="4" w:space="0"/>
            </w:tcBorders>
            <w:vAlign w:val="top"/>
          </w:tcPr>
          <w:p w14:paraId="2B2BA8AF">
            <w:pPr>
              <w:pStyle w:val="43"/>
              <w:jc w:val="left"/>
              <w:rPr>
                <w:rFonts w:hint="eastAsia" w:ascii="仿宋" w:hAnsi="仿宋" w:eastAsia="仿宋" w:cs="仿宋"/>
                <w:sz w:val="24"/>
                <w:szCs w:val="24"/>
              </w:rPr>
            </w:pPr>
            <w:r>
              <w:rPr>
                <w:rFonts w:hint="eastAsia" w:ascii="仿宋" w:hAnsi="仿宋" w:eastAsia="仿宋" w:cs="仿宋"/>
                <w:sz w:val="24"/>
                <w:szCs w:val="24"/>
                <w:lang w:eastAsia="zh-CN"/>
              </w:rPr>
              <w:t>供应商</w:t>
            </w:r>
            <w:r>
              <w:rPr>
                <w:rFonts w:hint="eastAsia" w:ascii="仿宋" w:hAnsi="仿宋" w:eastAsia="仿宋" w:cs="仿宋"/>
                <w:sz w:val="24"/>
                <w:szCs w:val="24"/>
              </w:rPr>
              <w:t>根据本项目特点，提供运维服务方案。方案包括：①运维服务方案；②服务过程中可能出现的技术问题分析；③技术问题解决方案及服务响应时间。完整提供上述3项内容的得6分；每有一项未提供扣2分，扣完为止；每有一处有缺陷扣1分，单项最多扣2分，扣完为止。</w:t>
            </w:r>
          </w:p>
          <w:p w14:paraId="5D61380A">
            <w:pPr>
              <w:pStyle w:val="43"/>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注：内容存在缺陷是指以下任意情况之一：①项目名称、实施地点、涉及的规范、标准、所阐述的项目信息与本项目要求不一致；②引用的规定、规范错误或不符合国家相关法律法规、规范要求；③阐述的方式方法明显不符合本项目实际情况或套用与本项目无关的其他项目方案；④照搬采购文件内容且未作出进一步描述。</w:t>
            </w:r>
          </w:p>
        </w:tc>
        <w:tc>
          <w:tcPr>
            <w:tcW w:w="1086" w:type="dxa"/>
            <w:tcBorders>
              <w:top w:val="single" w:color="auto" w:sz="4" w:space="0"/>
              <w:left w:val="single" w:color="auto" w:sz="4" w:space="0"/>
              <w:bottom w:val="single" w:color="auto" w:sz="4" w:space="0"/>
              <w:right w:val="single" w:color="auto" w:sz="4" w:space="0"/>
            </w:tcBorders>
            <w:vAlign w:val="center"/>
          </w:tcPr>
          <w:p w14:paraId="788536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505" w:type="dxa"/>
            <w:tcBorders>
              <w:top w:val="single" w:color="auto" w:sz="4" w:space="0"/>
              <w:left w:val="single" w:color="auto" w:sz="4" w:space="0"/>
              <w:bottom w:val="single" w:color="auto" w:sz="4" w:space="0"/>
              <w:right w:val="single" w:color="auto" w:sz="4" w:space="0"/>
            </w:tcBorders>
            <w:vAlign w:val="center"/>
          </w:tcPr>
          <w:p w14:paraId="529303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1383" w:type="dxa"/>
            <w:tcBorders>
              <w:top w:val="single" w:color="auto" w:sz="4" w:space="0"/>
              <w:left w:val="single" w:color="auto" w:sz="4" w:space="0"/>
              <w:bottom w:val="single" w:color="auto" w:sz="4" w:space="0"/>
              <w:right w:val="single" w:color="auto" w:sz="4" w:space="0"/>
            </w:tcBorders>
            <w:vAlign w:val="center"/>
          </w:tcPr>
          <w:p w14:paraId="6E95E8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16分</w:t>
            </w:r>
          </w:p>
        </w:tc>
        <w:tc>
          <w:tcPr>
            <w:tcW w:w="4899"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shd w:val="clea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供应商提供</w:t>
            </w:r>
            <w:r>
              <w:rPr>
                <w:rFonts w:hint="eastAsia" w:ascii="仿宋" w:hAnsi="仿宋" w:eastAsia="仿宋" w:cs="仿宋"/>
                <w:color w:val="auto"/>
                <w:sz w:val="24"/>
                <w:szCs w:val="24"/>
                <w:highlight w:val="none"/>
                <w:lang w:val="en-US" w:eastAsia="zh-CN"/>
              </w:rPr>
              <w:t>2023年1月1日（含）以来自助打印服务类似</w:t>
            </w:r>
            <w:r>
              <w:rPr>
                <w:rFonts w:hint="eastAsia" w:ascii="仿宋" w:hAnsi="仿宋" w:eastAsia="仿宋" w:cs="仿宋"/>
                <w:color w:val="auto"/>
                <w:sz w:val="24"/>
                <w:szCs w:val="24"/>
                <w:highlight w:val="none"/>
              </w:rPr>
              <w:t>项目的业绩证明，</w:t>
            </w:r>
            <w:r>
              <w:rPr>
                <w:rFonts w:hint="eastAsia" w:ascii="仿宋" w:hAnsi="仿宋" w:eastAsia="仿宋" w:cs="仿宋"/>
                <w:color w:val="auto"/>
                <w:sz w:val="24"/>
                <w:szCs w:val="24"/>
                <w:highlight w:val="none"/>
                <w:lang w:val="en-US" w:eastAsia="zh-CN"/>
              </w:rPr>
              <w:t>每</w:t>
            </w:r>
            <w:r>
              <w:rPr>
                <w:rFonts w:hint="eastAsia" w:ascii="仿宋" w:hAnsi="仿宋" w:eastAsia="仿宋" w:cs="仿宋"/>
                <w:color w:val="auto"/>
                <w:sz w:val="24"/>
                <w:szCs w:val="24"/>
                <w:highlight w:val="none"/>
              </w:rPr>
              <w:t>提供1个</w:t>
            </w:r>
            <w:r>
              <w:rPr>
                <w:rFonts w:hint="eastAsia" w:ascii="仿宋" w:hAnsi="仿宋" w:eastAsia="仿宋" w:cs="仿宋"/>
                <w:color w:val="auto"/>
                <w:sz w:val="24"/>
                <w:szCs w:val="24"/>
                <w:highlight w:val="none"/>
                <w:lang w:val="en-US" w:eastAsia="zh-CN"/>
              </w:rPr>
              <w:t>类似业绩</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796F6925">
            <w:pPr>
              <w:keepNext w:val="0"/>
              <w:keepLines w:val="0"/>
              <w:pageBreakBefore w:val="0"/>
              <w:shd w:val="clea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kern w:val="0"/>
                <w:sz w:val="24"/>
                <w:szCs w:val="24"/>
                <w:highlight w:val="none"/>
                <w:lang w:bidi="ar"/>
              </w:rPr>
              <w:t>注：提供采购合同关键页（合同首页、建设内容、金额、签字盖章页）材料复印件，并加盖</w:t>
            </w:r>
            <w:r>
              <w:rPr>
                <w:rFonts w:hint="eastAsia" w:ascii="仿宋" w:hAnsi="仿宋" w:eastAsia="仿宋" w:cs="仿宋"/>
                <w:color w:val="auto"/>
                <w:kern w:val="0"/>
                <w:sz w:val="24"/>
                <w:szCs w:val="24"/>
                <w:highlight w:val="none"/>
                <w:lang w:eastAsia="zh-CN" w:bidi="ar"/>
              </w:rPr>
              <w:t>供应商公章</w:t>
            </w:r>
            <w:r>
              <w:rPr>
                <w:rFonts w:hint="eastAsia" w:ascii="仿宋" w:hAnsi="仿宋" w:eastAsia="仿宋" w:cs="仿宋"/>
                <w:color w:val="auto"/>
                <w:kern w:val="0"/>
                <w:sz w:val="24"/>
                <w:szCs w:val="24"/>
                <w:highlight w:val="none"/>
                <w:lang w:bidi="ar"/>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1" w:name="_Toc3094"/>
      <w:bookmarkStart w:id="22" w:name="_Toc22827"/>
      <w:bookmarkStart w:id="23"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5913"/>
      <w:bookmarkStart w:id="25" w:name="_Toc29819"/>
      <w:bookmarkStart w:id="26" w:name="_Toc4960"/>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19851"/>
      <w:bookmarkStart w:id="28" w:name="_Toc30609"/>
      <w:bookmarkStart w:id="29" w:name="_Toc9428"/>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32352"/>
      <w:bookmarkStart w:id="31" w:name="_Toc9041"/>
      <w:bookmarkStart w:id="32" w:name="_Toc1544"/>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1472"/>
      <w:bookmarkStart w:id="34" w:name="_Toc24097"/>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24859"/>
      <w:bookmarkStart w:id="36" w:name="_Toc32749"/>
      <w:bookmarkStart w:id="37" w:name="_Toc1690"/>
      <w:bookmarkStart w:id="38" w:name="_Toc17163"/>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24123"/>
      <w:bookmarkStart w:id="40" w:name="_Toc3558"/>
      <w:bookmarkStart w:id="41" w:name="_Toc6803"/>
      <w:bookmarkStart w:id="42" w:name="_Toc17905"/>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526"/>
      <w:bookmarkStart w:id="44" w:name="_Toc5996"/>
      <w:bookmarkStart w:id="45" w:name="_Toc27135"/>
      <w:bookmarkStart w:id="46" w:name="_Toc2989"/>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2031"/>
      <w:bookmarkStart w:id="48" w:name="_Toc5056"/>
      <w:bookmarkStart w:id="49" w:name="_Toc19987"/>
      <w:bookmarkStart w:id="50" w:name="_Toc7233"/>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14829"/>
      <w:bookmarkStart w:id="52" w:name="_Toc21519"/>
      <w:bookmarkStart w:id="53" w:name="_Toc3023"/>
      <w:bookmarkStart w:id="54" w:name="_Toc16029"/>
      <w:bookmarkStart w:id="55" w:name="_Toc11352"/>
      <w:bookmarkStart w:id="56"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1"/>
      <w:bookmarkEnd w:id="52"/>
      <w:bookmarkEnd w:id="53"/>
      <w:bookmarkEnd w:id="54"/>
      <w:bookmarkEnd w:id="55"/>
      <w:bookmarkEnd w:id="56"/>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4305"/>
      <w:bookmarkStart w:id="58" w:name="_Toc22676"/>
      <w:bookmarkStart w:id="59" w:name="_Toc31838"/>
      <w:bookmarkStart w:id="60" w:name="_Toc30971"/>
      <w:bookmarkStart w:id="61" w:name="_Toc17857"/>
      <w:r>
        <w:rPr>
          <w:rFonts w:ascii="Times New Roman" w:hAnsi="Times New Roman" w:cs="Times New Roman"/>
        </w:rPr>
        <w:br w:type="page"/>
      </w:r>
    </w:p>
    <w:p w14:paraId="72845348">
      <w:pPr>
        <w:pStyle w:val="3"/>
        <w:ind w:firstLine="0"/>
      </w:pPr>
      <w:r>
        <w:t>具有独立承担民事责任的能力</w:t>
      </w:r>
      <w:bookmarkEnd w:id="57"/>
      <w:bookmarkEnd w:id="58"/>
      <w:bookmarkEnd w:id="59"/>
      <w:bookmarkEnd w:id="60"/>
      <w:bookmarkEnd w:id="61"/>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2" w:name="_Toc15613"/>
      <w:bookmarkStart w:id="63" w:name="_Toc27186"/>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25357"/>
      <w:bookmarkStart w:id="66" w:name="_Toc13706"/>
      <w:bookmarkStart w:id="67" w:name="_Toc13904"/>
    </w:p>
    <w:p w14:paraId="76B8A196">
      <w:pPr>
        <w:pStyle w:val="3"/>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70" w:name="_Toc27661"/>
      <w:bookmarkStart w:id="71" w:name="_Toc20589"/>
      <w:bookmarkStart w:id="72" w:name="_Toc12015"/>
      <w:bookmarkStart w:id="73" w:name="_Toc11351"/>
      <w:bookmarkStart w:id="74" w:name="_Toc15526"/>
      <w:bookmarkStart w:id="75" w:name="_Toc25638"/>
      <w:r>
        <w:rPr>
          <w:rStyle w:val="40"/>
          <w:b/>
        </w:rPr>
        <w:t>法定代表人身份证明书</w:t>
      </w:r>
      <w:bookmarkEnd w:id="70"/>
      <w:bookmarkEnd w:id="71"/>
      <w:bookmarkEnd w:id="72"/>
      <w:bookmarkEnd w:id="73"/>
      <w:bookmarkEnd w:id="74"/>
      <w:bookmarkEnd w:id="75"/>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6" w:name="_Toc1074"/>
      <w:bookmarkStart w:id="77" w:name="_Toc2041"/>
      <w:bookmarkStart w:id="78" w:name="_Toc12967"/>
      <w:bookmarkStart w:id="79" w:name="_Toc16435"/>
      <w:bookmarkStart w:id="80" w:name="_Toc23967"/>
      <w:bookmarkStart w:id="81" w:name="_Toc26969"/>
      <w:r>
        <w:rPr>
          <w:rStyle w:val="40"/>
          <w:b/>
        </w:rPr>
        <w:t>采购需求偏离表</w:t>
      </w:r>
      <w:bookmarkEnd w:id="76"/>
      <w:bookmarkEnd w:id="77"/>
      <w:bookmarkEnd w:id="78"/>
      <w:bookmarkEnd w:id="79"/>
      <w:bookmarkEnd w:id="80"/>
      <w:bookmarkEnd w:id="81"/>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2" w:name="_Toc1369"/>
      <w:bookmarkStart w:id="83" w:name="_Toc31686"/>
      <w:bookmarkStart w:id="84" w:name="_Toc24806"/>
      <w:bookmarkStart w:id="85" w:name="_Toc28634"/>
      <w:bookmarkStart w:id="86" w:name="_Toc21082"/>
      <w:bookmarkStart w:id="87" w:name="_Toc26839"/>
      <w:r>
        <w:rPr>
          <w:rStyle w:val="40"/>
          <w:b/>
        </w:rPr>
        <w:t>评分需要提供的证明材料</w:t>
      </w:r>
      <w:bookmarkEnd w:id="82"/>
      <w:bookmarkEnd w:id="83"/>
      <w:bookmarkEnd w:id="84"/>
      <w:bookmarkEnd w:id="85"/>
      <w:bookmarkEnd w:id="86"/>
      <w:bookmarkEnd w:id="87"/>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2605"/>
      <w:bookmarkStart w:id="89" w:name="_Toc24494"/>
      <w:bookmarkStart w:id="90" w:name="_Toc3871"/>
    </w:p>
    <w:p w14:paraId="1483D64D">
      <w:pPr>
        <w:pStyle w:val="3"/>
        <w:ind w:firstLine="0"/>
        <w:rPr>
          <w:highlight w:val="none"/>
        </w:rPr>
      </w:pPr>
      <w:bookmarkStart w:id="91" w:name="_Toc15065"/>
      <w:r>
        <w:rPr>
          <w:highlight w:val="none"/>
        </w:rPr>
        <w:t>报价单</w:t>
      </w:r>
      <w:bookmarkEnd w:id="91"/>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64"/>
        <w:gridCol w:w="1802"/>
        <w:gridCol w:w="4050"/>
        <w:gridCol w:w="782"/>
        <w:gridCol w:w="799"/>
        <w:gridCol w:w="1650"/>
      </w:tblGrid>
      <w:tr w14:paraId="030E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6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F36DCF">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80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36E408">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品名</w:t>
            </w:r>
          </w:p>
        </w:tc>
        <w:tc>
          <w:tcPr>
            <w:tcW w:w="40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F9168F">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详细描述</w:t>
            </w:r>
          </w:p>
        </w:tc>
        <w:tc>
          <w:tcPr>
            <w:tcW w:w="78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2FC8F3">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79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820EC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计价单位</w:t>
            </w:r>
          </w:p>
        </w:tc>
        <w:tc>
          <w:tcPr>
            <w:tcW w:w="1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BED399">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单价（元）</w:t>
            </w:r>
          </w:p>
        </w:tc>
      </w:tr>
      <w:tr w14:paraId="65872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76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6CA355B">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8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7C2244">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检查报告自助打印服务</w:t>
            </w:r>
          </w:p>
        </w:tc>
        <w:tc>
          <w:tcPr>
            <w:tcW w:w="40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972DED">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检查报告自助打印服务采购，报告为彩色报告，包含人工、设备、软件以及耗材等。</w:t>
            </w:r>
          </w:p>
        </w:tc>
        <w:tc>
          <w:tcPr>
            <w:tcW w:w="78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B2CF2C">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79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6B7966">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每份报告</w:t>
            </w:r>
          </w:p>
        </w:tc>
        <w:tc>
          <w:tcPr>
            <w:tcW w:w="1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A652E0">
            <w:pPr>
              <w:keepNext w:val="0"/>
              <w:keepLines w:val="0"/>
              <w:widowControl/>
              <w:suppressLineNumbers w:val="0"/>
              <w:autoSpaceDE w:val="0"/>
              <w:autoSpaceDN/>
              <w:spacing w:before="0" w:beforeAutospacing="0" w:after="0" w:afterAutospacing="0"/>
              <w:ind w:left="0" w:right="0"/>
              <w:jc w:val="center"/>
              <w:rPr>
                <w:rFonts w:hint="eastAsia" w:ascii="仿宋" w:hAnsi="仿宋" w:eastAsia="仿宋" w:cs="仿宋"/>
                <w:kern w:val="0"/>
                <w:sz w:val="24"/>
                <w:szCs w:val="24"/>
                <w:lang w:val="en-US" w:eastAsia="zh-CN" w:bidi="ar"/>
              </w:rPr>
            </w:pPr>
          </w:p>
        </w:tc>
      </w:tr>
    </w:tbl>
    <w:p w14:paraId="58558CEB">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2" w:name="_Toc30002"/>
      <w:bookmarkStart w:id="93" w:name="_Toc29032"/>
      <w:bookmarkStart w:id="94"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8"/>
      <w:bookmarkEnd w:id="89"/>
      <w:bookmarkEnd w:id="90"/>
      <w:bookmarkEnd w:id="92"/>
      <w:bookmarkEnd w:id="93"/>
      <w:bookmarkEnd w:id="94"/>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4370B9E">
      <w:pPr>
        <w:widowControl w:val="0"/>
        <w:spacing w:line="360" w:lineRule="auto"/>
        <w:jc w:val="center"/>
        <w:rPr>
          <w:rFonts w:ascii="方正小标宋_GBK" w:hAnsi="方正小标宋_GBK" w:eastAsia="方正小标宋_GBK" w:cs="方正小标宋_GBK"/>
          <w:b w:val="0"/>
          <w:bCs/>
          <w:kern w:val="0"/>
          <w:sz w:val="44"/>
          <w:szCs w:val="44"/>
          <w:lang w:val="en-US" w:eastAsia="zh-CN" w:bidi="ar"/>
        </w:rPr>
      </w:pPr>
      <w:r>
        <w:rPr>
          <w:rFonts w:hint="eastAsia" w:ascii="方正小标宋_GBK" w:hAnsi="方正小标宋_GBK" w:eastAsia="方正小标宋_GBK" w:cs="方正小标宋_GBK"/>
          <w:b w:val="0"/>
          <w:bCs/>
          <w:kern w:val="0"/>
          <w:sz w:val="44"/>
          <w:szCs w:val="44"/>
          <w:lang w:val="en-US" w:eastAsia="zh-CN" w:bidi="ar"/>
        </w:rPr>
        <w:t>合同</w:t>
      </w:r>
    </w:p>
    <w:p w14:paraId="2AB07EF3">
      <w:pPr>
        <w:spacing w:line="480" w:lineRule="exact"/>
        <w:rPr>
          <w:rFonts w:ascii="宋体" w:hAnsi="宋体" w:eastAsia="宋体" w:cs="宋体"/>
          <w:color w:val="000000"/>
          <w:kern w:val="0"/>
          <w:sz w:val="24"/>
          <w:szCs w:val="24"/>
        </w:rPr>
      </w:pPr>
    </w:p>
    <w:p w14:paraId="45A12D9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采购人（以下简称甲方）：四川省人民医院</w:t>
      </w:r>
    </w:p>
    <w:p w14:paraId="0F05B53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地址：四川省成都市一环路西二段 32 号</w:t>
      </w:r>
    </w:p>
    <w:p w14:paraId="5E8A735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63471CE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联系人：                     电话： </w:t>
      </w:r>
    </w:p>
    <w:p w14:paraId="048B505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医学信息中心联系人：         电话：</w:t>
      </w:r>
    </w:p>
    <w:p w14:paraId="1CE2FA4D">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p>
    <w:p w14:paraId="3A9205F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乙方：中国农业银行股份有限公司成都光华支行</w:t>
      </w:r>
    </w:p>
    <w:p w14:paraId="3678B05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地址：四川省成都市小南街3号</w:t>
      </w:r>
    </w:p>
    <w:p w14:paraId="5C4D473A">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7207595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电话：028-63930892</w:t>
      </w:r>
    </w:p>
    <w:p w14:paraId="18C7EF9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联系人：黄觅</w:t>
      </w:r>
    </w:p>
    <w:p w14:paraId="3589DA6E">
      <w:pPr>
        <w:spacing w:line="480" w:lineRule="exact"/>
        <w:rPr>
          <w:rFonts w:ascii="宋体" w:hAnsi="宋体" w:eastAsia="宋体" w:cs="宋体"/>
          <w:color w:val="000000"/>
          <w:kern w:val="0"/>
          <w:sz w:val="24"/>
          <w:szCs w:val="24"/>
        </w:rPr>
      </w:pPr>
    </w:p>
    <w:p w14:paraId="6E2FA73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丙方：</w:t>
      </w:r>
    </w:p>
    <w:p w14:paraId="59A9691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w:t>
      </w:r>
    </w:p>
    <w:p w14:paraId="2087236D">
      <w:pPr>
        <w:spacing w:line="480" w:lineRule="exact"/>
        <w:rPr>
          <w:rFonts w:ascii="Times New Roman" w:hAnsi="Times New Roman" w:eastAsia="宋体" w:cs="Times New Roman"/>
          <w:szCs w:val="21"/>
        </w:rPr>
      </w:pPr>
      <w:r>
        <w:rPr>
          <w:rFonts w:hint="eastAsia" w:ascii="宋体" w:hAnsi="宋体" w:eastAsia="宋体" w:cs="宋体"/>
          <w:color w:val="000000"/>
          <w:kern w:val="0"/>
          <w:sz w:val="24"/>
          <w:szCs w:val="24"/>
        </w:rPr>
        <w:t>法定代表人：</w:t>
      </w:r>
    </w:p>
    <w:p w14:paraId="78873EB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移动电话：</w:t>
      </w:r>
    </w:p>
    <w:p w14:paraId="5E494E2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32B87636">
      <w:pPr>
        <w:spacing w:line="360" w:lineRule="auto"/>
        <w:rPr>
          <w:rFonts w:ascii="Times New Roman" w:hAnsi="Times New Roman" w:eastAsia="宋体" w:cs="Times New Roman"/>
          <w:sz w:val="24"/>
          <w:szCs w:val="24"/>
        </w:rPr>
      </w:pPr>
    </w:p>
    <w:p w14:paraId="761DE682">
      <w:pPr>
        <w:widowControl/>
        <w:ind w:firstLine="480" w:firstLineChars="200"/>
        <w:jc w:val="left"/>
        <w:rPr>
          <w:rFonts w:ascii="Times New Roman" w:hAnsi="Times New Roman" w:eastAsia="宋体" w:cs="Times New Roman"/>
          <w:sz w:val="24"/>
          <w:szCs w:val="24"/>
        </w:rPr>
      </w:pPr>
      <w:r>
        <w:rPr>
          <w:rFonts w:hint="eastAsia" w:ascii="宋体" w:hAnsi="宋体" w:eastAsia="宋体" w:cs="宋体"/>
          <w:color w:val="000000"/>
          <w:kern w:val="0"/>
          <w:sz w:val="24"/>
          <w:szCs w:val="24"/>
        </w:rPr>
        <w:t>甲乙丙三方确认就“”采购项目（项目编号：）甲方向丙方购买本合同中写明的货物</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eastAsia="宋体" w:cs="宋体"/>
          <w:color w:val="000000"/>
          <w:kern w:val="0"/>
          <w:sz w:val="24"/>
          <w:szCs w:val="24"/>
        </w:rPr>
        <w:t>以下</w:t>
      </w:r>
      <w:r>
        <w:rPr>
          <w:rFonts w:hint="eastAsia" w:ascii="宋体" w:hAnsi="宋体" w:eastAsia="宋体" w:cs="宋体"/>
          <w:color w:val="000000"/>
          <w:kern w:val="0"/>
          <w:sz w:val="24"/>
          <w:szCs w:val="24"/>
        </w:rPr>
        <w:t>条款。</w:t>
      </w:r>
    </w:p>
    <w:p w14:paraId="1F790ACD">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6"/>
        <w:gridCol w:w="1047"/>
        <w:gridCol w:w="222"/>
        <w:gridCol w:w="770"/>
        <w:gridCol w:w="1559"/>
        <w:gridCol w:w="851"/>
        <w:gridCol w:w="1417"/>
        <w:gridCol w:w="1417"/>
        <w:gridCol w:w="1276"/>
        <w:gridCol w:w="1048"/>
      </w:tblGrid>
      <w:tr w14:paraId="01EEEB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6131412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1047" w:type="dxa"/>
            <w:tcBorders>
              <w:top w:val="single" w:color="auto" w:sz="4" w:space="0"/>
              <w:left w:val="single" w:color="auto" w:sz="4" w:space="0"/>
              <w:bottom w:val="single" w:color="auto" w:sz="4" w:space="0"/>
              <w:right w:val="single" w:color="auto" w:sz="4" w:space="0"/>
            </w:tcBorders>
            <w:vAlign w:val="center"/>
          </w:tcPr>
          <w:p w14:paraId="63B4231C">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B2A5E4F">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08732EDB">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4C9C4725">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DE14D94">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23929838">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52C06B99">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2D38ACED">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45223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100B2D91">
            <w:pPr>
              <w:adjustRightInd w:val="0"/>
              <w:snapToGrid w:val="0"/>
              <w:spacing w:line="240" w:lineRule="auto"/>
              <w:jc w:val="center"/>
              <w:rPr>
                <w:rFonts w:ascii="宋体" w:hAnsi="宋体" w:eastAsia="宋体" w:cs="宋体"/>
                <w:sz w:val="24"/>
                <w:szCs w:val="24"/>
              </w:rPr>
            </w:pPr>
          </w:p>
        </w:tc>
        <w:tc>
          <w:tcPr>
            <w:tcW w:w="1047" w:type="dxa"/>
            <w:tcBorders>
              <w:top w:val="single" w:color="auto" w:sz="4" w:space="0"/>
              <w:left w:val="single" w:color="auto" w:sz="4" w:space="0"/>
              <w:bottom w:val="single" w:color="auto" w:sz="4" w:space="0"/>
              <w:right w:val="single" w:color="auto" w:sz="4" w:space="0"/>
            </w:tcBorders>
            <w:vAlign w:val="center"/>
          </w:tcPr>
          <w:p w14:paraId="7986F75C">
            <w:pPr>
              <w:adjustRightInd w:val="0"/>
              <w:snapToGrid w:val="0"/>
              <w:spacing w:line="240" w:lineRule="auto"/>
              <w:jc w:val="center"/>
              <w:rPr>
                <w:rFonts w:ascii="宋体" w:hAnsi="宋体" w:eastAsia="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58E3C014">
            <w:pPr>
              <w:adjustRightInd w:val="0"/>
              <w:snapToGrid w:val="0"/>
              <w:spacing w:line="240" w:lineRule="auto"/>
              <w:jc w:val="center"/>
              <w:rPr>
                <w:rFonts w:ascii="宋体" w:hAnsi="宋体" w:eastAsia="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2CEF3D80">
            <w:pPr>
              <w:adjustRightInd w:val="0"/>
              <w:snapToGrid w:val="0"/>
              <w:spacing w:line="240" w:lineRule="auto"/>
              <w:jc w:val="center"/>
              <w:rPr>
                <w:rFonts w:ascii="宋体" w:hAnsi="宋体" w:eastAsia="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569A9F2E">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7843C1F5">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494E22AD">
            <w:pPr>
              <w:adjustRightInd w:val="0"/>
              <w:snapToGrid w:val="0"/>
              <w:spacing w:line="240" w:lineRule="auto"/>
              <w:jc w:val="center"/>
              <w:rPr>
                <w:rFonts w:ascii="宋体" w:hAnsi="宋体" w:eastAsia="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C0B9BD0">
            <w:pPr>
              <w:adjustRightInd w:val="0"/>
              <w:snapToGrid w:val="0"/>
              <w:spacing w:line="240" w:lineRule="auto"/>
              <w:jc w:val="center"/>
              <w:rPr>
                <w:rFonts w:ascii="宋体" w:hAnsi="宋体" w:eastAsia="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4518FB8E">
            <w:pPr>
              <w:adjustRightInd w:val="0"/>
              <w:snapToGrid w:val="0"/>
              <w:spacing w:line="240" w:lineRule="auto"/>
              <w:jc w:val="center"/>
              <w:rPr>
                <w:rFonts w:ascii="宋体" w:hAnsi="宋体" w:eastAsia="宋体" w:cs="宋体"/>
                <w:sz w:val="24"/>
                <w:szCs w:val="24"/>
              </w:rPr>
            </w:pPr>
          </w:p>
        </w:tc>
      </w:tr>
      <w:tr w14:paraId="04D0B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1846" w:type="dxa"/>
            <w:tcBorders>
              <w:top w:val="single" w:color="auto" w:sz="4" w:space="0"/>
              <w:left w:val="single" w:color="auto" w:sz="4" w:space="0"/>
              <w:bottom w:val="single" w:color="auto" w:sz="4" w:space="0"/>
              <w:right w:val="single" w:color="auto" w:sz="4" w:space="0"/>
            </w:tcBorders>
            <w:shd w:val="clear" w:color="A4A4A4" w:fill="auto"/>
            <w:vAlign w:val="center"/>
          </w:tcPr>
          <w:p w14:paraId="157F67AE">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技术参数</w:t>
            </w:r>
          </w:p>
          <w:p w14:paraId="1AF03F3C">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（可另附附件）</w:t>
            </w:r>
          </w:p>
        </w:tc>
        <w:tc>
          <w:tcPr>
            <w:tcW w:w="9607" w:type="dxa"/>
            <w:gridSpan w:val="9"/>
            <w:tcBorders>
              <w:top w:val="single" w:color="auto" w:sz="4" w:space="0"/>
              <w:left w:val="single" w:color="auto" w:sz="4" w:space="0"/>
              <w:bottom w:val="single" w:color="auto" w:sz="4" w:space="0"/>
              <w:right w:val="single" w:color="auto" w:sz="4" w:space="0"/>
            </w:tcBorders>
            <w:shd w:val="clear" w:color="A4A4A4" w:fill="auto"/>
          </w:tcPr>
          <w:p w14:paraId="424B9B90">
            <w:pPr>
              <w:adjustRightInd w:val="0"/>
              <w:snapToGrid w:val="0"/>
              <w:spacing w:line="240" w:lineRule="auto"/>
              <w:jc w:val="left"/>
              <w:rPr>
                <w:rFonts w:ascii="宋体" w:hAnsi="宋体" w:eastAsia="宋体" w:cs="宋体"/>
                <w:sz w:val="24"/>
                <w:szCs w:val="24"/>
              </w:rPr>
            </w:pPr>
          </w:p>
        </w:tc>
      </w:tr>
      <w:tr w14:paraId="20A83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1846" w:type="dxa"/>
            <w:tcBorders>
              <w:top w:val="single" w:color="auto" w:sz="4" w:space="0"/>
              <w:left w:val="single" w:color="auto" w:sz="4" w:space="0"/>
              <w:right w:val="single" w:color="auto" w:sz="4" w:space="0"/>
            </w:tcBorders>
            <w:shd w:val="clear" w:color="A4A4A4" w:fill="auto"/>
            <w:vAlign w:val="center"/>
          </w:tcPr>
          <w:p w14:paraId="4476425C">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服务期</w:t>
            </w:r>
          </w:p>
        </w:tc>
        <w:tc>
          <w:tcPr>
            <w:tcW w:w="1269" w:type="dxa"/>
            <w:gridSpan w:val="2"/>
            <w:tcBorders>
              <w:top w:val="single" w:color="auto" w:sz="4" w:space="0"/>
              <w:left w:val="single" w:color="auto" w:sz="4" w:space="0"/>
              <w:right w:val="single" w:color="auto" w:sz="4" w:space="0"/>
            </w:tcBorders>
            <w:shd w:val="clear" w:color="A4A4A4" w:fill="auto"/>
          </w:tcPr>
          <w:p w14:paraId="1CB7701C">
            <w:pPr>
              <w:adjustRightInd w:val="0"/>
              <w:snapToGrid w:val="0"/>
              <w:spacing w:line="240" w:lineRule="auto"/>
              <w:jc w:val="left"/>
              <w:rPr>
                <w:rFonts w:ascii="宋体" w:hAnsi="宋体" w:eastAsia="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42AA28D5">
            <w:pPr>
              <w:adjustRightInd w:val="0"/>
              <w:snapToGrid w:val="0"/>
              <w:spacing w:line="240" w:lineRule="auto"/>
              <w:jc w:val="left"/>
              <w:rPr>
                <w:rFonts w:ascii="宋体" w:hAnsi="宋体" w:eastAsia="宋体" w:cs="宋体"/>
                <w:sz w:val="24"/>
                <w:szCs w:val="24"/>
              </w:rPr>
            </w:pPr>
          </w:p>
        </w:tc>
      </w:tr>
    </w:tbl>
    <w:p w14:paraId="04E4DCAF">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甲乙双方对上述设备的品牌、生产商、规格型号、数量、单价、总价的选择即确认，向丙方购买设备。</w:t>
      </w:r>
    </w:p>
    <w:p w14:paraId="00347ECA">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二、合同总价</w:t>
      </w:r>
    </w:p>
    <w:p w14:paraId="0523DC52">
      <w:pPr>
        <w:spacing w:line="360" w:lineRule="auto"/>
        <w:ind w:firstLine="480" w:firstLineChars="200"/>
        <w:rPr>
          <w:rFonts w:ascii="Times New Roman" w:hAnsi="Times New Roman" w:eastAsia="宋体" w:cs="Times New Roman"/>
          <w:b/>
          <w:sz w:val="24"/>
          <w:szCs w:val="24"/>
        </w:rPr>
      </w:pPr>
      <w:r>
        <w:rPr>
          <w:rFonts w:hint="eastAsia" w:ascii="宋体" w:hAnsi="宋体" w:eastAsia="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641B328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三、付款方式</w:t>
      </w:r>
    </w:p>
    <w:p w14:paraId="5C80CC2F">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1.本合同以人民币转账形式付款。人民币   元，大写人民币   。</w:t>
      </w:r>
    </w:p>
    <w:p w14:paraId="78C87A25">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Times New Roman" w:hAnsi="Times New Roman" w:eastAsia="宋体" w:cs="Times New Roman"/>
          <w:sz w:val="24"/>
          <w:szCs w:val="24"/>
        </w:rPr>
        <w:t>合同签订生效并</w:t>
      </w:r>
      <w:r>
        <w:rPr>
          <w:rFonts w:hint="eastAsia" w:ascii="宋体" w:hAnsi="宋体" w:eastAsia="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1776F79B">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3.丙方指定的收款账户信息如下，如有变更，丙方应当在变更后3日内通知甲方和乙方，否则由此造成的损失，甲方乙方不承担：</w:t>
      </w:r>
    </w:p>
    <w:p w14:paraId="74DADAA8">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户名 </w:t>
      </w:r>
    </w:p>
    <w:p w14:paraId="5AFA94E7">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开户行： </w:t>
      </w:r>
    </w:p>
    <w:p w14:paraId="13B39E35">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账号： </w:t>
      </w:r>
    </w:p>
    <w:p w14:paraId="1816A12A">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4.甲丙两方在确认验收合格后*个工作日内，丙方应按国家有关规定开具合规的发票，否则，乙方有权拒绝付款，并不因此而承担违约责任。</w:t>
      </w:r>
    </w:p>
    <w:p w14:paraId="41D071DC">
      <w:pPr>
        <w:widowControl w:val="0"/>
        <w:spacing w:line="360" w:lineRule="auto"/>
        <w:ind w:firstLine="0" w:firstLineChars="0"/>
        <w:jc w:val="both"/>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四、交付地点、方式</w:t>
      </w:r>
    </w:p>
    <w:p w14:paraId="7315DFF9">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1.交货地点：</w:t>
      </w:r>
      <w:r>
        <w:rPr>
          <w:rFonts w:hint="eastAsia" w:ascii="Times New Roman" w:hAnsi="Times New Roman" w:eastAsia="宋体" w:cs="Times New Roman"/>
          <w:kern w:val="2"/>
          <w:sz w:val="24"/>
          <w:szCs w:val="24"/>
          <w:lang w:val="en-US" w:eastAsia="zh-CN" w:bidi="ar-SA"/>
        </w:rPr>
        <w:t>甲方指定地点</w:t>
      </w:r>
    </w:p>
    <w:p w14:paraId="333A5C1C">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w:t>
      </w:r>
      <w:r>
        <w:rPr>
          <w:rFonts w:ascii="Times New Roman" w:hAnsi="Times New Roman" w:eastAsia="宋体" w:cs="Times New Roman"/>
          <w:kern w:val="2"/>
          <w:sz w:val="24"/>
          <w:szCs w:val="24"/>
          <w:lang w:val="en-US" w:eastAsia="zh-CN" w:bidi="ar-SA"/>
        </w:rPr>
        <w:t>交货方式</w:t>
      </w:r>
      <w:r>
        <w:rPr>
          <w:rFonts w:hint="eastAsia" w:ascii="宋体" w:hAnsi="宋体" w:eastAsia="宋体" w:cs="Times New Roman"/>
          <w:kern w:val="2"/>
          <w:sz w:val="24"/>
          <w:szCs w:val="24"/>
          <w:lang w:val="en-US" w:eastAsia="zh-CN" w:bidi="ar-SA"/>
        </w:rPr>
        <w:t>：丙方上门安装</w:t>
      </w:r>
    </w:p>
    <w:p w14:paraId="445D10E5">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丙方按照甲方要求，保证在甲方通知送货后</w:t>
      </w:r>
      <w:r>
        <w:rPr>
          <w:rFonts w:hint="eastAsia" w:ascii="Times New Roman" w:hAnsi="Times New Roman" w:eastAsia="宋体" w:cs="Times New Roman"/>
          <w:sz w:val="24"/>
          <w:szCs w:val="24"/>
        </w:rPr>
        <w:t>*</w:t>
      </w:r>
      <w:r>
        <w:rPr>
          <w:rFonts w:ascii="Times New Roman" w:hAnsi="Times New Roman" w:eastAsia="宋体" w:cs="Times New Roman"/>
          <w:sz w:val="24"/>
          <w:szCs w:val="24"/>
        </w:rPr>
        <w:t>*日内将货物送至甲方指定地点并安装调试完成，包装费、运输费用、保险费用及验收合格前的风险均由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w:t>
      </w:r>
    </w:p>
    <w:p w14:paraId="43302CA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五、安装调试及培训</w:t>
      </w:r>
    </w:p>
    <w:p w14:paraId="747EABE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23F0751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2、在货物抵达甲方指定地点</w:t>
      </w:r>
      <w:r>
        <w:rPr>
          <w:rFonts w:ascii="Times New Roman" w:hAnsi="Times New Roman" w:eastAsia="宋体" w:cs="Times New Roman"/>
          <w:sz w:val="24"/>
          <w:szCs w:val="24"/>
        </w:rPr>
        <w:t>*</w:t>
      </w:r>
      <w:r>
        <w:rPr>
          <w:rFonts w:hint="eastAsia" w:ascii="Times New Roman" w:hAnsi="Times New Roman" w:eastAsia="宋体" w:cs="Times New Roman"/>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7E200B8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5EFD344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5E499FB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3162CA3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51161672">
      <w:pPr>
        <w:spacing w:line="360" w:lineRule="auto"/>
        <w:rPr>
          <w:rFonts w:ascii="Times New Roman" w:hAnsi="Times New Roman" w:eastAsia="宋体" w:cs="Times New Roman"/>
          <w:b/>
          <w:sz w:val="24"/>
          <w:szCs w:val="24"/>
        </w:rPr>
      </w:pPr>
      <w:r>
        <w:rPr>
          <w:rFonts w:hint="eastAsia" w:ascii="宋体" w:hAnsi="宋体" w:eastAsia="宋体" w:cs="Times New Roman"/>
          <w:sz w:val="24"/>
          <w:szCs w:val="24"/>
        </w:rPr>
        <w:t>7、期间涉及的交通费、膳食费、住宿费及其他一切费用均由丙方负责。</w:t>
      </w:r>
    </w:p>
    <w:p w14:paraId="3AD90C2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六、软件验收</w:t>
      </w:r>
    </w:p>
    <w:p w14:paraId="7C0AF48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1、验收时间：</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方完成安装及调试后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个工作日内，由甲方指定人员完成验收。</w:t>
      </w:r>
    </w:p>
    <w:p w14:paraId="0E5C72C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2、验收</w:t>
      </w:r>
      <w:r>
        <w:rPr>
          <w:rFonts w:hint="eastAsia" w:ascii="Times New Roman" w:hAnsi="Times New Roman" w:eastAsia="宋体" w:cs="Times New Roman"/>
          <w:sz w:val="24"/>
          <w:szCs w:val="24"/>
        </w:rPr>
        <w:t>方式</w:t>
      </w:r>
      <w:r>
        <w:rPr>
          <w:rFonts w:ascii="Times New Roman" w:hAnsi="Times New Roman" w:eastAsia="宋体" w:cs="Times New Roman"/>
          <w:sz w:val="24"/>
          <w:szCs w:val="24"/>
        </w:rPr>
        <w:t>：</w:t>
      </w:r>
      <w:r>
        <w:rPr>
          <w:rFonts w:hint="eastAsia" w:ascii="Times New Roman" w:hAnsi="Times New Roman" w:eastAsia="宋体" w:cs="Times New Roman"/>
          <w:sz w:val="24"/>
          <w:szCs w:val="24"/>
        </w:rPr>
        <w:t>按国家（行业）最高标准，以及本项目采购文件的质量要求和技术指标与出厂标准的最高标准。甲方指定人员对软件质量进行验收。</w:t>
      </w:r>
    </w:p>
    <w:p w14:paraId="0A5A56A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3、甲方在验收中如发现软件的型号、规格、包装和质量等不符合本合同约定的，自软件验收完成后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个工作日内向</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方提出书面异议。</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方在接到甲方书面异议后，应在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个工作日内负责处理并通知甲方处理情况，否则，即视为</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方已接受甲方提出的异议和处理意见。</w:t>
      </w:r>
    </w:p>
    <w:p w14:paraId="5A43D05A">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48EDDEB">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5、如软件经丙方</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次维护仍不能达到合同约定的质量标准，甲方有权退货，并视作丙方不能交付软件而须支付违约赔偿金给甲方，甲方还可依法追究丙方的违约责任。</w:t>
      </w:r>
    </w:p>
    <w:p w14:paraId="2D714D4B">
      <w:pPr>
        <w:numPr>
          <w:ilvl w:val="0"/>
          <w:numId w:val="1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硬件验收</w:t>
      </w:r>
    </w:p>
    <w:p w14:paraId="008B55E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7F0B621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2、验收前，丙方应完成对甲方的操作人员、技术人员进行免费培训，提供成套培训资料，保证受训人员能熟练操作，具备开展日常技术工作的能力，并能够对该货物能进行日常维护。</w:t>
      </w:r>
    </w:p>
    <w:p w14:paraId="72525A7E">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50E4479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181EF4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0B4554A7">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05E06C5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八、软件退换</w:t>
      </w:r>
    </w:p>
    <w:p w14:paraId="29A375E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1、甲方根据本合同第</w:t>
      </w:r>
      <w:r>
        <w:rPr>
          <w:rFonts w:hint="eastAsia" w:ascii="Times New Roman" w:hAnsi="Times New Roman" w:eastAsia="宋体" w:cs="Times New Roman"/>
          <w:sz w:val="24"/>
          <w:szCs w:val="24"/>
        </w:rPr>
        <w:t>六</w:t>
      </w:r>
      <w:r>
        <w:rPr>
          <w:rFonts w:ascii="Times New Roman" w:hAnsi="Times New Roman" w:eastAsia="宋体" w:cs="Times New Roman"/>
          <w:sz w:val="24"/>
          <w:szCs w:val="24"/>
        </w:rPr>
        <w:t>条提出书面异议的，如果</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方在上述约定时间内未能按照甲方要求进行处理的，则甲方有权要求退货或换货，</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方在收到甲方的书面退换货通知后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个工作日内完成退货或换货。</w:t>
      </w:r>
    </w:p>
    <w:p w14:paraId="6C39527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2、软件交付甲方使用后，若甲方在生产作业过程中发现软件确实存在以下问题的，甲方有权退还软件并且解除本合同，同时</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方须退还</w:t>
      </w:r>
      <w:r>
        <w:rPr>
          <w:rFonts w:hint="eastAsia" w:ascii="Times New Roman" w:hAnsi="Times New Roman" w:eastAsia="宋体" w:cs="Times New Roman"/>
          <w:sz w:val="24"/>
          <w:szCs w:val="24"/>
        </w:rPr>
        <w:t>乙方</w:t>
      </w:r>
      <w:r>
        <w:rPr>
          <w:rFonts w:ascii="Times New Roman" w:hAnsi="Times New Roman" w:eastAsia="宋体" w:cs="Times New Roman"/>
          <w:sz w:val="24"/>
          <w:szCs w:val="24"/>
        </w:rPr>
        <w:t>的所付款项。存在的情况为：</w:t>
      </w:r>
    </w:p>
    <w:p w14:paraId="556F3B4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（1）软件不能正常安装的；</w:t>
      </w:r>
    </w:p>
    <w:p w14:paraId="12E3D83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（2）软件的使用会影响甲方操作系统的稳定或其他软件的正常使用的；</w:t>
      </w:r>
    </w:p>
    <w:p w14:paraId="253A248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（3）软件的实际使用功能不能达到</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方软件承诺的功能，而</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方不能在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个工作日内解决的。</w:t>
      </w:r>
    </w:p>
    <w:p w14:paraId="6CB7B359">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甲方根据本合同条款提出退货或解除合同的，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方应在收到甲方通知后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个工作</w:t>
      </w:r>
      <w:r>
        <w:rPr>
          <w:rFonts w:ascii="Times New Roman" w:hAnsi="Times New Roman" w:eastAsia="宋体" w:cs="Times New Roman"/>
          <w:sz w:val="24"/>
          <w:szCs w:val="24"/>
        </w:rPr>
        <w:t>日内退还</w:t>
      </w:r>
      <w:r>
        <w:rPr>
          <w:rFonts w:hint="eastAsia" w:ascii="Times New Roman" w:hAnsi="Times New Roman" w:eastAsia="宋体" w:cs="Times New Roman"/>
          <w:sz w:val="24"/>
          <w:szCs w:val="24"/>
        </w:rPr>
        <w:t>乙</w:t>
      </w:r>
      <w:r>
        <w:rPr>
          <w:rFonts w:ascii="Times New Roman" w:hAnsi="Times New Roman" w:eastAsia="宋体" w:cs="Times New Roman"/>
          <w:sz w:val="24"/>
          <w:szCs w:val="24"/>
        </w:rPr>
        <w:t>方全部已付款项。</w:t>
      </w:r>
    </w:p>
    <w:p w14:paraId="7DCFB327">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九、维护升级、售后服务</w:t>
      </w:r>
    </w:p>
    <w:p w14:paraId="7F5CD7FE">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质保期（自验收合格之日）：***年；产品零配件（包括主计算机系统及工作站）保证供应时间≥</w:t>
      </w:r>
      <w:r>
        <w:rPr>
          <w:rFonts w:ascii="宋体" w:hAnsi="宋体" w:eastAsia="宋体" w:cs="Times New Roman"/>
          <w:kern w:val="2"/>
          <w:sz w:val="24"/>
          <w:szCs w:val="24"/>
          <w:lang w:val="en-US" w:eastAsia="zh-CN" w:bidi="ar-SA"/>
        </w:rPr>
        <w:t>*年；验收合格后的保修期内，丙方承诺开机率或使用率＞</w:t>
      </w:r>
      <w:r>
        <w:rPr>
          <w:rFonts w:hint="eastAsia" w:ascii="宋体" w:hAnsi="宋体" w:eastAsia="宋体" w:cs="Times New Roman"/>
          <w:kern w:val="2"/>
          <w:sz w:val="24"/>
          <w:szCs w:val="24"/>
          <w:lang w:val="en-US" w:eastAsia="zh-CN" w:bidi="ar-SA"/>
        </w:rPr>
        <w:t>*</w:t>
      </w:r>
      <w:r>
        <w:rPr>
          <w:rFonts w:ascii="宋体" w:hAnsi="宋体" w:eastAsia="宋体" w:cs="Times New Roman"/>
          <w:kern w:val="2"/>
          <w:sz w:val="24"/>
          <w:szCs w:val="24"/>
          <w:lang w:val="en-US" w:eastAsia="zh-CN" w:bidi="ar-SA"/>
        </w:rPr>
        <w:t>*%（按</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65日</w:t>
      </w:r>
      <w:r>
        <w:rPr>
          <w:rFonts w:hint="eastAsia" w:ascii="宋体" w:hAnsi="宋体" w:eastAsia="宋体" w:cs="Times New Roman"/>
          <w:kern w:val="2"/>
          <w:sz w:val="24"/>
          <w:szCs w:val="24"/>
          <w:lang w:val="en-US" w:eastAsia="zh-CN" w:bidi="ar-SA"/>
        </w:rPr>
        <w:t>/年计算</w:t>
      </w:r>
      <w:r>
        <w:rPr>
          <w:rFonts w:ascii="宋体" w:hAnsi="宋体" w:eastAsia="宋体" w:cs="Times New Roman"/>
          <w:kern w:val="2"/>
          <w:sz w:val="24"/>
          <w:szCs w:val="24"/>
          <w:lang w:val="en-US" w:eastAsia="zh-CN" w:bidi="ar-SA"/>
        </w:rPr>
        <w:t>）</w:t>
      </w:r>
    </w:p>
    <w:p w14:paraId="194A7C11">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服务内容：（1）电话支持 （2）</w:t>
      </w:r>
      <w:r>
        <w:rPr>
          <w:rFonts w:hint="eastAsia" w:ascii="宋体" w:hAnsi="宋体" w:eastAsia="宋体" w:cs="Times New Roman"/>
          <w:color w:val="000000"/>
          <w:kern w:val="2"/>
          <w:sz w:val="24"/>
          <w:szCs w:val="24"/>
          <w:lang w:val="en-US" w:eastAsia="zh-CN" w:bidi="ar-SA"/>
        </w:rPr>
        <w:t>远程技术支持 （3）现场服务</w:t>
      </w:r>
    </w:p>
    <w:p w14:paraId="225B150B">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24DAE7AF">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维护升级标准：只要甲方需要丙方有义务更新软件至最新版。</w:t>
      </w:r>
    </w:p>
    <w:p w14:paraId="031F8A0E">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质保期满后，丙方终生提供优惠的维修服务；零配件费用按当时市场价的</w:t>
      </w:r>
      <w:r>
        <w:rPr>
          <w:rFonts w:hint="eastAsia" w:ascii="Times New Roman" w:hAnsi="Times New Roman" w:eastAsia="宋体" w:cs="Times New Roman"/>
          <w:kern w:val="2"/>
          <w:sz w:val="24"/>
          <w:szCs w:val="24"/>
          <w:lang w:val="en-US" w:eastAsia="zh-CN" w:bidi="ar-SA"/>
        </w:rPr>
        <w:t>*折的优惠价格收取；</w:t>
      </w:r>
    </w:p>
    <w:p w14:paraId="68DE67B1">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3FF80865">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因丙方原因不能够达到上述设备保修及售后服务的约定，按甲方实际停机天数自动延长其保修期,甲方有权延后质保金和维保费用的支付时间，并追究丙方因此引发的相应的法律责任。</w:t>
      </w:r>
    </w:p>
    <w:p w14:paraId="030CC4E3">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十、责任和义务</w:t>
      </w:r>
    </w:p>
    <w:p w14:paraId="05FD133F">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甲方责任：</w:t>
      </w:r>
      <w:r>
        <w:rPr>
          <w:rFonts w:ascii="宋体" w:hAnsi="宋体" w:eastAsia="宋体" w:cs="Times New Roman"/>
          <w:color w:val="000000"/>
          <w:kern w:val="2"/>
          <w:sz w:val="24"/>
          <w:szCs w:val="24"/>
          <w:lang w:val="en-US" w:eastAsia="zh-CN" w:bidi="ar-SA"/>
        </w:rPr>
        <w:t>甲方需准备好安装</w:t>
      </w:r>
      <w:r>
        <w:rPr>
          <w:rFonts w:hint="eastAsia" w:ascii="宋体" w:hAnsi="宋体" w:eastAsia="宋体" w:cs="Times New Roman"/>
          <w:color w:val="000000"/>
          <w:kern w:val="2"/>
          <w:sz w:val="24"/>
          <w:szCs w:val="24"/>
          <w:lang w:val="en-US" w:eastAsia="zh-CN" w:bidi="ar-SA"/>
        </w:rPr>
        <w:t>硬件和软件</w:t>
      </w:r>
      <w:r>
        <w:rPr>
          <w:rFonts w:ascii="宋体" w:hAnsi="宋体" w:eastAsia="宋体" w:cs="Times New Roman"/>
          <w:color w:val="000000"/>
          <w:kern w:val="2"/>
          <w:sz w:val="24"/>
          <w:szCs w:val="24"/>
          <w:lang w:val="en-US" w:eastAsia="zh-CN" w:bidi="ar-SA"/>
        </w:rPr>
        <w:t>的环境，</w:t>
      </w:r>
      <w:r>
        <w:rPr>
          <w:rFonts w:hint="eastAsia" w:ascii="Times New Roman" w:hAnsi="Times New Roman" w:eastAsia="宋体" w:cs="Times New Roman"/>
          <w:kern w:val="2"/>
          <w:sz w:val="24"/>
          <w:szCs w:val="24"/>
          <w:lang w:val="en-US" w:eastAsia="zh-CN" w:bidi="ar-SA"/>
        </w:rPr>
        <w:t>丙</w:t>
      </w:r>
      <w:r>
        <w:rPr>
          <w:rFonts w:ascii="宋体" w:hAnsi="宋体" w:eastAsia="宋体" w:cs="Times New Roman"/>
          <w:color w:val="000000"/>
          <w:kern w:val="2"/>
          <w:sz w:val="24"/>
          <w:szCs w:val="24"/>
          <w:lang w:val="en-US" w:eastAsia="zh-CN" w:bidi="ar-SA"/>
        </w:rPr>
        <w:t>方需对甲方准备工作进行协助、指导。</w:t>
      </w:r>
    </w:p>
    <w:p w14:paraId="04A3CF0C">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乙方责任：根据合同约定、甲方付款确认书</w:t>
      </w:r>
      <w:r>
        <w:rPr>
          <w:rFonts w:hint="eastAsia" w:ascii="Times New Roman" w:hAnsi="Times New Roman" w:eastAsia="宋体" w:cs="Times New Roman"/>
          <w:kern w:val="2"/>
          <w:sz w:val="24"/>
          <w:szCs w:val="24"/>
          <w:lang w:val="en-US" w:eastAsia="zh-CN" w:bidi="ar-SA"/>
        </w:rPr>
        <w:t>以及丙方提供的符合财务结算的相关票据，向丙方进行支付。</w:t>
      </w:r>
    </w:p>
    <w:p w14:paraId="6EB2AB54">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丙</w:t>
      </w:r>
      <w:r>
        <w:rPr>
          <w:rFonts w:hint="eastAsia" w:ascii="宋体" w:hAnsi="宋体" w:eastAsia="宋体" w:cs="Times New Roman"/>
          <w:color w:val="000000"/>
          <w:kern w:val="2"/>
          <w:sz w:val="24"/>
          <w:szCs w:val="24"/>
          <w:lang w:val="en-US" w:eastAsia="zh-CN" w:bidi="ar-SA"/>
        </w:rPr>
        <w:t>方责任：</w:t>
      </w:r>
    </w:p>
    <w:p w14:paraId="06CCA548">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方保证其提供给甲方的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产品享受厂方升级政策范围内的升级</w:t>
      </w:r>
      <w:r>
        <w:rPr>
          <w:rFonts w:hint="eastAsia" w:ascii="Times New Roman" w:hAnsi="Times New Roman" w:eastAsia="宋体" w:cs="Times New Roman"/>
          <w:sz w:val="24"/>
          <w:szCs w:val="24"/>
        </w:rPr>
        <w:t>和一切改良</w:t>
      </w:r>
      <w:r>
        <w:rPr>
          <w:rFonts w:ascii="Times New Roman" w:hAnsi="Times New Roman" w:eastAsia="宋体" w:cs="Times New Roman"/>
          <w:sz w:val="24"/>
          <w:szCs w:val="24"/>
        </w:rPr>
        <w:t>。</w:t>
      </w:r>
      <w:r>
        <w:rPr>
          <w:rFonts w:hint="eastAsia" w:ascii="宋体" w:hAnsi="宋体" w:eastAsia="宋体" w:cs="Times New Roman"/>
          <w:color w:val="000000"/>
          <w:sz w:val="24"/>
          <w:szCs w:val="24"/>
        </w:rPr>
        <w:t xml:space="preserve"> </w:t>
      </w:r>
    </w:p>
    <w:p w14:paraId="76904E78">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方必须保证本合同所述</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是</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方目前的最新版本</w:t>
      </w:r>
      <w:r>
        <w:rPr>
          <w:rFonts w:hint="eastAsia" w:ascii="Times New Roman" w:hAnsi="Times New Roman" w:eastAsia="宋体" w:cs="Times New Roman"/>
          <w:sz w:val="24"/>
          <w:szCs w:val="24"/>
        </w:rPr>
        <w:t>。</w:t>
      </w:r>
    </w:p>
    <w:p w14:paraId="666B4887">
      <w:pPr>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（3）</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方负责以</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功能的升级、维护和文档更新。</w:t>
      </w:r>
    </w:p>
    <w:p w14:paraId="457660C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如甲方以后有需要对</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进行改动的，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w:t>
      </w:r>
      <w:r>
        <w:rPr>
          <w:rFonts w:hint="eastAsia" w:ascii="Times New Roman" w:hAnsi="Times New Roman" w:eastAsia="宋体" w:cs="Times New Roman"/>
          <w:sz w:val="24"/>
          <w:szCs w:val="24"/>
        </w:rPr>
        <w:t>免费进行改良。</w:t>
      </w:r>
    </w:p>
    <w:p w14:paraId="71E854F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（5）丙</w:t>
      </w:r>
      <w:r>
        <w:rPr>
          <w:rFonts w:ascii="Times New Roman" w:hAnsi="Times New Roman" w:eastAsia="宋体" w:cs="Times New Roman"/>
          <w:sz w:val="24"/>
          <w:szCs w:val="24"/>
        </w:rPr>
        <w:t>方保证其</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系统不带有定期的密码输入</w:t>
      </w:r>
      <w:r>
        <w:rPr>
          <w:rFonts w:hint="eastAsia" w:ascii="Times New Roman" w:hAnsi="Times New Roman" w:eastAsia="宋体" w:cs="Times New Roman"/>
          <w:sz w:val="24"/>
          <w:szCs w:val="24"/>
        </w:rPr>
        <w:t>。</w:t>
      </w:r>
    </w:p>
    <w:p w14:paraId="521204D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（6）丙</w:t>
      </w:r>
      <w:r>
        <w:rPr>
          <w:rFonts w:ascii="Times New Roman" w:hAnsi="Times New Roman" w:eastAsia="宋体" w:cs="Times New Roman"/>
          <w:sz w:val="24"/>
          <w:szCs w:val="24"/>
        </w:rPr>
        <w:t>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不可隐含任何恶意功能，包括但不限于病毒、蠕虫和特洛伊木马等程序，也不可以于未经甲方及其相关联</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"https://v.66law.cn/shuofa/gsf/gsfgd/" \t "_blank" \o "公司"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公司</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授权下透过软件收集和扩散任何甲方及其相关联公司之数据各信息</w:t>
      </w:r>
      <w:r>
        <w:rPr>
          <w:rFonts w:hint="eastAsia" w:ascii="Times New Roman" w:hAnsi="Times New Roman" w:eastAsia="宋体" w:cs="Times New Roman"/>
          <w:sz w:val="24"/>
          <w:szCs w:val="24"/>
        </w:rPr>
        <w:t>。</w:t>
      </w:r>
    </w:p>
    <w:p w14:paraId="537DED5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（7）丙方提供的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w:t>
      </w:r>
    </w:p>
    <w:p w14:paraId="5A8C8337">
      <w:pP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（8）丙方工作人员若因操作失误导致系统故障、数据遗失的，丙方应负责调试系统至正常使用状态并恢复数据，由此造成甲方损失的，丙方应承担赔偿责任。</w:t>
      </w:r>
    </w:p>
    <w:p w14:paraId="216CA220">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十一、</w:t>
      </w:r>
      <w:r>
        <w:rPr>
          <w:rFonts w:ascii="Times New Roman" w:hAnsi="Times New Roman" w:eastAsia="宋体" w:cs="Times New Roman"/>
          <w:b/>
          <w:sz w:val="24"/>
          <w:szCs w:val="24"/>
        </w:rPr>
        <w:t>保证条款</w:t>
      </w:r>
    </w:p>
    <w:p w14:paraId="108F2D1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方保证交付甲方的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来源合法</w:t>
      </w:r>
      <w:r>
        <w:rPr>
          <w:rFonts w:hint="eastAsia" w:ascii="Times New Roman" w:hAnsi="Times New Roman" w:eastAsia="宋体" w:cs="Times New Roman"/>
          <w:sz w:val="24"/>
          <w:szCs w:val="24"/>
        </w:rPr>
        <w:t>。</w:t>
      </w:r>
    </w:p>
    <w:p w14:paraId="2B321BC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方保证提供给甲方的软件不侵犯任何第三方的合法权益，包括但不限于</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"https://www.66law.cn/special/shangbiaochaxun/" \t "_blank" \o "商标权"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商标权</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、专利权或</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"https://www.66law.cn/special/symm/" \t "_blank" \o "商业秘密"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商业秘密</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等。如出现第三方对甲方使用或销售本合同软件提出所有权异议、索赔等情况的，甲方有权拒绝并立即通知</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方自行处理由此导致的问题，并且</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方应在自行承担相关费用的情况下按照甲方之要求采取必要的补救措施确保甲方的损失降至最低。</w:t>
      </w:r>
    </w:p>
    <w:p w14:paraId="48ADAAA5">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3、如</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方出现不履行义务、迟延履行义务或其他瑕疵履行的，因此而产生的费用和导致甲方损失的责任均由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方承担。</w:t>
      </w:r>
    </w:p>
    <w:p w14:paraId="0F4E40AA">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十二、违约条款</w:t>
      </w:r>
    </w:p>
    <w:p w14:paraId="56036A1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1、丙方交付的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而违约，按本条本款下述第“2”项规定由丙方偿付违约赔偿金给甲方。</w:t>
      </w:r>
    </w:p>
    <w:p w14:paraId="15B9120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或逾期交付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而违约的，除应及时交足</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318DD915">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3、丙方软件经甲方送交具有法定资格条件的质量技术监督机构检测后，如检测结果认定</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5951D95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4、丙方保证本合同</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的权利无瑕疵，包括</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所有权及知识产权等权利无瑕疵。如任何第三方经法院（或仲裁机构）裁决有权对上述软件主张权利或国家机关依法对</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进行没收查处的，丙方除应向乙方返还已收款项外，还应另按合同总价的百分之拾向甲方支付违约金并赔偿因此给甲方造成的一切损失。</w:t>
      </w:r>
    </w:p>
    <w:p w14:paraId="3D6CC935">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5、甲乙丙三方因违约偿付的违约金不足以弥补非违约方损失的，还应按非违约方损失尚未弥补的部分，支付赔偿金给非违约方。</w:t>
      </w:r>
    </w:p>
    <w:p w14:paraId="01D94BD6">
      <w:pPr>
        <w:spacing w:line="360" w:lineRule="auto"/>
        <w:rPr>
          <w:rFonts w:ascii="宋体" w:hAnsi="宋体" w:eastAsia="宋体" w:cs="Tahoma"/>
          <w:sz w:val="24"/>
          <w:szCs w:val="24"/>
        </w:rPr>
      </w:pPr>
      <w:r>
        <w:rPr>
          <w:rFonts w:hint="eastAsia" w:ascii="Times New Roman" w:hAnsi="Times New Roman" w:eastAsia="宋体" w:cs="Times New Roman"/>
          <w:sz w:val="24"/>
          <w:szCs w:val="24"/>
        </w:rPr>
        <w:t>6、丙方提供的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服务需要严格遵守相关网络信息安全规定。未经甲方允许，丙方不能擅自将系统中甲方的相关信息以任何形式透露给第三方，若有相关行为，甲方将依法追究其法律责任。</w:t>
      </w:r>
    </w:p>
    <w:p w14:paraId="5F6A372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十三、不可抗力</w:t>
      </w:r>
    </w:p>
    <w:p w14:paraId="659D2EC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1、不可抗力包括影响合同义务的执行的严重火灾、水灾、台风、地震、罢工等。</w:t>
      </w:r>
    </w:p>
    <w:p w14:paraId="18C1426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2、不可抗力事故受到影响的一方应在</w:t>
      </w:r>
      <w:r>
        <w:rPr>
          <w:rFonts w:hint="eastAsia" w:ascii="Times New Roman" w:hAnsi="Times New Roman" w:eastAsia="宋体" w:cs="Times New Roman"/>
          <w:sz w:val="24"/>
          <w:szCs w:val="24"/>
        </w:rPr>
        <w:t xml:space="preserve"> 7 </w:t>
      </w:r>
      <w:r>
        <w:rPr>
          <w:rFonts w:ascii="Times New Roman" w:hAnsi="Times New Roman" w:eastAsia="宋体" w:cs="Times New Roman"/>
          <w:sz w:val="24"/>
          <w:szCs w:val="24"/>
        </w:rPr>
        <w:t>个工作日内通知对方，并出具相关证明。当不可抗力事故消除后，受到影响的一方应尽快书面通知</w:t>
      </w:r>
      <w:r>
        <w:rPr>
          <w:rFonts w:hint="eastAsia" w:ascii="Times New Roman" w:hAnsi="Times New Roman" w:eastAsia="宋体" w:cs="Times New Roman"/>
          <w:sz w:val="24"/>
          <w:szCs w:val="24"/>
        </w:rPr>
        <w:t>其他</w:t>
      </w:r>
      <w:r>
        <w:rPr>
          <w:rFonts w:ascii="Times New Roman" w:hAnsi="Times New Roman" w:eastAsia="宋体" w:cs="Times New Roman"/>
          <w:sz w:val="24"/>
          <w:szCs w:val="24"/>
        </w:rPr>
        <w:t>方。</w:t>
      </w:r>
    </w:p>
    <w:p w14:paraId="59CA03BC">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3、由于不可抗力事故而影响合同履行的，但不影响合同目的实现的，可延迟履行合同期限，延迟时间相当于事故所影响的时间。若不可抗力原因影响本合同执行时间超过</w:t>
      </w:r>
      <w:r>
        <w:rPr>
          <w:rFonts w:hint="eastAsia" w:ascii="Times New Roman" w:hAnsi="Times New Roman" w:eastAsia="宋体" w:cs="Times New Roman"/>
          <w:sz w:val="24"/>
          <w:szCs w:val="24"/>
        </w:rPr>
        <w:t>3个月，三方就合同签订履行事宜另行协商。</w:t>
      </w:r>
    </w:p>
    <w:p w14:paraId="0177945F">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十四、</w:t>
      </w:r>
      <w:r>
        <w:rPr>
          <w:rFonts w:hint="eastAsia" w:ascii="Times New Roman" w:hAnsi="Times New Roman" w:eastAsia="宋体" w:cs="Times New Roman"/>
          <w:b/>
          <w:bCs/>
          <w:sz w:val="24"/>
          <w:szCs w:val="24"/>
        </w:rPr>
        <w:t>知识产权及数据隐私保护</w:t>
      </w:r>
    </w:p>
    <w:p w14:paraId="573A622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方必须对本合同履行过程中知悉的甲方的商业</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秘密</w:t>
      </w:r>
      <w:r>
        <w:rPr>
          <w:rFonts w:hint="eastAsia" w:ascii="Times New Roman" w:hAnsi="Times New Roman" w:eastAsia="宋体" w:cs="Times New Roman"/>
          <w:sz w:val="24"/>
          <w:szCs w:val="24"/>
        </w:rPr>
        <w:t>、经营秘密、患者隐私数据等甲方未公开的信息</w:t>
      </w:r>
      <w:r>
        <w:rPr>
          <w:rFonts w:ascii="Times New Roman" w:hAnsi="Times New Roman" w:eastAsia="宋体" w:cs="Times New Roman"/>
          <w:sz w:val="24"/>
          <w:szCs w:val="24"/>
        </w:rPr>
        <w:t>负保密义务，不得向任何第三方透露</w:t>
      </w:r>
      <w:r>
        <w:rPr>
          <w:rFonts w:hint="eastAsia" w:ascii="Times New Roman" w:hAnsi="Times New Roman" w:eastAsia="宋体" w:cs="Times New Roman"/>
          <w:sz w:val="24"/>
          <w:szCs w:val="24"/>
        </w:rPr>
        <w:t>，不得用作本协议以外的其他用途</w:t>
      </w:r>
      <w:r>
        <w:rPr>
          <w:rFonts w:ascii="Times New Roman" w:hAnsi="Times New Roman" w:eastAsia="宋体" w:cs="Times New Roman"/>
          <w:sz w:val="24"/>
          <w:szCs w:val="24"/>
        </w:rPr>
        <w:t>。否则，</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方应赔偿甲方因此造成的经济损失，包括但不限于实际损失、可得利益损失及为此支付的律师代理费用</w:t>
      </w:r>
      <w:r>
        <w:rPr>
          <w:rFonts w:hint="eastAsia" w:ascii="Times New Roman" w:hAnsi="Times New Roman" w:eastAsia="宋体" w:cs="Times New Roman"/>
          <w:sz w:val="24"/>
          <w:szCs w:val="24"/>
        </w:rPr>
        <w:t>、诉讼费、公告费、公证费、保全费等。保密期为永久。损失无法计算的，甲丙双方同意按照合同金额的1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倍计算违约金，甲丙双方均不认为该违约金过高。</w:t>
      </w:r>
    </w:p>
    <w:p w14:paraId="12A3085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、任何一方在未征得对方书面同意，不得将本合同的权利或义务转让给第三方。</w:t>
      </w:r>
      <w:r>
        <w:rPr>
          <w:rFonts w:hint="eastAsia" w:ascii="Times New Roman" w:hAnsi="Times New Roman" w:eastAsia="宋体" w:cs="Times New Roman"/>
          <w:sz w:val="24"/>
          <w:szCs w:val="24"/>
        </w:rPr>
        <w:t>否则，违约方按照合同金额</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%支付违约金，违约金不足以弥补非违约方损失的，违约方予以补足。</w:t>
      </w:r>
    </w:p>
    <w:p w14:paraId="1BC23EA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3、甲、丙双方共同研发的该系统软件产品，知识产权归甲、丙双方共同拥有，软件所有数据归甲方所有。</w:t>
      </w:r>
    </w:p>
    <w:p w14:paraId="48216A1D">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十五、廉洁约定</w:t>
      </w:r>
    </w:p>
    <w:p w14:paraId="424891A0">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19B9EDD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十六、合同生效</w:t>
      </w:r>
    </w:p>
    <w:p w14:paraId="05DF20BD">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本合同在甲乙丙三方法定代表人、负责人或授权代表签字并加盖单位公章或合同专用章后生效。</w:t>
      </w:r>
    </w:p>
    <w:p w14:paraId="26137DB1">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本合同一式</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份，甲方执四份，乙方执</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份，丙方【 】份。</w:t>
      </w:r>
    </w:p>
    <w:p w14:paraId="1477BC50">
      <w:pPr>
        <w:spacing w:line="360" w:lineRule="auto"/>
        <w:rPr>
          <w:rFonts w:ascii="仿宋" w:hAnsi="仿宋" w:eastAsia="仿宋" w:cs="Times New Roman"/>
          <w:sz w:val="24"/>
          <w:szCs w:val="24"/>
        </w:rPr>
      </w:pPr>
      <w:r>
        <w:rPr>
          <w:rFonts w:hint="eastAsia" w:ascii="Times New Roman" w:hAnsi="Times New Roman" w:eastAsia="宋体" w:cs="Times New Roman"/>
          <w:b/>
          <w:sz w:val="24"/>
          <w:szCs w:val="24"/>
        </w:rPr>
        <w:t>十七、争议解决方式</w:t>
      </w:r>
    </w:p>
    <w:p w14:paraId="77213A69">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4341B6B4">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合同履行期间,若双方发生争议，可协商或由有关部门调解解决，协商或调解不成的，任何一方均有权向甲方住所地管辖权的人民法院起诉。</w:t>
      </w:r>
    </w:p>
    <w:p w14:paraId="3AD4344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十八、双方需要说明的其他事项</w:t>
      </w:r>
    </w:p>
    <w:p w14:paraId="05AA8D08">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协议内容应符合各方行业的监管要求，若遇国家监管政策调整导致任何一方不能继续履约，合同当事人有权解除或终止协议，且不承担违约或损失赔偿责任等相关条款。</w:t>
      </w:r>
    </w:p>
    <w:p w14:paraId="0059EC47">
      <w:pPr>
        <w:spacing w:line="360" w:lineRule="auto"/>
        <w:rPr>
          <w:rFonts w:ascii="Times New Roman" w:hAnsi="Times New Roman" w:eastAsia="宋体" w:cs="Times New Roman"/>
          <w:bCs/>
          <w:sz w:val="24"/>
          <w:szCs w:val="24"/>
          <w:u w:val="single"/>
        </w:rPr>
      </w:pPr>
    </w:p>
    <w:p w14:paraId="39C07EF3">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（以下无正文）</w:t>
      </w:r>
    </w:p>
    <w:p w14:paraId="02C6F1BA">
      <w:pPr>
        <w:spacing w:line="360" w:lineRule="auto"/>
        <w:outlineLvl w:val="0"/>
        <w:rPr>
          <w:rFonts w:ascii="Times New Roman" w:hAnsi="Times New Roman" w:eastAsia="宋体" w:cs="Times New Roman"/>
          <w:b/>
          <w:bCs/>
          <w:sz w:val="24"/>
          <w:szCs w:val="24"/>
        </w:rPr>
      </w:pPr>
    </w:p>
    <w:p w14:paraId="5C05BE57">
      <w:pPr>
        <w:spacing w:line="360" w:lineRule="auto"/>
        <w:outlineLvl w:val="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47127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20BA660D">
            <w:pPr>
              <w:spacing w:line="360" w:lineRule="auto"/>
              <w:rPr>
                <w:rFonts w:ascii="宋体" w:hAnsi="宋体" w:eastAsia="宋体" w:cs="Times New Roman"/>
                <w:sz w:val="24"/>
                <w:szCs w:val="24"/>
              </w:rPr>
            </w:pPr>
            <w:r>
              <w:rPr>
                <w:rFonts w:hint="eastAsia" w:ascii="宋体" w:hAnsi="宋体" w:eastAsia="宋体" w:cs="Times New Roman"/>
                <w:sz w:val="24"/>
                <w:szCs w:val="24"/>
              </w:rPr>
              <w:t>甲方：四川省人民医院</w:t>
            </w:r>
          </w:p>
          <w:p w14:paraId="4AA59570">
            <w:pPr>
              <w:spacing w:line="360" w:lineRule="auto"/>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2A949976">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乙方：</w:t>
            </w:r>
            <w:r>
              <w:rPr>
                <w:rFonts w:hint="eastAsia" w:ascii="宋体" w:hAnsi="宋体" w:eastAsia="宋体" w:cs="宋体"/>
                <w:color w:val="000000"/>
                <w:kern w:val="0"/>
                <w:sz w:val="24"/>
                <w:szCs w:val="24"/>
              </w:rPr>
              <w:t>中国农业银行股份有限公司成都光华支行</w:t>
            </w:r>
          </w:p>
          <w:p w14:paraId="306E1B47">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负责人（授权代表）：</w:t>
            </w:r>
          </w:p>
        </w:tc>
      </w:tr>
      <w:tr w14:paraId="461EE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5885E1B">
            <w:pPr>
              <w:spacing w:line="360" w:lineRule="auto"/>
              <w:rPr>
                <w:rFonts w:ascii="宋体" w:hAnsi="宋体" w:eastAsia="宋体" w:cs="Times New Roman"/>
                <w:sz w:val="24"/>
                <w:szCs w:val="24"/>
              </w:rPr>
            </w:pPr>
          </w:p>
        </w:tc>
        <w:tc>
          <w:tcPr>
            <w:tcW w:w="4927" w:type="dxa"/>
            <w:vAlign w:val="center"/>
          </w:tcPr>
          <w:p w14:paraId="101656EB">
            <w:pPr>
              <w:spacing w:line="360" w:lineRule="auto"/>
              <w:outlineLvl w:val="0"/>
              <w:rPr>
                <w:rFonts w:ascii="宋体" w:hAnsi="宋体" w:eastAsia="宋体" w:cs="Times New Roman"/>
                <w:sz w:val="24"/>
                <w:szCs w:val="24"/>
              </w:rPr>
            </w:pPr>
          </w:p>
        </w:tc>
      </w:tr>
      <w:tr w14:paraId="0AFA5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9BF00E0">
            <w:pPr>
              <w:spacing w:line="360" w:lineRule="auto"/>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563AE01C">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r>
      <w:tr w14:paraId="03CF3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60C3C1E">
            <w:pPr>
              <w:spacing w:line="360" w:lineRule="auto"/>
              <w:rPr>
                <w:rFonts w:ascii="宋体" w:hAnsi="宋体" w:eastAsia="宋体" w:cs="Times New Roman"/>
                <w:sz w:val="24"/>
                <w:szCs w:val="24"/>
              </w:rPr>
            </w:pPr>
          </w:p>
        </w:tc>
        <w:tc>
          <w:tcPr>
            <w:tcW w:w="4927" w:type="dxa"/>
            <w:vAlign w:val="center"/>
          </w:tcPr>
          <w:p w14:paraId="0585CCF5">
            <w:pPr>
              <w:spacing w:line="360" w:lineRule="auto"/>
              <w:outlineLvl w:val="0"/>
              <w:rPr>
                <w:rFonts w:ascii="宋体" w:hAnsi="宋体" w:eastAsia="宋体" w:cs="Times New Roman"/>
                <w:sz w:val="24"/>
                <w:szCs w:val="24"/>
              </w:rPr>
            </w:pPr>
          </w:p>
        </w:tc>
      </w:tr>
      <w:tr w14:paraId="518F3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8CF074B">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 xml:space="preserve">丙方： </w:t>
            </w:r>
          </w:p>
          <w:p w14:paraId="2427D9F9">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2C48B1A4">
            <w:pPr>
              <w:spacing w:line="360" w:lineRule="auto"/>
              <w:outlineLvl w:val="0"/>
              <w:rPr>
                <w:rFonts w:ascii="宋体" w:hAnsi="宋体" w:eastAsia="宋体" w:cs="Times New Roman"/>
                <w:sz w:val="24"/>
                <w:szCs w:val="24"/>
              </w:rPr>
            </w:pPr>
          </w:p>
        </w:tc>
      </w:tr>
      <w:tr w14:paraId="0E58F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607AB732">
            <w:pPr>
              <w:spacing w:line="360" w:lineRule="auto"/>
              <w:outlineLvl w:val="0"/>
              <w:rPr>
                <w:rFonts w:ascii="宋体" w:hAnsi="宋体" w:eastAsia="宋体" w:cs="Times New Roman"/>
                <w:sz w:val="24"/>
                <w:szCs w:val="24"/>
              </w:rPr>
            </w:pPr>
          </w:p>
        </w:tc>
        <w:tc>
          <w:tcPr>
            <w:tcW w:w="4927" w:type="dxa"/>
            <w:vAlign w:val="center"/>
          </w:tcPr>
          <w:p w14:paraId="56CDEFC4">
            <w:pPr>
              <w:spacing w:line="360" w:lineRule="auto"/>
              <w:outlineLvl w:val="0"/>
              <w:rPr>
                <w:rFonts w:ascii="宋体" w:hAnsi="宋体" w:eastAsia="宋体" w:cs="Times New Roman"/>
                <w:sz w:val="24"/>
                <w:szCs w:val="24"/>
              </w:rPr>
            </w:pPr>
          </w:p>
        </w:tc>
      </w:tr>
      <w:tr w14:paraId="7355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1973FE8">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07D459DC">
            <w:pPr>
              <w:spacing w:line="360" w:lineRule="auto"/>
              <w:outlineLvl w:val="0"/>
              <w:rPr>
                <w:rFonts w:ascii="宋体" w:hAnsi="宋体" w:eastAsia="宋体" w:cs="Times New Roman"/>
                <w:sz w:val="24"/>
                <w:szCs w:val="24"/>
              </w:rPr>
            </w:pPr>
          </w:p>
        </w:tc>
      </w:tr>
    </w:tbl>
    <w:p w14:paraId="0D7D0415">
      <w:pPr>
        <w:rPr>
          <w:rFonts w:ascii="Times New Roman" w:hAnsi="Times New Roman" w:eastAsia="宋体" w:cs="Times New Roman"/>
          <w:szCs w:val="20"/>
        </w:rPr>
      </w:pPr>
      <w:r>
        <w:rPr>
          <w:rFonts w:ascii="STZhongsong" w:hAnsi="STZhongsong" w:eastAsia="STZhongsong" w:cs="Times New Roman"/>
          <w:sz w:val="24"/>
          <w:szCs w:val="24"/>
        </w:rPr>
        <w:br w:type="page"/>
      </w:r>
    </w:p>
    <w:p w14:paraId="687B7F41">
      <w:pPr>
        <w:spacing w:line="460" w:lineRule="exact"/>
        <w:outlineLvl w:val="0"/>
        <w:rPr>
          <w:rFonts w:ascii="STZhongsong" w:hAnsi="STZhongsong" w:eastAsia="STZhongsong" w:cs="Times New Roman"/>
          <w:sz w:val="24"/>
          <w:szCs w:val="24"/>
        </w:rPr>
      </w:pPr>
      <w:r>
        <w:rPr>
          <w:rFonts w:hint="eastAsia" w:ascii="STZhongsong" w:hAnsi="STZhongsong" w:eastAsia="STZhongsong" w:cs="Times New Roman"/>
          <w:sz w:val="24"/>
          <w:szCs w:val="24"/>
        </w:rPr>
        <w:t>附件：</w:t>
      </w:r>
    </w:p>
    <w:p w14:paraId="312F7718">
      <w:pPr>
        <w:spacing w:line="460" w:lineRule="exact"/>
        <w:outlineLvl w:val="0"/>
        <w:rPr>
          <w:rFonts w:ascii="STZhongsong" w:hAnsi="STZhongsong" w:eastAsia="STZhongsong" w:cs="Times New Roman"/>
          <w:sz w:val="24"/>
          <w:szCs w:val="24"/>
        </w:rPr>
      </w:pPr>
    </w:p>
    <w:p w14:paraId="5B75EE2B">
      <w:pPr>
        <w:spacing w:line="460" w:lineRule="exact"/>
        <w:outlineLvl w:val="0"/>
        <w:rPr>
          <w:rFonts w:ascii="STZhongsong" w:hAnsi="STZhongsong" w:eastAsia="STZhongsong" w:cs="Times New Roman"/>
          <w:sz w:val="24"/>
          <w:szCs w:val="24"/>
        </w:rPr>
      </w:pPr>
    </w:p>
    <w:p w14:paraId="2B1EB045">
      <w:pPr>
        <w:rPr>
          <w:rFonts w:ascii="Times New Roman" w:hAnsi="Times New Roman" w:cs="Times New Roman"/>
          <w:b/>
          <w:bCs/>
          <w:sz w:val="44"/>
          <w:szCs w:val="52"/>
        </w:rPr>
      </w:pPr>
    </w:p>
    <w:p w14:paraId="6B0E9036">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FEEB16-D5D8-4AFE-A9B1-1BD9D7F56B5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63E96B6-6EB8-4460-A37E-668E635101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B5B3E29-7CFA-4A6E-9A2E-DA9439E491B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28F464A-58CC-4BD9-ACD6-FC83D07E894A}"/>
  </w:font>
  <w:font w:name="Segoe UI Symbol">
    <w:panose1 w:val="020B0502040204020203"/>
    <w:charset w:val="00"/>
    <w:family w:val="swiss"/>
    <w:pitch w:val="default"/>
    <w:sig w:usb0="800001E3" w:usb1="1200FFEF" w:usb2="00040000" w:usb3="04000000" w:csb0="00000001" w:csb1="40000000"/>
    <w:embedRegular r:id="rId5" w:fontKey="{45358B08-1A27-49AA-AD5F-77003F230E96}"/>
  </w:font>
  <w:font w:name="方正小标宋_GBK">
    <w:altName w:val="微软雅黑"/>
    <w:panose1 w:val="03000509000000000000"/>
    <w:charset w:val="86"/>
    <w:family w:val="script"/>
    <w:pitch w:val="default"/>
    <w:sig w:usb0="00000000" w:usb1="00000000" w:usb2="00000000" w:usb3="00000000" w:csb0="00040000" w:csb1="00000000"/>
    <w:embedRegular r:id="rId6" w:fontKey="{8A3A5914-2652-498F-96B9-E5AEB93F732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embedRegular r:id="rId7" w:fontKey="{0327FC47-C64E-4156-ABBA-AC600899B2E0}"/>
  </w:font>
  <w:font w:name="STZhongsong">
    <w:altName w:val="宋体"/>
    <w:panose1 w:val="02010600040101010101"/>
    <w:charset w:val="86"/>
    <w:family w:val="auto"/>
    <w:pitch w:val="default"/>
    <w:sig w:usb0="00000000" w:usb1="00000000" w:usb2="00000000" w:usb3="00000000" w:csb0="0004009F" w:csb1="DFD70000"/>
    <w:embedRegular r:id="rId8" w:fontKey="{F6DE6121-1138-471F-9690-59B7B736694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9BE8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89BE8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02F1"/>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2E66B31"/>
    <w:rsid w:val="03B91F1D"/>
    <w:rsid w:val="03D1158F"/>
    <w:rsid w:val="041F679F"/>
    <w:rsid w:val="04BC1856"/>
    <w:rsid w:val="05790181"/>
    <w:rsid w:val="058C78B0"/>
    <w:rsid w:val="05E13064"/>
    <w:rsid w:val="05E51322"/>
    <w:rsid w:val="05FD48BE"/>
    <w:rsid w:val="06897EFF"/>
    <w:rsid w:val="078A573C"/>
    <w:rsid w:val="07B63DC8"/>
    <w:rsid w:val="07BB28BC"/>
    <w:rsid w:val="082425D6"/>
    <w:rsid w:val="083251D0"/>
    <w:rsid w:val="08326375"/>
    <w:rsid w:val="0837398B"/>
    <w:rsid w:val="083A1BBD"/>
    <w:rsid w:val="08745B19"/>
    <w:rsid w:val="08EE39BE"/>
    <w:rsid w:val="093A3733"/>
    <w:rsid w:val="0A220AAD"/>
    <w:rsid w:val="0A5151D8"/>
    <w:rsid w:val="0A726EFC"/>
    <w:rsid w:val="0B4508AE"/>
    <w:rsid w:val="0C120997"/>
    <w:rsid w:val="0C774C9E"/>
    <w:rsid w:val="0C965124"/>
    <w:rsid w:val="0CF161C9"/>
    <w:rsid w:val="0D26294C"/>
    <w:rsid w:val="0D5C636E"/>
    <w:rsid w:val="0D7D4536"/>
    <w:rsid w:val="0DD5633D"/>
    <w:rsid w:val="0DF742E8"/>
    <w:rsid w:val="0E0B7FF0"/>
    <w:rsid w:val="0E5B6625"/>
    <w:rsid w:val="0EAC189D"/>
    <w:rsid w:val="0F5D2ECD"/>
    <w:rsid w:val="0FC14BAE"/>
    <w:rsid w:val="101A497B"/>
    <w:rsid w:val="10432B4B"/>
    <w:rsid w:val="10A15B58"/>
    <w:rsid w:val="110E1F50"/>
    <w:rsid w:val="117A5014"/>
    <w:rsid w:val="127F05A0"/>
    <w:rsid w:val="1299771C"/>
    <w:rsid w:val="12BC165D"/>
    <w:rsid w:val="12ED20F8"/>
    <w:rsid w:val="130A5001"/>
    <w:rsid w:val="136D78F8"/>
    <w:rsid w:val="13806B2E"/>
    <w:rsid w:val="13AC16D1"/>
    <w:rsid w:val="14221993"/>
    <w:rsid w:val="144B0EEA"/>
    <w:rsid w:val="14A32AD4"/>
    <w:rsid w:val="15567E5A"/>
    <w:rsid w:val="15CC4977"/>
    <w:rsid w:val="16077093"/>
    <w:rsid w:val="162A4F7D"/>
    <w:rsid w:val="1675224E"/>
    <w:rsid w:val="16A82A66"/>
    <w:rsid w:val="16DE614F"/>
    <w:rsid w:val="17013AE2"/>
    <w:rsid w:val="17233056"/>
    <w:rsid w:val="174E359A"/>
    <w:rsid w:val="17826121"/>
    <w:rsid w:val="18316649"/>
    <w:rsid w:val="186B5960"/>
    <w:rsid w:val="18733D49"/>
    <w:rsid w:val="18E216F1"/>
    <w:rsid w:val="1954595C"/>
    <w:rsid w:val="1994787E"/>
    <w:rsid w:val="19CF3767"/>
    <w:rsid w:val="1A82318C"/>
    <w:rsid w:val="1B0B27A2"/>
    <w:rsid w:val="1B4037B5"/>
    <w:rsid w:val="1B634D6B"/>
    <w:rsid w:val="1B642891"/>
    <w:rsid w:val="1BC9751D"/>
    <w:rsid w:val="1C625023"/>
    <w:rsid w:val="1C746B04"/>
    <w:rsid w:val="1D2821E4"/>
    <w:rsid w:val="1D2E1493"/>
    <w:rsid w:val="1D8C2C2E"/>
    <w:rsid w:val="1DB4365C"/>
    <w:rsid w:val="1DC35F95"/>
    <w:rsid w:val="1DD000AF"/>
    <w:rsid w:val="1E09745A"/>
    <w:rsid w:val="1E0D2131"/>
    <w:rsid w:val="1E114F52"/>
    <w:rsid w:val="1E176351"/>
    <w:rsid w:val="1EB23704"/>
    <w:rsid w:val="1ECD615C"/>
    <w:rsid w:val="1FDF03C4"/>
    <w:rsid w:val="1FE21EC2"/>
    <w:rsid w:val="1FF95C9E"/>
    <w:rsid w:val="209239FD"/>
    <w:rsid w:val="20CF13CE"/>
    <w:rsid w:val="213D6CC4"/>
    <w:rsid w:val="215D225D"/>
    <w:rsid w:val="21B53E47"/>
    <w:rsid w:val="22935D1D"/>
    <w:rsid w:val="2332360F"/>
    <w:rsid w:val="2393373D"/>
    <w:rsid w:val="23B24AE2"/>
    <w:rsid w:val="23D4489F"/>
    <w:rsid w:val="23D83E1C"/>
    <w:rsid w:val="24466FD8"/>
    <w:rsid w:val="24727DCD"/>
    <w:rsid w:val="25186BC6"/>
    <w:rsid w:val="252B6033"/>
    <w:rsid w:val="25537BFE"/>
    <w:rsid w:val="25986B4C"/>
    <w:rsid w:val="25EA51CB"/>
    <w:rsid w:val="25F95EEC"/>
    <w:rsid w:val="262001B9"/>
    <w:rsid w:val="264F486A"/>
    <w:rsid w:val="271635BC"/>
    <w:rsid w:val="27B87AF9"/>
    <w:rsid w:val="27DA0163"/>
    <w:rsid w:val="27E80EA9"/>
    <w:rsid w:val="280414A1"/>
    <w:rsid w:val="28570368"/>
    <w:rsid w:val="288F2E9A"/>
    <w:rsid w:val="28A27020"/>
    <w:rsid w:val="28E14F1E"/>
    <w:rsid w:val="28EA6ACC"/>
    <w:rsid w:val="297939AC"/>
    <w:rsid w:val="29C5318E"/>
    <w:rsid w:val="2A142F93"/>
    <w:rsid w:val="2A81391B"/>
    <w:rsid w:val="2B502F98"/>
    <w:rsid w:val="2BE05F64"/>
    <w:rsid w:val="2C9A0A9E"/>
    <w:rsid w:val="2D2F2FAF"/>
    <w:rsid w:val="2DA70D65"/>
    <w:rsid w:val="2DBC4548"/>
    <w:rsid w:val="2E3D31FA"/>
    <w:rsid w:val="2E693FEF"/>
    <w:rsid w:val="2E9C2616"/>
    <w:rsid w:val="2F575E37"/>
    <w:rsid w:val="2FEF6776"/>
    <w:rsid w:val="30136908"/>
    <w:rsid w:val="30E31FB7"/>
    <w:rsid w:val="31322DBE"/>
    <w:rsid w:val="32165D3B"/>
    <w:rsid w:val="325356E2"/>
    <w:rsid w:val="332B5D17"/>
    <w:rsid w:val="333F7A14"/>
    <w:rsid w:val="3427766B"/>
    <w:rsid w:val="343706EB"/>
    <w:rsid w:val="34713BFD"/>
    <w:rsid w:val="34830DA6"/>
    <w:rsid w:val="35154C31"/>
    <w:rsid w:val="351A08D0"/>
    <w:rsid w:val="35805CB0"/>
    <w:rsid w:val="35A26038"/>
    <w:rsid w:val="35A41DB0"/>
    <w:rsid w:val="35BC70FA"/>
    <w:rsid w:val="36334CE5"/>
    <w:rsid w:val="3701395E"/>
    <w:rsid w:val="37920A5A"/>
    <w:rsid w:val="37BE35FD"/>
    <w:rsid w:val="380A6843"/>
    <w:rsid w:val="382B5F8F"/>
    <w:rsid w:val="38507FCD"/>
    <w:rsid w:val="3904683A"/>
    <w:rsid w:val="391E6AEA"/>
    <w:rsid w:val="393671C3"/>
    <w:rsid w:val="3A3F1B1E"/>
    <w:rsid w:val="3A551407"/>
    <w:rsid w:val="3B033C36"/>
    <w:rsid w:val="3B9C7486"/>
    <w:rsid w:val="3C333E8E"/>
    <w:rsid w:val="3C8A61A4"/>
    <w:rsid w:val="3CB90F2D"/>
    <w:rsid w:val="3CE05DC4"/>
    <w:rsid w:val="3CEE6201"/>
    <w:rsid w:val="3D385C00"/>
    <w:rsid w:val="3DBF7BA4"/>
    <w:rsid w:val="3E57579A"/>
    <w:rsid w:val="3E5D4E8E"/>
    <w:rsid w:val="3E6C180C"/>
    <w:rsid w:val="3EF618CF"/>
    <w:rsid w:val="3FE25336"/>
    <w:rsid w:val="40073668"/>
    <w:rsid w:val="40866C82"/>
    <w:rsid w:val="40C31C84"/>
    <w:rsid w:val="41076015"/>
    <w:rsid w:val="42075FF8"/>
    <w:rsid w:val="422C3859"/>
    <w:rsid w:val="42842020"/>
    <w:rsid w:val="42876CE2"/>
    <w:rsid w:val="44150A49"/>
    <w:rsid w:val="444340B2"/>
    <w:rsid w:val="446C1481"/>
    <w:rsid w:val="44E81B7F"/>
    <w:rsid w:val="4513485D"/>
    <w:rsid w:val="45185304"/>
    <w:rsid w:val="464C1B5B"/>
    <w:rsid w:val="468567BB"/>
    <w:rsid w:val="4734568A"/>
    <w:rsid w:val="476060E7"/>
    <w:rsid w:val="4782487D"/>
    <w:rsid w:val="47B71E17"/>
    <w:rsid w:val="49A10689"/>
    <w:rsid w:val="49D56585"/>
    <w:rsid w:val="49FC25C6"/>
    <w:rsid w:val="4A052D2B"/>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EF758C"/>
    <w:rsid w:val="501A6E72"/>
    <w:rsid w:val="501C4F0D"/>
    <w:rsid w:val="50201D6B"/>
    <w:rsid w:val="503A2AB3"/>
    <w:rsid w:val="50771A9C"/>
    <w:rsid w:val="51C47F6D"/>
    <w:rsid w:val="524F5EB6"/>
    <w:rsid w:val="52B256B5"/>
    <w:rsid w:val="52FB52AE"/>
    <w:rsid w:val="53C30570"/>
    <w:rsid w:val="54063F0A"/>
    <w:rsid w:val="5455382C"/>
    <w:rsid w:val="547F7727"/>
    <w:rsid w:val="55342CF9"/>
    <w:rsid w:val="554674F7"/>
    <w:rsid w:val="560662B2"/>
    <w:rsid w:val="58773629"/>
    <w:rsid w:val="589C07F4"/>
    <w:rsid w:val="59357973"/>
    <w:rsid w:val="597B0EA5"/>
    <w:rsid w:val="59965D30"/>
    <w:rsid w:val="5A3727CC"/>
    <w:rsid w:val="5A6307F6"/>
    <w:rsid w:val="5AA47FD9"/>
    <w:rsid w:val="5BA529F7"/>
    <w:rsid w:val="5C15549E"/>
    <w:rsid w:val="5C205D85"/>
    <w:rsid w:val="5C6043D4"/>
    <w:rsid w:val="5D0A3490"/>
    <w:rsid w:val="5D7A5897"/>
    <w:rsid w:val="5D7E0D39"/>
    <w:rsid w:val="5DB72F61"/>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A9427A"/>
    <w:rsid w:val="63D462B1"/>
    <w:rsid w:val="63E678B4"/>
    <w:rsid w:val="63FF44D2"/>
    <w:rsid w:val="641A3596"/>
    <w:rsid w:val="64C00105"/>
    <w:rsid w:val="64C36D7E"/>
    <w:rsid w:val="64D96647"/>
    <w:rsid w:val="64F90F01"/>
    <w:rsid w:val="65372C0E"/>
    <w:rsid w:val="655B51E5"/>
    <w:rsid w:val="65E40ADA"/>
    <w:rsid w:val="66330B86"/>
    <w:rsid w:val="66E22203"/>
    <w:rsid w:val="672101E2"/>
    <w:rsid w:val="677B6565"/>
    <w:rsid w:val="67AB0BF9"/>
    <w:rsid w:val="68B812C9"/>
    <w:rsid w:val="694A4441"/>
    <w:rsid w:val="698536CB"/>
    <w:rsid w:val="69D50CF4"/>
    <w:rsid w:val="69D73D89"/>
    <w:rsid w:val="69FF522C"/>
    <w:rsid w:val="6A535578"/>
    <w:rsid w:val="6AE34B4E"/>
    <w:rsid w:val="6BBB1173"/>
    <w:rsid w:val="6C487AFD"/>
    <w:rsid w:val="6C8664BC"/>
    <w:rsid w:val="6CB24363"/>
    <w:rsid w:val="6D3E7C18"/>
    <w:rsid w:val="6DBB3A8B"/>
    <w:rsid w:val="6DE573D0"/>
    <w:rsid w:val="6E721F63"/>
    <w:rsid w:val="6EA93466"/>
    <w:rsid w:val="6EBE56B6"/>
    <w:rsid w:val="6EFF37D8"/>
    <w:rsid w:val="6F146151"/>
    <w:rsid w:val="6F276F27"/>
    <w:rsid w:val="6F7D4948"/>
    <w:rsid w:val="6F960C48"/>
    <w:rsid w:val="6FCF0795"/>
    <w:rsid w:val="6FE70C3C"/>
    <w:rsid w:val="700560CB"/>
    <w:rsid w:val="70643A4D"/>
    <w:rsid w:val="70C90342"/>
    <w:rsid w:val="70F10A19"/>
    <w:rsid w:val="71303DA9"/>
    <w:rsid w:val="71381023"/>
    <w:rsid w:val="716A5681"/>
    <w:rsid w:val="72895FDA"/>
    <w:rsid w:val="732B6917"/>
    <w:rsid w:val="735465E8"/>
    <w:rsid w:val="73714961"/>
    <w:rsid w:val="74060F7A"/>
    <w:rsid w:val="74D27DA9"/>
    <w:rsid w:val="74D925D0"/>
    <w:rsid w:val="754825D6"/>
    <w:rsid w:val="754D1D92"/>
    <w:rsid w:val="75676A2A"/>
    <w:rsid w:val="758350A9"/>
    <w:rsid w:val="75AB44BA"/>
    <w:rsid w:val="75DE488F"/>
    <w:rsid w:val="76EE55AC"/>
    <w:rsid w:val="773521BD"/>
    <w:rsid w:val="77BE6726"/>
    <w:rsid w:val="77EE068E"/>
    <w:rsid w:val="780879A1"/>
    <w:rsid w:val="78412EB3"/>
    <w:rsid w:val="788B412F"/>
    <w:rsid w:val="78AA2807"/>
    <w:rsid w:val="78D62ECE"/>
    <w:rsid w:val="78EE1924"/>
    <w:rsid w:val="79687E1D"/>
    <w:rsid w:val="7A32161E"/>
    <w:rsid w:val="7B3E48AE"/>
    <w:rsid w:val="7B560FD7"/>
    <w:rsid w:val="7B5F74F8"/>
    <w:rsid w:val="7B690630"/>
    <w:rsid w:val="7BA1385C"/>
    <w:rsid w:val="7BC01667"/>
    <w:rsid w:val="7BD0027A"/>
    <w:rsid w:val="7C5123F4"/>
    <w:rsid w:val="7C7E6FA2"/>
    <w:rsid w:val="7D040AB6"/>
    <w:rsid w:val="7D4119E6"/>
    <w:rsid w:val="7D9C24E7"/>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22707</Words>
  <Characters>23395</Characters>
  <Lines>72</Lines>
  <Paragraphs>20</Paragraphs>
  <TotalTime>0</TotalTime>
  <ScaleCrop>false</ScaleCrop>
  <LinksUpToDate>false</LinksUpToDate>
  <CharactersWithSpaces>24018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2026-09-10T00:45:57Z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