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48"/>
          <w:szCs w:val="48"/>
          <w:lang w:eastAsia="zh-CN"/>
        </w:rPr>
      </w:pPr>
      <w:r>
        <w:rPr>
          <w:rFonts w:hint="eastAsia" w:ascii="Times New Roman" w:hAnsi="Times New Roman" w:eastAsia="黑体" w:cs="Times New Roman"/>
          <w:b/>
          <w:spacing w:val="24"/>
          <w:sz w:val="48"/>
          <w:szCs w:val="48"/>
          <w:lang w:eastAsia="zh-CN"/>
        </w:rPr>
        <w:t>四川省人民医院人乳头瘤病毒核酸分型检测试剂盒（PCR-荧光探针法）、高危型人乳头瘤病毒核酸（分型）检测试剂盒（PCR-荧光探针法）采购项目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3"/>
        <w:rPr>
          <w:rFonts w:ascii="Times New Roman" w:hAnsi="Times New Roman" w:cs="Times New Roman"/>
        </w:rPr>
      </w:pPr>
      <w:bookmarkStart w:id="0" w:name="_Toc3240"/>
      <w:bookmarkStart w:id="1" w:name="_Toc21919"/>
      <w:bookmarkStart w:id="2" w:name="_Toc20358"/>
      <w:bookmarkStart w:id="3" w:name="_Toc62832406"/>
      <w:bookmarkStart w:id="4" w:name="_Toc471310326"/>
      <w:bookmarkStart w:id="5" w:name="_Toc1907"/>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3730A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四川省人民医院人乳头瘤病毒核酸分型检测试剂盒（PCR-荧光探针法）、高危型人乳头瘤病毒核酸（分型）检测试剂盒（PCR-荧光探针法）采购项目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w:t>
            </w:r>
            <w:r>
              <w:rPr>
                <w:rFonts w:hint="eastAsia" w:ascii="Times New Roman" w:hAnsi="Times New Roman" w:eastAsia="仿宋" w:cs="Times New Roman"/>
                <w:sz w:val="22"/>
                <w:lang w:val="en-US" w:eastAsia="zh-CN"/>
              </w:rPr>
              <w:t>60963</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9"/>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00CAA4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3"/>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61"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7"/>
        <w:gridCol w:w="2322"/>
        <w:gridCol w:w="8157"/>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20" w:hRule="atLeast"/>
          <w:tblHeader/>
          <w:jc w:val="center"/>
        </w:trPr>
        <w:tc>
          <w:tcPr>
            <w:tcW w:w="684"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1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12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4" w:type="dxa"/>
            <w:vAlign w:val="center"/>
          </w:tcPr>
          <w:p w14:paraId="5306D9A1">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123"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25EBC0F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12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6532A0AD">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123"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4" w:type="dxa"/>
            <w:vAlign w:val="center"/>
          </w:tcPr>
          <w:p w14:paraId="36265F48">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12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4" w:type="dxa"/>
            <w:vAlign w:val="center"/>
          </w:tcPr>
          <w:p w14:paraId="3C16AED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12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4" w:type="dxa"/>
            <w:vAlign w:val="center"/>
          </w:tcPr>
          <w:p w14:paraId="7291B37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12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4" w:type="dxa"/>
            <w:vAlign w:val="center"/>
          </w:tcPr>
          <w:p w14:paraId="428C8D8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12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7F56B90">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12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093CF7D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12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4" w:type="dxa"/>
            <w:vAlign w:val="center"/>
          </w:tcPr>
          <w:p w14:paraId="16F8B326">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12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（028-87393484）并将合同初稿发送至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93A1F9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123" w:type="dxa"/>
            <w:vAlign w:val="center"/>
          </w:tcPr>
          <w:p w14:paraId="64F9C00B">
            <w:pPr>
              <w:pStyle w:val="26"/>
              <w:numPr>
                <w:ilvl w:val="0"/>
                <w:numId w:val="11"/>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3"/>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2"/>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2"/>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2"/>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3"/>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12"/>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81"/>
        <w:gridCol w:w="2388"/>
        <w:gridCol w:w="850"/>
        <w:gridCol w:w="600"/>
        <w:gridCol w:w="1291"/>
        <w:gridCol w:w="1267"/>
        <w:gridCol w:w="812"/>
        <w:gridCol w:w="3217"/>
      </w:tblGrid>
      <w:tr w14:paraId="25C19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D9ADE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bookmarkStart w:id="92" w:name="_GoBack"/>
            <w:r>
              <w:rPr>
                <w:rFonts w:hint="eastAsia" w:asciiTheme="minorEastAsia" w:hAnsiTheme="minorEastAsia" w:eastAsiaTheme="minorEastAsia" w:cstheme="minorEastAsia"/>
                <w:b/>
                <w:bCs/>
                <w:i w:val="0"/>
                <w:iCs w:val="0"/>
                <w:color w:val="000000"/>
                <w:kern w:val="0"/>
                <w:sz w:val="18"/>
                <w:szCs w:val="18"/>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A48EE8">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产品名称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365648">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包装规格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5E065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1FD51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生产商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82AA9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流水号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A72216">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预估年用量</w:t>
            </w:r>
          </w:p>
        </w:tc>
        <w:tc>
          <w:tcPr>
            <w:tcW w:w="3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6F93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备注</w:t>
            </w:r>
          </w:p>
        </w:tc>
      </w:tr>
      <w:tr w14:paraId="5A2F0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F8530">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lang w:val="en-US" w:eastAsia="zh-CN"/>
              </w:rPr>
            </w:pPr>
            <w:r>
              <w:rPr>
                <w:rFonts w:hint="eastAsia" w:asciiTheme="minorEastAsia" w:hAnsiTheme="minorEastAsia" w:eastAsiaTheme="minorEastAsia" w:cstheme="minorEastAsia"/>
                <w:i w:val="0"/>
                <w:iCs w:val="0"/>
                <w:color w:val="000000"/>
                <w:sz w:val="18"/>
                <w:szCs w:val="18"/>
                <w:u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D8C77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eastAsia="zh-CN"/>
              </w:rPr>
              <w:t>人乳头瘤病毒核酸分型检测试剂盒（PCR-荧光探针法）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E3A5C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color w:val="auto"/>
                <w:sz w:val="18"/>
                <w:szCs w:val="18"/>
                <w:lang w:val="en-US" w:eastAsia="zh-CN"/>
              </w:rPr>
              <w:t>24人份/盒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E64A9A">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val="en-US" w:eastAsia="zh-CN"/>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4B700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eastAsia="zh-CN"/>
              </w:rPr>
              <w:t>圣湘生物科技股份有限公司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47DA8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val="en-US" w:eastAsia="zh-CN"/>
              </w:rPr>
              <w:t>AHSJ219278</w:t>
            </w:r>
          </w:p>
        </w:tc>
        <w:tc>
          <w:tcPr>
            <w:tcW w:w="0" w:type="auto"/>
            <w:vMerge w:val="restart"/>
            <w:tcBorders>
              <w:top w:val="single" w:color="000000" w:sz="4" w:space="0"/>
              <w:left w:val="single" w:color="000000" w:sz="4" w:space="0"/>
              <w:right w:val="single" w:color="000000" w:sz="4" w:space="0"/>
            </w:tcBorders>
            <w:shd w:val="clear" w:color="auto" w:fill="auto"/>
            <w:vAlign w:val="center"/>
          </w:tcPr>
          <w:p w14:paraId="1C74F94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sz w:val="18"/>
                <w:szCs w:val="18"/>
                <w:lang w:val="en-US" w:eastAsia="zh-CN"/>
              </w:rPr>
              <w:t>5000人份</w:t>
            </w:r>
          </w:p>
        </w:tc>
        <w:tc>
          <w:tcPr>
            <w:tcW w:w="3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9C63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val="en-US" w:eastAsia="zh-CN"/>
              </w:rPr>
              <w:t>所有厂家提供的试剂报价需包含配套的“核酸提取或纯化试剂”、“封板膜”、“</w:t>
            </w:r>
            <w:r>
              <w:rPr>
                <w:rFonts w:hint="eastAsia" w:asciiTheme="minorEastAsia" w:hAnsiTheme="minorEastAsia" w:eastAsiaTheme="minorEastAsia" w:cstheme="minorEastAsia"/>
                <w:sz w:val="18"/>
                <w:szCs w:val="18"/>
                <w:lang w:val="en-US" w:eastAsia="zh-CN"/>
              </w:rPr>
              <w:t>分液槽</w:t>
            </w:r>
            <w:r>
              <w:rPr>
                <w:rFonts w:hint="eastAsia" w:asciiTheme="minorEastAsia" w:hAnsiTheme="minorEastAsia" w:eastAsiaTheme="minorEastAsia" w:cstheme="minorEastAsia"/>
                <w:color w:val="auto"/>
                <w:sz w:val="18"/>
                <w:szCs w:val="18"/>
                <w:lang w:val="en-US" w:eastAsia="zh-CN"/>
              </w:rPr>
              <w:t>”及“加长吸头”等配套耗材。</w:t>
            </w:r>
          </w:p>
        </w:tc>
      </w:tr>
      <w:tr w14:paraId="78414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45F7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lang w:val="en-US" w:eastAsia="zh-CN"/>
              </w:rPr>
            </w:pPr>
            <w:r>
              <w:rPr>
                <w:rFonts w:hint="eastAsia" w:asciiTheme="minorEastAsia" w:hAnsiTheme="minorEastAsia" w:eastAsiaTheme="minorEastAsia" w:cstheme="minorEastAsia"/>
                <w:i w:val="0"/>
                <w:iCs w:val="0"/>
                <w:color w:val="000000"/>
                <w:sz w:val="18"/>
                <w:szCs w:val="18"/>
                <w:u w:val="none"/>
                <w:lang w:val="en-US" w:eastAsia="zh-CN"/>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A5C1A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eastAsia="zh-CN"/>
              </w:rPr>
              <w:t>人乳头瘤病毒核酸分型检测试剂盒（PCR-荧光探针法）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8D9266">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val="en-US" w:eastAsia="zh-CN"/>
              </w:rPr>
              <w:t>48人份/盒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87769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val="en-US" w:eastAsia="zh-CN"/>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586C0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eastAsia="zh-CN"/>
              </w:rPr>
              <w:t>圣湘生物科技股份有限公司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19748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eastAsia="zh-CN"/>
              </w:rPr>
              <w:t>AHSJ21927</w:t>
            </w:r>
            <w:r>
              <w:rPr>
                <w:rFonts w:hint="eastAsia" w:asciiTheme="minorEastAsia" w:hAnsiTheme="minorEastAsia" w:eastAsiaTheme="minorEastAsia" w:cstheme="minorEastAsia"/>
                <w:color w:val="auto"/>
                <w:sz w:val="18"/>
                <w:szCs w:val="18"/>
                <w:lang w:val="en-US" w:eastAsia="zh-CN"/>
              </w:rPr>
              <w:t>9</w:t>
            </w:r>
          </w:p>
        </w:tc>
        <w:tc>
          <w:tcPr>
            <w:tcW w:w="0" w:type="auto"/>
            <w:vMerge w:val="continue"/>
            <w:tcBorders>
              <w:left w:val="single" w:color="000000" w:sz="4" w:space="0"/>
              <w:bottom w:val="single" w:color="000000" w:sz="4" w:space="0"/>
              <w:right w:val="single" w:color="000000" w:sz="4" w:space="0"/>
            </w:tcBorders>
            <w:shd w:val="clear" w:color="auto" w:fill="auto"/>
            <w:vAlign w:val="center"/>
          </w:tcPr>
          <w:p w14:paraId="3DC4551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p>
        </w:tc>
        <w:tc>
          <w:tcPr>
            <w:tcW w:w="3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66B5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val="en-US" w:eastAsia="zh-CN"/>
              </w:rPr>
              <w:t>所有厂家提供的试剂报价需包含配套的“核酸提取或纯化试剂”、“封板膜”、“</w:t>
            </w:r>
            <w:r>
              <w:rPr>
                <w:rFonts w:hint="eastAsia" w:asciiTheme="minorEastAsia" w:hAnsiTheme="minorEastAsia" w:eastAsiaTheme="minorEastAsia" w:cstheme="minorEastAsia"/>
                <w:sz w:val="18"/>
                <w:szCs w:val="18"/>
                <w:lang w:val="en-US" w:eastAsia="zh-CN"/>
              </w:rPr>
              <w:t>分液槽</w:t>
            </w:r>
            <w:r>
              <w:rPr>
                <w:rFonts w:hint="eastAsia" w:asciiTheme="minorEastAsia" w:hAnsiTheme="minorEastAsia" w:eastAsiaTheme="minorEastAsia" w:cstheme="minorEastAsia"/>
                <w:color w:val="auto"/>
                <w:sz w:val="18"/>
                <w:szCs w:val="18"/>
                <w:lang w:val="en-US" w:eastAsia="zh-CN"/>
              </w:rPr>
              <w:t>”及“加长吸头”等配套耗材。</w:t>
            </w:r>
          </w:p>
        </w:tc>
      </w:tr>
      <w:tr w14:paraId="4253F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1F23F">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lang w:val="en-US" w:eastAsia="zh-CN"/>
              </w:rPr>
            </w:pPr>
            <w:r>
              <w:rPr>
                <w:rFonts w:hint="eastAsia" w:asciiTheme="minorEastAsia" w:hAnsiTheme="minorEastAsia" w:eastAsiaTheme="minorEastAsia" w:cstheme="minorEastAsia"/>
                <w:i w:val="0"/>
                <w:iCs w:val="0"/>
                <w:color w:val="000000"/>
                <w:sz w:val="18"/>
                <w:szCs w:val="18"/>
                <w:u w:val="none"/>
                <w:lang w:val="en-US" w:eastAsia="zh-CN"/>
              </w:rPr>
              <w:t>3</w:t>
            </w:r>
          </w:p>
        </w:tc>
        <w:tc>
          <w:tcPr>
            <w:tcW w:w="2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33580">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color w:val="auto"/>
                <w:sz w:val="18"/>
                <w:szCs w:val="18"/>
                <w:lang w:eastAsia="zh-CN"/>
              </w:rPr>
            </w:pPr>
            <w:r>
              <w:rPr>
                <w:rFonts w:hint="eastAsia" w:asciiTheme="minorEastAsia" w:hAnsiTheme="minorEastAsia" w:eastAsiaTheme="minorEastAsia" w:cstheme="minorEastAsia"/>
                <w:color w:val="auto"/>
                <w:sz w:val="18"/>
                <w:szCs w:val="18"/>
                <w:lang w:eastAsia="zh-CN"/>
              </w:rPr>
              <w:t>高危型人乳头瘤病毒核酸（分型）检测试剂盒（PCR-荧光探针法）</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837D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val="en-US" w:eastAsia="zh-CN"/>
              </w:rPr>
              <w:t>24人份/盒</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D715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val="en-US" w:eastAsia="zh-CN"/>
              </w:rPr>
              <w:t>盒</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FCEC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eastAsia="zh-CN"/>
              </w:rPr>
              <w:t>圣湘生物科技股份有限公司</w:t>
            </w:r>
          </w:p>
        </w:tc>
        <w:tc>
          <w:tcPr>
            <w:tcW w:w="1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A1307">
            <w:pPr>
              <w:widowControl/>
              <w:snapToGrid w:val="0"/>
              <w:spacing w:line="240" w:lineRule="auto"/>
              <w:jc w:val="center"/>
              <w:textAlignment w:val="center"/>
              <w:rPr>
                <w:rFonts w:hint="default" w:asciiTheme="minorEastAsia" w:hAnsiTheme="minorEastAsia" w:eastAsiaTheme="minorEastAsia" w:cstheme="minorEastAsia"/>
                <w:i w:val="0"/>
                <w:iCs w:val="0"/>
                <w:color w:val="000000"/>
                <w:sz w:val="18"/>
                <w:szCs w:val="18"/>
                <w:u w:val="none"/>
                <w:lang w:val="en-US"/>
              </w:rPr>
            </w:pPr>
            <w:r>
              <w:rPr>
                <w:rFonts w:hint="eastAsia" w:asciiTheme="minorEastAsia" w:hAnsiTheme="minorEastAsia" w:eastAsiaTheme="minorEastAsia" w:cstheme="minorEastAsia"/>
                <w:color w:val="auto"/>
                <w:sz w:val="18"/>
                <w:szCs w:val="18"/>
                <w:lang w:val="en-US" w:eastAsia="zh-CN"/>
              </w:rPr>
              <w:t>AHSJ</w:t>
            </w:r>
            <w:r>
              <w:rPr>
                <w:rFonts w:hint="eastAsia" w:asciiTheme="minorEastAsia" w:hAnsiTheme="minorEastAsia" w:cstheme="minorEastAsia"/>
                <w:color w:val="auto"/>
                <w:sz w:val="18"/>
                <w:szCs w:val="18"/>
                <w:lang w:val="en-US" w:eastAsia="zh-CN"/>
              </w:rPr>
              <w:t>163456</w:t>
            </w:r>
          </w:p>
        </w:tc>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8FB3A">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sz w:val="18"/>
                <w:szCs w:val="18"/>
                <w:lang w:val="en-US" w:eastAsia="zh-CN"/>
              </w:rPr>
              <w:t>5000人份</w:t>
            </w:r>
          </w:p>
        </w:tc>
        <w:tc>
          <w:tcPr>
            <w:tcW w:w="3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C8990">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color w:val="auto"/>
                <w:sz w:val="18"/>
                <w:szCs w:val="18"/>
                <w:lang w:val="en-US" w:eastAsia="zh-CN"/>
              </w:rPr>
              <w:t>所有厂家提供的试剂报价需包含配套的“核酸提取或纯化试剂”、“封板膜”、“</w:t>
            </w:r>
            <w:r>
              <w:rPr>
                <w:rFonts w:hint="eastAsia" w:asciiTheme="minorEastAsia" w:hAnsiTheme="minorEastAsia" w:eastAsiaTheme="minorEastAsia" w:cstheme="minorEastAsia"/>
                <w:sz w:val="18"/>
                <w:szCs w:val="18"/>
                <w:lang w:val="en-US" w:eastAsia="zh-CN"/>
              </w:rPr>
              <w:t>分液槽</w:t>
            </w:r>
            <w:r>
              <w:rPr>
                <w:rFonts w:hint="eastAsia" w:asciiTheme="minorEastAsia" w:hAnsiTheme="minorEastAsia" w:eastAsiaTheme="minorEastAsia" w:cstheme="minorEastAsia"/>
                <w:color w:val="auto"/>
                <w:sz w:val="18"/>
                <w:szCs w:val="18"/>
                <w:lang w:val="en-US" w:eastAsia="zh-CN"/>
              </w:rPr>
              <w:t>”及“加长吸头”等配套耗材。</w:t>
            </w:r>
          </w:p>
        </w:tc>
      </w:tr>
      <w:bookmarkEnd w:id="92"/>
    </w:tbl>
    <w:p w14:paraId="74617CDD">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2"/>
        <w:numPr>
          <w:ilvl w:val="0"/>
          <w:numId w:val="0"/>
        </w:numPr>
        <w:ind w:leftChars="0"/>
        <w:rPr>
          <w:rFonts w:ascii="Times New Roman" w:hAnsi="Times New Roman" w:eastAsia="仿宋" w:cs="Times New Roman"/>
          <w:sz w:val="24"/>
          <w:szCs w:val="24"/>
        </w:rPr>
      </w:pPr>
    </w:p>
    <w:p w14:paraId="485A9350">
      <w:pPr>
        <w:pStyle w:val="2"/>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633B6294">
      <w:pPr>
        <w:pStyle w:val="2"/>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签订合同须使用本采购文件写明的合同（协议）模板（详见第六章相关说明），具体条款以采购文件、报价文件及合同各方另行约定（如有）为准。</w:t>
      </w:r>
    </w:p>
    <w:p w14:paraId="05780949">
      <w:pPr>
        <w:numPr>
          <w:ilvl w:val="0"/>
          <w:numId w:val="13"/>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7A50B521">
      <w:pPr>
        <w:pStyle w:val="2"/>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4CD67CBC">
      <w:pPr>
        <w:pStyle w:val="16"/>
        <w:ind w:firstLine="0"/>
        <w:rPr>
          <w:rFonts w:ascii="Times New Roman" w:hAnsi="Times New Roman" w:cs="Times New Roman"/>
        </w:rPr>
      </w:pPr>
    </w:p>
    <w:p w14:paraId="288EFCFF">
      <w:pPr>
        <w:pStyle w:val="16"/>
        <w:ind w:firstLine="0"/>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注：本章中条款</w:t>
      </w:r>
      <w:r>
        <w:rPr>
          <w:rFonts w:hint="eastAsia" w:ascii="Times New Roman" w:hAnsi="Times New Roman" w:eastAsia="仿宋" w:cs="Times New Roman"/>
          <w:b/>
          <w:bCs/>
          <w:sz w:val="24"/>
          <w:szCs w:val="24"/>
          <w:lang w:val="en-US" w:eastAsia="zh-CN"/>
        </w:rPr>
        <w:t>均</w:t>
      </w:r>
      <w:r>
        <w:rPr>
          <w:rFonts w:ascii="Times New Roman" w:hAnsi="Times New Roman" w:eastAsia="仿宋" w:cs="Times New Roman"/>
          <w:b/>
          <w:bCs/>
          <w:sz w:val="24"/>
          <w:szCs w:val="24"/>
        </w:rPr>
        <w:t>为实质性要求，不满足将被作为无效响应处理。</w:t>
      </w:r>
    </w:p>
    <w:p w14:paraId="7806636B">
      <w:pPr>
        <w:pStyle w:val="16"/>
        <w:ind w:firstLine="0"/>
        <w:rPr>
          <w:rFonts w:ascii="Times New Roman" w:hAnsi="Times New Roman" w:cs="Times New Roman"/>
        </w:rPr>
      </w:pPr>
      <w:r>
        <w:rPr>
          <w:rFonts w:ascii="Times New Roman" w:hAnsi="Times New Roman" w:cs="Times New Roman"/>
        </w:rPr>
        <w:br w:type="page"/>
      </w:r>
    </w:p>
    <w:p w14:paraId="58682A99">
      <w:pPr>
        <w:pStyle w:val="3"/>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4960"/>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17163"/>
      <w:bookmarkStart w:id="31" w:name="_Toc1690"/>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17905"/>
      <w:bookmarkStart w:id="35" w:name="_Toc680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7526"/>
      <w:bookmarkStart w:id="39" w:name="_Toc2989"/>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19987"/>
      <w:bookmarkStart w:id="43" w:name="_Toc2031"/>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6482"/>
      <w:bookmarkStart w:id="47" w:name="_Toc3023"/>
      <w:bookmarkStart w:id="48" w:name="_Toc11352"/>
      <w:bookmarkStart w:id="49" w:name="_Toc21519"/>
      <w:bookmarkStart w:id="50"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4"/>
        <w:ind w:firstLine="0"/>
      </w:pPr>
      <w:r>
        <w:t>承诺函</w:t>
      </w:r>
      <w:bookmarkEnd w:id="45"/>
      <w:bookmarkEnd w:id="46"/>
      <w:bookmarkEnd w:id="47"/>
      <w:bookmarkEnd w:id="48"/>
      <w:bookmarkEnd w:id="49"/>
      <w:bookmarkEnd w:id="50"/>
    </w:p>
    <w:p w14:paraId="7EDC3435">
      <w:pPr>
        <w:pStyle w:val="2"/>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22676"/>
      <w:bookmarkStart w:id="52" w:name="_Toc17857"/>
      <w:bookmarkStart w:id="53" w:name="_Toc30971"/>
      <w:bookmarkStart w:id="54" w:name="_Toc4305"/>
      <w:bookmarkStart w:id="55" w:name="_Toc31838"/>
      <w:r>
        <w:rPr>
          <w:rFonts w:ascii="Times New Roman" w:hAnsi="Times New Roman" w:cs="Times New Roman"/>
        </w:rPr>
        <w:br w:type="page"/>
      </w:r>
    </w:p>
    <w:p w14:paraId="23ED41BF">
      <w:pPr>
        <w:pStyle w:val="4"/>
        <w:ind w:firstLine="0"/>
      </w:pPr>
      <w:r>
        <w:t>具有独立承担民事责任的能力</w:t>
      </w:r>
      <w:bookmarkEnd w:id="51"/>
      <w:bookmarkEnd w:id="52"/>
      <w:bookmarkEnd w:id="53"/>
      <w:bookmarkEnd w:id="54"/>
      <w:bookmarkEnd w:id="55"/>
    </w:p>
    <w:p w14:paraId="5FFFF51B">
      <w:pPr>
        <w:pStyle w:val="2"/>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4"/>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4"/>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4"/>
        <w:ind w:firstLine="0"/>
        <w:rPr>
          <w:szCs w:val="32"/>
        </w:rPr>
      </w:pPr>
      <w:r>
        <w:rPr>
          <w:szCs w:val="32"/>
        </w:rPr>
        <w:br w:type="page"/>
      </w:r>
      <w:bookmarkStart w:id="64" w:name="_Toc20589"/>
      <w:bookmarkStart w:id="65" w:name="_Toc12015"/>
      <w:bookmarkStart w:id="66" w:name="_Toc25638"/>
      <w:bookmarkStart w:id="67" w:name="_Toc15526"/>
      <w:bookmarkStart w:id="68" w:name="_Toc27661"/>
      <w:bookmarkStart w:id="69" w:name="_Toc1135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2"/>
        <w:snapToGrid w:val="0"/>
        <w:spacing w:after="0" w:line="500" w:lineRule="exact"/>
        <w:ind w:firstLine="480" w:firstLineChars="200"/>
        <w:rPr>
          <w:rFonts w:ascii="Times New Roman" w:hAnsi="Times New Roman" w:eastAsia="仿宋" w:cs="Times New Roman"/>
          <w:sz w:val="24"/>
        </w:rPr>
      </w:pPr>
    </w:p>
    <w:p w14:paraId="03E9978B">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4"/>
        <w:ind w:firstLine="0"/>
        <w:rPr>
          <w:szCs w:val="32"/>
        </w:rPr>
      </w:pPr>
      <w:r>
        <w:rPr>
          <w:szCs w:val="32"/>
        </w:rPr>
        <w:br w:type="page"/>
      </w:r>
      <w:bookmarkStart w:id="70" w:name="_Toc23967"/>
      <w:bookmarkStart w:id="71" w:name="_Toc16435"/>
      <w:bookmarkStart w:id="72" w:name="_Toc26969"/>
      <w:bookmarkStart w:id="73" w:name="_Toc1074"/>
      <w:bookmarkStart w:id="74" w:name="_Toc12967"/>
      <w:bookmarkStart w:id="75" w:name="_Toc2041"/>
      <w:r>
        <w:rPr>
          <w:rStyle w:val="38"/>
          <w:b/>
        </w:rPr>
        <w:t>采购需求偏离表</w:t>
      </w:r>
      <w:bookmarkEnd w:id="70"/>
      <w:bookmarkEnd w:id="71"/>
      <w:bookmarkEnd w:id="72"/>
      <w:bookmarkEnd w:id="73"/>
      <w:bookmarkEnd w:id="74"/>
      <w:bookmarkEnd w:id="75"/>
    </w:p>
    <w:p w14:paraId="3FB92ECD">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4"/>
        <w:ind w:firstLine="0"/>
        <w:rPr>
          <w:bCs/>
          <w:szCs w:val="32"/>
        </w:rPr>
      </w:pPr>
      <w:r>
        <w:rPr>
          <w:szCs w:val="32"/>
        </w:rPr>
        <w:br w:type="page"/>
      </w:r>
      <w:bookmarkStart w:id="76" w:name="_Toc31686"/>
      <w:bookmarkStart w:id="77" w:name="_Toc1369"/>
      <w:bookmarkStart w:id="78" w:name="_Toc21082"/>
      <w:bookmarkStart w:id="79" w:name="_Toc24806"/>
      <w:bookmarkStart w:id="80" w:name="_Toc26839"/>
      <w:bookmarkStart w:id="81" w:name="_Toc28634"/>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2"/>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2"/>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2"/>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61"/>
        <w:gridCol w:w="1446"/>
        <w:gridCol w:w="1326"/>
        <w:gridCol w:w="482"/>
        <w:gridCol w:w="482"/>
        <w:gridCol w:w="482"/>
        <w:gridCol w:w="1090"/>
        <w:gridCol w:w="1153"/>
        <w:gridCol w:w="763"/>
        <w:gridCol w:w="1687"/>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以本文件第四章第2条为准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13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4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2"/>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参选供应商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2"/>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4"/>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2"/>
        <w:jc w:val="center"/>
        <w:rPr>
          <w:rFonts w:ascii="Times New Roman" w:hAnsi="Times New Roman" w:eastAsia="仿宋" w:cs="Times New Roman"/>
        </w:rPr>
      </w:pPr>
    </w:p>
    <w:p w14:paraId="17F3ACE1">
      <w:pPr>
        <w:pStyle w:val="2"/>
        <w:jc w:val="center"/>
        <w:rPr>
          <w:rFonts w:ascii="Times New Roman" w:hAnsi="Times New Roman" w:eastAsia="仿宋" w:cs="Times New Roman"/>
        </w:rPr>
      </w:pPr>
    </w:p>
    <w:p w14:paraId="7A3BE7F6">
      <w:pPr>
        <w:pStyle w:val="2"/>
        <w:jc w:val="center"/>
        <w:rPr>
          <w:rFonts w:ascii="Times New Roman" w:hAnsi="Times New Roman" w:eastAsia="仿宋" w:cs="Times New Roman"/>
        </w:rPr>
      </w:pPr>
    </w:p>
    <w:p w14:paraId="673EB95B">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3"/>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eastAsia="zh-CN" w:bidi="ar"/>
              </w:rPr>
              <w:t>87393484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w:t>
            </w:r>
            <w:r>
              <w:rPr>
                <w:rFonts w:hint="eastAsia" w:ascii="Times New Roman" w:hAnsi="Times New Roman" w:eastAsia="宋体" w:cs="Times New Roman"/>
                <w:b/>
                <w:color w:val="auto"/>
                <w:kern w:val="0"/>
                <w:sz w:val="18"/>
                <w:szCs w:val="18"/>
              </w:rPr>
              <w:t>以医疗器械注册证或备案证名称为准</w:t>
            </w:r>
            <w:r>
              <w:rPr>
                <w:rFonts w:ascii="Times New Roman" w:hAnsi="Times New Roman" w:eastAsia="宋体" w:cs="Times New Roman"/>
                <w:b/>
                <w:color w:val="auto"/>
                <w:kern w:val="0"/>
                <w:sz w:val="18"/>
                <w:szCs w:val="18"/>
              </w:rPr>
              <w:t>）</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91" w:name="_Hlk7332787"/>
      <w:r>
        <w:rPr>
          <w:rFonts w:ascii="Times New Roman" w:hAnsi="Times New Roman" w:eastAsia="宋体" w:cs="Times New Roman"/>
          <w:b/>
          <w:sz w:val="18"/>
          <w:szCs w:val="18"/>
        </w:rPr>
        <w:t>供应商（以下简称乙方）</w:t>
      </w:r>
      <w:bookmarkEnd w:id="91"/>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2026年   月   日</w:t>
      </w:r>
    </w:p>
    <w:p w14:paraId="06ECF8CD">
      <w:pPr>
        <w:spacing w:line="240" w:lineRule="exact"/>
        <w:contextualSpacing/>
        <w:rPr>
          <w:rFonts w:ascii="Times New Roman" w:hAnsi="Times New Roman" w:eastAsia="宋体" w:cs="Times New Roman"/>
          <w:bCs/>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hint="eastAsia" w:ascii="宋体" w:hAnsi="宋体" w:eastAsia="宋体" w:cs="宋体"/>
                <w:bCs/>
                <w:sz w:val="18"/>
                <w:szCs w:val="18"/>
              </w:rPr>
            </w:pPr>
            <w:r>
              <w:rPr>
                <w:rFonts w:hint="eastAsia" w:ascii="宋体" w:hAnsi="宋体" w:eastAsia="宋体" w:cs="宋体"/>
                <w:b/>
                <w:sz w:val="18"/>
                <w:szCs w:val="18"/>
              </w:rPr>
              <w:t>甲方（盖章）:</w:t>
            </w:r>
            <w:r>
              <w:rPr>
                <w:rFonts w:hint="eastAsia" w:ascii="宋体" w:hAnsi="宋体" w:eastAsia="宋体" w:cs="宋体"/>
                <w:bCs/>
                <w:sz w:val="18"/>
                <w:szCs w:val="18"/>
              </w:rPr>
              <w:t>四川省人民医院</w:t>
            </w:r>
          </w:p>
          <w:p w14:paraId="6BE223E7">
            <w:pPr>
              <w:spacing w:line="240" w:lineRule="exact"/>
              <w:contextualSpacing/>
              <w:rPr>
                <w:rFonts w:hint="eastAsia" w:ascii="宋体" w:hAnsi="宋体" w:eastAsia="宋体" w:cs="宋体"/>
                <w:bCs/>
                <w:sz w:val="18"/>
                <w:szCs w:val="18"/>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p>
        </w:tc>
        <w:tc>
          <w:tcPr>
            <w:tcW w:w="2765" w:type="pct"/>
          </w:tcPr>
          <w:p w14:paraId="3F62819D">
            <w:pPr>
              <w:tabs>
                <w:tab w:val="left" w:pos="1250"/>
              </w:tabs>
              <w:spacing w:line="240" w:lineRule="exact"/>
              <w:contextualSpacing/>
              <w:rPr>
                <w:rFonts w:hint="eastAsia" w:ascii="宋体" w:hAnsi="宋体" w:eastAsia="宋体" w:cs="宋体"/>
                <w:b/>
                <w:sz w:val="18"/>
                <w:szCs w:val="18"/>
                <w:lang w:val="en-US" w:eastAsia="zh-CN"/>
              </w:rPr>
            </w:pPr>
            <w:r>
              <w:rPr>
                <w:rFonts w:hint="eastAsia" w:ascii="宋体" w:hAnsi="宋体" w:eastAsia="宋体" w:cs="宋体"/>
                <w:b/>
                <w:sz w:val="18"/>
                <w:szCs w:val="18"/>
              </w:rPr>
              <w:t>乙方（盖章）</w:t>
            </w:r>
            <w:r>
              <w:rPr>
                <w:rFonts w:hint="eastAsia" w:ascii="宋体" w:hAnsi="宋体" w:eastAsia="宋体" w:cs="宋体"/>
                <w:b/>
                <w:sz w:val="18"/>
                <w:szCs w:val="18"/>
                <w:lang w:eastAsia="zh-CN"/>
              </w:rPr>
              <w:t>：</w:t>
            </w:r>
            <w:r>
              <w:rPr>
                <w:rFonts w:hint="eastAsia" w:ascii="宋体" w:hAnsi="宋体" w:eastAsia="宋体" w:cs="宋体"/>
                <w:b/>
                <w:sz w:val="18"/>
                <w:szCs w:val="18"/>
                <w:lang w:val="en-US" w:eastAsia="zh-CN"/>
              </w:rPr>
              <w:t>XXX</w:t>
            </w:r>
          </w:p>
          <w:p w14:paraId="4C7854E9">
            <w:pPr>
              <w:tabs>
                <w:tab w:val="left" w:pos="1250"/>
              </w:tabs>
              <w:spacing w:line="240" w:lineRule="exact"/>
              <w:contextualSpacing/>
              <w:rPr>
                <w:rFonts w:hint="eastAsia" w:ascii="宋体" w:hAnsi="宋体" w:eastAsia="宋体" w:cs="宋体"/>
                <w:bCs/>
                <w:sz w:val="18"/>
                <w:szCs w:val="18"/>
                <w:lang w:val="en-US" w:eastAsia="zh-CN"/>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r>
              <w:rPr>
                <w:rFonts w:hint="eastAsia" w:ascii="宋体" w:hAnsi="宋体" w:eastAsia="宋体" w:cs="宋体"/>
                <w:b/>
                <w:sz w:val="18"/>
                <w:szCs w:val="18"/>
                <w:lang w:val="en-US" w:eastAsia="zh-CN"/>
              </w:rPr>
              <w:t xml:space="preserve">    </w:t>
            </w:r>
          </w:p>
        </w:tc>
      </w:tr>
    </w:tbl>
    <w:p w14:paraId="448515F1">
      <w:pPr>
        <w:jc w:val="left"/>
        <w:rPr>
          <w:rFonts w:hint="eastAsia" w:ascii="宋体" w:hAnsi="宋体" w:eastAsia="宋体" w:cs="宋体"/>
          <w:sz w:val="18"/>
          <w:szCs w:val="18"/>
        </w:rPr>
      </w:pPr>
    </w:p>
    <w:p w14:paraId="5F3A2F4E">
      <w:pPr>
        <w:pStyle w:val="24"/>
        <w:rPr>
          <w:rFonts w:hint="eastAsia" w:ascii="宋体" w:hAnsi="宋体" w:eastAsia="宋体" w:cs="宋体"/>
          <w:sz w:val="18"/>
          <w:szCs w:val="18"/>
        </w:rPr>
      </w:pPr>
    </w:p>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86A258E-E35E-460E-A9DB-0FDC824652F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CE1B862-3617-4365-800B-3010ADA5736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D9BFD9B-4044-4DD6-88EB-BE354A82A1BE}"/>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FF8AD0E-1BC7-4D88-928D-D6B4A7E3616E}"/>
  </w:font>
  <w:font w:name="方正小标宋_GBK">
    <w:panose1 w:val="02000000000000000000"/>
    <w:charset w:val="86"/>
    <w:family w:val="script"/>
    <w:pitch w:val="default"/>
    <w:sig w:usb0="A00002BF" w:usb1="38CF7CFA" w:usb2="00082016" w:usb3="00000000" w:csb0="00040001" w:csb1="00000000"/>
    <w:embedRegular r:id="rId5" w:fontKey="{DD548513-EDBF-4A7C-AE43-C7C46278A220}"/>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429D7A1"/>
    <w:multiLevelType w:val="singleLevel"/>
    <w:tmpl w:val="5429D7A1"/>
    <w:lvl w:ilvl="0" w:tentative="0">
      <w:start w:val="1"/>
      <w:numFmt w:val="decimal"/>
      <w:lvlText w:val="(%1)"/>
      <w:lvlJc w:val="left"/>
      <w:pPr>
        <w:ind w:left="425" w:hanging="425"/>
      </w:pPr>
      <w:rPr>
        <w:rFonts w:hint="default"/>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7"/>
  </w:num>
  <w:num w:numId="2">
    <w:abstractNumId w:val="5"/>
  </w:num>
  <w:num w:numId="3">
    <w:abstractNumId w:val="9"/>
  </w:num>
  <w:num w:numId="4">
    <w:abstractNumId w:val="12"/>
  </w:num>
  <w:num w:numId="5">
    <w:abstractNumId w:val="11"/>
  </w:num>
  <w:num w:numId="6">
    <w:abstractNumId w:val="8"/>
  </w:num>
  <w:num w:numId="7">
    <w:abstractNumId w:val="4"/>
  </w:num>
  <w:num w:numId="8">
    <w:abstractNumId w:val="2"/>
  </w:num>
  <w:num w:numId="9">
    <w:abstractNumId w:val="0"/>
  </w:num>
  <w:num w:numId="10">
    <w:abstractNumId w:val="1"/>
  </w:num>
  <w:num w:numId="11">
    <w:abstractNumId w:val="6"/>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E0863"/>
    <w:rsid w:val="004F4DC4"/>
    <w:rsid w:val="00500885"/>
    <w:rsid w:val="005A2D64"/>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042CD0"/>
    <w:rsid w:val="01101675"/>
    <w:rsid w:val="011A0CB4"/>
    <w:rsid w:val="01491129"/>
    <w:rsid w:val="017E1058"/>
    <w:rsid w:val="01973B44"/>
    <w:rsid w:val="01BE3E05"/>
    <w:rsid w:val="01F221AA"/>
    <w:rsid w:val="01FA0599"/>
    <w:rsid w:val="02BC1AB4"/>
    <w:rsid w:val="03907D8F"/>
    <w:rsid w:val="04504BAA"/>
    <w:rsid w:val="04B74C29"/>
    <w:rsid w:val="05424E8F"/>
    <w:rsid w:val="058C78B0"/>
    <w:rsid w:val="05AC1BE6"/>
    <w:rsid w:val="05CF611A"/>
    <w:rsid w:val="05E13064"/>
    <w:rsid w:val="06A02211"/>
    <w:rsid w:val="078A573C"/>
    <w:rsid w:val="07A529A9"/>
    <w:rsid w:val="088A7F5F"/>
    <w:rsid w:val="08AF5C17"/>
    <w:rsid w:val="08D32F4D"/>
    <w:rsid w:val="093A3733"/>
    <w:rsid w:val="0976336C"/>
    <w:rsid w:val="09F1687F"/>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0FB35FED"/>
    <w:rsid w:val="10A467A9"/>
    <w:rsid w:val="10D562AD"/>
    <w:rsid w:val="117A5014"/>
    <w:rsid w:val="126D6DF3"/>
    <w:rsid w:val="127F05A0"/>
    <w:rsid w:val="12D9175E"/>
    <w:rsid w:val="131E40C5"/>
    <w:rsid w:val="13347445"/>
    <w:rsid w:val="134E7DE7"/>
    <w:rsid w:val="136D78F8"/>
    <w:rsid w:val="146C271F"/>
    <w:rsid w:val="14AB73C5"/>
    <w:rsid w:val="15400C78"/>
    <w:rsid w:val="15CC4977"/>
    <w:rsid w:val="162A4F7D"/>
    <w:rsid w:val="16361726"/>
    <w:rsid w:val="168B544C"/>
    <w:rsid w:val="16A82A66"/>
    <w:rsid w:val="16AF6E07"/>
    <w:rsid w:val="16BF21A1"/>
    <w:rsid w:val="17EA0A1A"/>
    <w:rsid w:val="185354FE"/>
    <w:rsid w:val="18DC0523"/>
    <w:rsid w:val="192341E3"/>
    <w:rsid w:val="195425EF"/>
    <w:rsid w:val="1994787E"/>
    <w:rsid w:val="19A93817"/>
    <w:rsid w:val="19BE3F0C"/>
    <w:rsid w:val="19E63640"/>
    <w:rsid w:val="1A2747AF"/>
    <w:rsid w:val="1AD67034"/>
    <w:rsid w:val="1B101769"/>
    <w:rsid w:val="1B1D5648"/>
    <w:rsid w:val="1DD000AF"/>
    <w:rsid w:val="1E09745A"/>
    <w:rsid w:val="1E0C0B57"/>
    <w:rsid w:val="1EB12291"/>
    <w:rsid w:val="1EE2069D"/>
    <w:rsid w:val="1EE752B8"/>
    <w:rsid w:val="1F5076F3"/>
    <w:rsid w:val="1F601CAB"/>
    <w:rsid w:val="203B0388"/>
    <w:rsid w:val="20B57B58"/>
    <w:rsid w:val="21403FE3"/>
    <w:rsid w:val="21A94C56"/>
    <w:rsid w:val="231E2ADA"/>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8C564A"/>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71156A"/>
    <w:rsid w:val="2D947006"/>
    <w:rsid w:val="2DA70D65"/>
    <w:rsid w:val="2F324929"/>
    <w:rsid w:val="2F5C42CD"/>
    <w:rsid w:val="302208F9"/>
    <w:rsid w:val="3183186B"/>
    <w:rsid w:val="31CF3EBA"/>
    <w:rsid w:val="32425283"/>
    <w:rsid w:val="326E6078"/>
    <w:rsid w:val="33704071"/>
    <w:rsid w:val="33AF6948"/>
    <w:rsid w:val="33EF31E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91060DB"/>
    <w:rsid w:val="39A04731"/>
    <w:rsid w:val="3A4D2A17"/>
    <w:rsid w:val="3A551407"/>
    <w:rsid w:val="3AED5FA8"/>
    <w:rsid w:val="3B033C36"/>
    <w:rsid w:val="3B3754FB"/>
    <w:rsid w:val="3B4B60DE"/>
    <w:rsid w:val="3C26744A"/>
    <w:rsid w:val="3CB274A9"/>
    <w:rsid w:val="3CBD5CF5"/>
    <w:rsid w:val="3D071832"/>
    <w:rsid w:val="3D89645B"/>
    <w:rsid w:val="3DD40A28"/>
    <w:rsid w:val="3DD516A1"/>
    <w:rsid w:val="3E09759C"/>
    <w:rsid w:val="3E5D4E8E"/>
    <w:rsid w:val="3E781447"/>
    <w:rsid w:val="3F1C194F"/>
    <w:rsid w:val="3FE25336"/>
    <w:rsid w:val="405C7E57"/>
    <w:rsid w:val="40E34229"/>
    <w:rsid w:val="418331C2"/>
    <w:rsid w:val="41971A41"/>
    <w:rsid w:val="419F160D"/>
    <w:rsid w:val="41E97A83"/>
    <w:rsid w:val="42075FF8"/>
    <w:rsid w:val="42842020"/>
    <w:rsid w:val="42B707FA"/>
    <w:rsid w:val="43DA3792"/>
    <w:rsid w:val="43FD36FF"/>
    <w:rsid w:val="444A6219"/>
    <w:rsid w:val="446C43E1"/>
    <w:rsid w:val="44A24CF9"/>
    <w:rsid w:val="44D938F8"/>
    <w:rsid w:val="44EC1992"/>
    <w:rsid w:val="453E5597"/>
    <w:rsid w:val="455401D7"/>
    <w:rsid w:val="468567BB"/>
    <w:rsid w:val="471E10B8"/>
    <w:rsid w:val="47655843"/>
    <w:rsid w:val="4782487D"/>
    <w:rsid w:val="47E80223"/>
    <w:rsid w:val="48101921"/>
    <w:rsid w:val="484E277B"/>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8D007B"/>
    <w:rsid w:val="4FEF758C"/>
    <w:rsid w:val="50771A9C"/>
    <w:rsid w:val="50A019DC"/>
    <w:rsid w:val="519D2D48"/>
    <w:rsid w:val="51C47F6D"/>
    <w:rsid w:val="5288688A"/>
    <w:rsid w:val="529632FA"/>
    <w:rsid w:val="532A477C"/>
    <w:rsid w:val="5455382C"/>
    <w:rsid w:val="56262642"/>
    <w:rsid w:val="56625644"/>
    <w:rsid w:val="569367F7"/>
    <w:rsid w:val="56A018BD"/>
    <w:rsid w:val="58006CED"/>
    <w:rsid w:val="5937763F"/>
    <w:rsid w:val="599C0670"/>
    <w:rsid w:val="5A037476"/>
    <w:rsid w:val="5A6D6C90"/>
    <w:rsid w:val="5ACB37B8"/>
    <w:rsid w:val="5BBC62BB"/>
    <w:rsid w:val="5BFC22F5"/>
    <w:rsid w:val="5D0A3490"/>
    <w:rsid w:val="5D7E0D39"/>
    <w:rsid w:val="5E9D3F29"/>
    <w:rsid w:val="600F2399"/>
    <w:rsid w:val="60384CD1"/>
    <w:rsid w:val="60655808"/>
    <w:rsid w:val="61907509"/>
    <w:rsid w:val="6206399A"/>
    <w:rsid w:val="62B9483E"/>
    <w:rsid w:val="62FA10DE"/>
    <w:rsid w:val="63A9427A"/>
    <w:rsid w:val="63AF1335"/>
    <w:rsid w:val="63D462B1"/>
    <w:rsid w:val="641A3596"/>
    <w:rsid w:val="646E4D25"/>
    <w:rsid w:val="64721148"/>
    <w:rsid w:val="64D27AC2"/>
    <w:rsid w:val="64D96647"/>
    <w:rsid w:val="64E738E4"/>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271F3B"/>
    <w:rsid w:val="6C487AFD"/>
    <w:rsid w:val="6CB24363"/>
    <w:rsid w:val="6CEF5734"/>
    <w:rsid w:val="6D9D73B5"/>
    <w:rsid w:val="6DB957D2"/>
    <w:rsid w:val="6E1D0376"/>
    <w:rsid w:val="6E6A20D3"/>
    <w:rsid w:val="6EA93466"/>
    <w:rsid w:val="6FCF0795"/>
    <w:rsid w:val="71381023"/>
    <w:rsid w:val="715B1DCB"/>
    <w:rsid w:val="71F238C8"/>
    <w:rsid w:val="72676064"/>
    <w:rsid w:val="729130E1"/>
    <w:rsid w:val="72C06611"/>
    <w:rsid w:val="73714961"/>
    <w:rsid w:val="73E01C2A"/>
    <w:rsid w:val="74EC3BFD"/>
    <w:rsid w:val="74F04DC1"/>
    <w:rsid w:val="754D1D92"/>
    <w:rsid w:val="758350A9"/>
    <w:rsid w:val="763B5477"/>
    <w:rsid w:val="781343DF"/>
    <w:rsid w:val="78D45F97"/>
    <w:rsid w:val="78F22CBC"/>
    <w:rsid w:val="79F96683"/>
    <w:rsid w:val="7B4A207F"/>
    <w:rsid w:val="7B4F396D"/>
    <w:rsid w:val="7B560FD7"/>
    <w:rsid w:val="7B5F74F8"/>
    <w:rsid w:val="7B690630"/>
    <w:rsid w:val="7B98728E"/>
    <w:rsid w:val="7BB90311"/>
    <w:rsid w:val="7BC92A2C"/>
    <w:rsid w:val="7C5123F4"/>
    <w:rsid w:val="7C7C6FF4"/>
    <w:rsid w:val="7CBC51FE"/>
    <w:rsid w:val="7CCD4D16"/>
    <w:rsid w:val="7D040AB6"/>
    <w:rsid w:val="7D4119E6"/>
    <w:rsid w:val="7DAC4C0F"/>
    <w:rsid w:val="7DAF162B"/>
    <w:rsid w:val="7DC42B41"/>
    <w:rsid w:val="7E587EBC"/>
    <w:rsid w:val="7F6B7218"/>
    <w:rsid w:val="7F70773E"/>
    <w:rsid w:val="7F9B559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5"/>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2"/>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7"/>
    <w:next w:val="7"/>
    <w:link w:val="36"/>
    <w:qFormat/>
    <w:uiPriority w:val="0"/>
    <w:rPr>
      <w:b/>
      <w:bCs/>
    </w:rPr>
  </w:style>
  <w:style w:type="paragraph" w:styleId="16">
    <w:name w:val="Body Text First Indent"/>
    <w:basedOn w:val="2"/>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7"/>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4"/>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1204</Words>
  <Characters>1302</Characters>
  <Lines>64</Lines>
  <Paragraphs>18</Paragraphs>
  <TotalTime>1</TotalTime>
  <ScaleCrop>false</ScaleCrop>
  <LinksUpToDate>false</LinksUpToDate>
  <CharactersWithSpaces>1389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2026-06-25T02:28:25Z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eyJoZGlkIjoiYzdjNDJjZDRhNzNlNWEyYzQ3NmEzYmUxOGQ5MmM3MGMiLCJ1c2VySWQiOiI4NDg2NDU3MDYifQ==</vt:lpwstr>
  </property>
</Properties>
</file>