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四川省人民医院2026年富血小板血浆制备仪（全自动）采购项目（3）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471310326"/>
      <w:bookmarkStart w:id="1" w:name="_Toc20358"/>
      <w:bookmarkStart w:id="2" w:name="_Toc21919"/>
      <w:bookmarkStart w:id="3" w:name="_Toc62832406"/>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四川省人民医院2026年富血小板血浆制备仪（全自动）采购项目（3）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CGZX-YXZ20261088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5"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rPr>
              <w:t>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73AE7E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sz w:val="22"/>
                <w:highlight w:val="yellow"/>
              </w:rPr>
              <w:t>报价&lt;最低&gt;</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9C5995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6"/>
        <w:gridCol w:w="1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1277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126" w:hRule="atLeast"/>
          <w:jc w:val="center"/>
        </w:trPr>
        <w:tc>
          <w:tcPr>
            <w:tcW w:w="514" w:type="pct"/>
            <w:vAlign w:val="center"/>
          </w:tcPr>
          <w:p w14:paraId="41355A32">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10E5A008">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5" w:type="pct"/>
            <w:shd w:val="clear" w:color="auto" w:fill="auto"/>
            <w:vAlign w:val="center"/>
          </w:tcPr>
          <w:p w14:paraId="4C99D09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1B0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56" w:hRule="atLeast"/>
          <w:jc w:val="center"/>
        </w:trPr>
        <w:tc>
          <w:tcPr>
            <w:tcW w:w="514" w:type="pct"/>
            <w:vAlign w:val="center"/>
          </w:tcPr>
          <w:p w14:paraId="376C673C">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22D4BA1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5" w:type="pct"/>
            <w:shd w:val="clear" w:color="auto" w:fill="auto"/>
            <w:vAlign w:val="center"/>
          </w:tcPr>
          <w:p w14:paraId="53610E6C">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富血小板血浆制备仪（全自动）</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323"/>
        <w:gridCol w:w="938"/>
        <w:gridCol w:w="890"/>
        <w:gridCol w:w="1237"/>
        <w:gridCol w:w="1213"/>
        <w:gridCol w:w="1189"/>
        <w:gridCol w:w="1703"/>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9"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69"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富血小板血浆制备仪（全自动）</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5619D6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b/>
          <w:bCs/>
          <w:sz w:val="24"/>
          <w:szCs w:val="24"/>
        </w:rPr>
        <w:t>血浆制备仪</w:t>
      </w:r>
    </w:p>
    <w:p w14:paraId="2C4412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  最高转速≤5000r/min。</w:t>
      </w:r>
    </w:p>
    <w:p w14:paraId="0D3827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最高转速及最大载荷下，转速精度±10r/min。</w:t>
      </w:r>
    </w:p>
    <w:p w14:paraId="5020D2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▲最大相对离心力≤4560×g。</w:t>
      </w:r>
    </w:p>
    <w:p w14:paraId="1F68FE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采用变频电机，具备微电脑控制功能。</w:t>
      </w:r>
    </w:p>
    <w:p w14:paraId="6D866F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具备自动平衡功能。</w:t>
      </w:r>
    </w:p>
    <w:p w14:paraId="223E76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定时范围：满足0—99min59s。</w:t>
      </w:r>
    </w:p>
    <w:p w14:paraId="6DD82A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▲内置≥3个PPR专用程序，支持同时处理≥8人份PRP制备，支持一件启动（无需手动调节参数）。</w:t>
      </w:r>
    </w:p>
    <w:p w14:paraId="6E0E2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最高转速及最大载荷下，运行噪音≤70dB（A）。</w:t>
      </w:r>
    </w:p>
    <w:p w14:paraId="595EFC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▲具备超速保护功能，转速超限时可自动停机，最大超限转速≤500 r/min。</w:t>
      </w:r>
    </w:p>
    <w:p w14:paraId="7D2A32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具备≥10档升降速曲线可选。</w:t>
      </w:r>
    </w:p>
    <w:p w14:paraId="27ECFB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外尺寸≤550mm×410mm×305mm（长×宽×高），重量≤35kg（不含转头）。</w:t>
      </w:r>
    </w:p>
    <w:p w14:paraId="3FBF17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▲离心管容量≥4×100ml。</w:t>
      </w:r>
    </w:p>
    <w:p w14:paraId="1E49AA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★兼容或适配PRP专用离心管。</w:t>
      </w:r>
    </w:p>
    <w:p w14:paraId="43872F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w:t>
      </w:r>
    </w:p>
    <w:p w14:paraId="327C8F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rPr>
        <w:t>PRP专用离心管</w:t>
      </w:r>
    </w:p>
    <w:p w14:paraId="55FB29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适用于从人体自体血样中制备自体富血小板血浆（PRP），制备的自体富血小板血浆适用于注射、创面辅助治疗。</w:t>
      </w:r>
    </w:p>
    <w:p w14:paraId="2ABA13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▲具备三类医疗器械注册证。</w:t>
      </w:r>
    </w:p>
    <w:p w14:paraId="01B016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▲离心管内置抗凝剂和 PRP专用细胞分离胶。</w:t>
      </w:r>
    </w:p>
    <w:p w14:paraId="129F0B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▲具备血管仿生膜管壁功能，可模拟血管内环境。</w:t>
      </w:r>
    </w:p>
    <w:p w14:paraId="642950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18. 支持密闭操作。</w:t>
      </w:r>
    </w:p>
    <w:p w14:paraId="453DA2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19. ▲具备一步离心分离胶功能，离心时间≤10分钟，总操作时间≤20分钟，PLT回收率≥90%，RBC清除率≥99%，   NEUT清除率≥98%。</w:t>
      </w:r>
    </w:p>
    <w:p w14:paraId="6BCA0D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20. 可调整上层PPP量，实现血小板富集倍数调节。</w:t>
      </w:r>
    </w:p>
    <w:p w14:paraId="494580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21. 单管10ml可制备PRP≥5 ml，单管30ml可制备PRP≥15 ml。</w:t>
      </w:r>
    </w:p>
    <w:p w14:paraId="048843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sz w:val="24"/>
          <w:szCs w:val="24"/>
        </w:rPr>
        <w:t>22. ▲已完成环氧乙烷灭菌，无菌、无热原、无异常毒性、无溶血反应。（提供国家认可的第三方检测机构无毒性检验报告证明）</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应在配置清单中分别列明其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258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244"/>
        <w:gridCol w:w="987"/>
        <w:gridCol w:w="738"/>
        <w:gridCol w:w="4020"/>
        <w:gridCol w:w="2176"/>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7163"/>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526"/>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7233"/>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6482"/>
      <w:bookmarkStart w:id="52" w:name="_Toc11352"/>
      <w:bookmarkStart w:id="53" w:name="_Toc21519"/>
      <w:bookmarkStart w:id="54" w:name="_Toc3023"/>
      <w:bookmarkStart w:id="55" w:name="_Toc1602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17857"/>
      <w:bookmarkStart w:id="58" w:name="_Toc30971"/>
      <w:bookmarkStart w:id="59" w:name="_Toc22676"/>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sz w:val="32"/>
          <w:szCs w:val="36"/>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5526"/>
      <w:bookmarkStart w:id="71" w:name="_Toc27661"/>
      <w:bookmarkStart w:id="72" w:name="_Toc12015"/>
      <w:bookmarkStart w:id="73" w:name="_Toc25638"/>
      <w:bookmarkStart w:id="74" w:name="_Toc11351"/>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1074"/>
      <w:bookmarkStart w:id="77" w:name="_Toc16435"/>
      <w:bookmarkStart w:id="78" w:name="_Toc2041"/>
      <w:bookmarkStart w:id="79" w:name="_Toc26969"/>
      <w:bookmarkStart w:id="80" w:name="_Toc12967"/>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31686"/>
      <w:bookmarkStart w:id="83" w:name="_Toc21082"/>
      <w:bookmarkStart w:id="84" w:name="_Toc28634"/>
      <w:bookmarkStart w:id="85" w:name="_Toc1369"/>
      <w:bookmarkStart w:id="86" w:name="_Toc26839"/>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896"/>
        <w:gridCol w:w="628"/>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70"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29"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1</w:t>
            </w:r>
          </w:p>
        </w:tc>
        <w:tc>
          <w:tcPr>
            <w:tcW w:w="470" w:type="pct"/>
            <w:vAlign w:val="center"/>
          </w:tcPr>
          <w:p w14:paraId="4F571F7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冰盒</w:t>
            </w:r>
          </w:p>
        </w:tc>
        <w:tc>
          <w:tcPr>
            <w:tcW w:w="329"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24DBAACB">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70" w:type="pct"/>
            <w:vAlign w:val="center"/>
          </w:tcPr>
          <w:p w14:paraId="64945485">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样本盒</w:t>
            </w:r>
          </w:p>
        </w:tc>
        <w:tc>
          <w:tcPr>
            <w:tcW w:w="329"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7A3FAA7D">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4</w:t>
            </w: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w:t>
            </w:r>
          </w:p>
        </w:tc>
        <w:tc>
          <w:tcPr>
            <w:tcW w:w="470" w:type="pct"/>
            <w:vAlign w:val="center"/>
          </w:tcPr>
          <w:p w14:paraId="439637C8">
            <w:pPr>
              <w:spacing w:line="360" w:lineRule="auto"/>
              <w:jc w:val="center"/>
              <w:rPr>
                <w:rFonts w:ascii="仿宋" w:hAnsi="仿宋" w:eastAsia="仿宋"/>
                <w:color w:val="auto"/>
                <w:szCs w:val="21"/>
                <w:highlight w:val="none"/>
              </w:rPr>
            </w:pPr>
          </w:p>
        </w:tc>
        <w:tc>
          <w:tcPr>
            <w:tcW w:w="329"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70" w:type="pct"/>
            <w:vAlign w:val="center"/>
          </w:tcPr>
          <w:p w14:paraId="7288F397">
            <w:pPr>
              <w:spacing w:line="360" w:lineRule="auto"/>
              <w:jc w:val="center"/>
              <w:rPr>
                <w:rFonts w:ascii="仿宋" w:hAnsi="仿宋" w:eastAsia="仿宋"/>
                <w:color w:val="auto"/>
                <w:szCs w:val="21"/>
                <w:highlight w:val="none"/>
              </w:rPr>
            </w:pPr>
          </w:p>
        </w:tc>
        <w:tc>
          <w:tcPr>
            <w:tcW w:w="329"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70" w:type="pct"/>
            <w:vAlign w:val="center"/>
          </w:tcPr>
          <w:p w14:paraId="57C674CE">
            <w:pPr>
              <w:spacing w:line="360" w:lineRule="auto"/>
              <w:jc w:val="center"/>
              <w:rPr>
                <w:rFonts w:ascii="仿宋" w:hAnsi="仿宋" w:eastAsia="仿宋"/>
                <w:color w:val="auto"/>
                <w:szCs w:val="21"/>
                <w:highlight w:val="none"/>
              </w:rPr>
            </w:pPr>
          </w:p>
        </w:tc>
        <w:tc>
          <w:tcPr>
            <w:tcW w:w="329"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70" w:type="pct"/>
            <w:vAlign w:val="center"/>
          </w:tcPr>
          <w:p w14:paraId="5064944B">
            <w:pPr>
              <w:spacing w:line="360" w:lineRule="auto"/>
              <w:jc w:val="center"/>
              <w:rPr>
                <w:rFonts w:ascii="仿宋" w:hAnsi="仿宋" w:eastAsia="仿宋"/>
                <w:color w:val="auto"/>
                <w:szCs w:val="21"/>
                <w:highlight w:val="none"/>
              </w:rPr>
            </w:pPr>
          </w:p>
        </w:tc>
        <w:tc>
          <w:tcPr>
            <w:tcW w:w="329"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18DBF06A">
      <w:pPr>
        <w:pStyle w:val="3"/>
        <w:ind w:firstLine="0"/>
      </w:pPr>
      <w:r>
        <w:rPr>
          <w:rFonts w:hint="eastAsia"/>
          <w:lang w:val="en-US" w:eastAsia="zh-CN"/>
        </w:rPr>
        <w:t>配置清单</w:t>
      </w:r>
    </w:p>
    <w:p w14:paraId="200AA19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w:t>
      </w:r>
      <w:r>
        <w:rPr>
          <w:rFonts w:hint="eastAsia" w:ascii="Times New Roman" w:hAnsi="Times New Roman" w:eastAsia="宋体" w:cs="Times New Roman"/>
          <w:b/>
          <w:bCs/>
          <w:color w:val="auto"/>
          <w:highlight w:val="none"/>
          <w:u w:val="single"/>
        </w:rPr>
        <w:t>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750666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83C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1" w:hRule="atLeast"/>
          <w:jc w:val="center"/>
        </w:trPr>
        <w:tc>
          <w:tcPr>
            <w:tcW w:w="409" w:type="dxa"/>
            <w:vAlign w:val="center"/>
          </w:tcPr>
          <w:p w14:paraId="47F6FF2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668AC0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3FE67C7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6C243EC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210DA0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0E089CE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6F2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A1F2511">
            <w:pPr>
              <w:contextualSpacing/>
              <w:jc w:val="center"/>
              <w:rPr>
                <w:rFonts w:ascii="Times New Roman" w:hAnsi="Times New Roman" w:eastAsia="宋体" w:cs="Times New Roman"/>
                <w:color w:val="auto"/>
                <w:sz w:val="18"/>
                <w:szCs w:val="18"/>
                <w:highlight w:val="none"/>
              </w:rPr>
            </w:pPr>
          </w:p>
        </w:tc>
        <w:tc>
          <w:tcPr>
            <w:tcW w:w="3412" w:type="dxa"/>
            <w:vAlign w:val="center"/>
          </w:tcPr>
          <w:p w14:paraId="31C1929D">
            <w:pPr>
              <w:contextualSpacing/>
              <w:jc w:val="left"/>
              <w:rPr>
                <w:rFonts w:ascii="Times New Roman" w:hAnsi="Times New Roman" w:eastAsia="宋体" w:cs="Times New Roman"/>
                <w:color w:val="auto"/>
                <w:sz w:val="18"/>
                <w:szCs w:val="18"/>
                <w:highlight w:val="none"/>
              </w:rPr>
            </w:pPr>
          </w:p>
        </w:tc>
        <w:tc>
          <w:tcPr>
            <w:tcW w:w="2988" w:type="dxa"/>
            <w:vAlign w:val="center"/>
          </w:tcPr>
          <w:p w14:paraId="5356C06D">
            <w:pPr>
              <w:contextualSpacing/>
              <w:jc w:val="center"/>
              <w:rPr>
                <w:rFonts w:ascii="Times New Roman" w:hAnsi="Times New Roman" w:eastAsia="宋体" w:cs="Times New Roman"/>
                <w:color w:val="auto"/>
                <w:sz w:val="18"/>
                <w:szCs w:val="18"/>
                <w:highlight w:val="none"/>
              </w:rPr>
            </w:pPr>
          </w:p>
        </w:tc>
        <w:tc>
          <w:tcPr>
            <w:tcW w:w="426" w:type="dxa"/>
            <w:vAlign w:val="center"/>
          </w:tcPr>
          <w:p w14:paraId="26F78CD3">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AFC461D">
            <w:pPr>
              <w:contextualSpacing/>
              <w:jc w:val="center"/>
              <w:rPr>
                <w:rFonts w:ascii="Times New Roman" w:hAnsi="Times New Roman" w:eastAsia="宋体" w:cs="Times New Roman"/>
                <w:color w:val="auto"/>
                <w:sz w:val="18"/>
                <w:szCs w:val="18"/>
                <w:highlight w:val="none"/>
              </w:rPr>
            </w:pPr>
          </w:p>
        </w:tc>
        <w:tc>
          <w:tcPr>
            <w:tcW w:w="1978" w:type="dxa"/>
            <w:vAlign w:val="center"/>
          </w:tcPr>
          <w:p w14:paraId="1094078C">
            <w:pPr>
              <w:contextualSpacing/>
              <w:jc w:val="left"/>
              <w:rPr>
                <w:rFonts w:ascii="Times New Roman" w:hAnsi="Times New Roman" w:eastAsia="宋体" w:cs="Times New Roman"/>
                <w:color w:val="auto"/>
                <w:sz w:val="18"/>
                <w:szCs w:val="18"/>
                <w:highlight w:val="none"/>
              </w:rPr>
            </w:pPr>
          </w:p>
        </w:tc>
      </w:tr>
    </w:tbl>
    <w:p w14:paraId="43EF0876">
      <w:pPr>
        <w:rPr>
          <w:rFonts w:ascii="Times New Roman" w:hAnsi="Times New Roman" w:eastAsia="宋体" w:cs="Times New Roman"/>
          <w:color w:val="auto"/>
          <w:highlight w:val="none"/>
        </w:rPr>
      </w:pPr>
    </w:p>
    <w:p w14:paraId="2BA6596A">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2ED6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888243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25D4CC6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70F3F9E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711871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1C81A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5B54DC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6DB7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7A5C6B5">
            <w:pPr>
              <w:contextualSpacing/>
              <w:jc w:val="center"/>
              <w:rPr>
                <w:rFonts w:ascii="Times New Roman" w:hAnsi="Times New Roman" w:eastAsia="宋体" w:cs="Times New Roman"/>
                <w:color w:val="auto"/>
                <w:sz w:val="18"/>
                <w:szCs w:val="18"/>
                <w:highlight w:val="none"/>
              </w:rPr>
            </w:pPr>
          </w:p>
        </w:tc>
        <w:tc>
          <w:tcPr>
            <w:tcW w:w="3412" w:type="dxa"/>
            <w:vAlign w:val="center"/>
          </w:tcPr>
          <w:p w14:paraId="5CF225CA">
            <w:pPr>
              <w:contextualSpacing/>
              <w:jc w:val="left"/>
              <w:rPr>
                <w:rFonts w:ascii="Times New Roman" w:hAnsi="Times New Roman" w:eastAsia="宋体" w:cs="Times New Roman"/>
                <w:color w:val="auto"/>
                <w:sz w:val="18"/>
                <w:szCs w:val="18"/>
                <w:highlight w:val="none"/>
              </w:rPr>
            </w:pPr>
          </w:p>
        </w:tc>
        <w:tc>
          <w:tcPr>
            <w:tcW w:w="2988" w:type="dxa"/>
            <w:vAlign w:val="center"/>
          </w:tcPr>
          <w:p w14:paraId="7AB2C886">
            <w:pPr>
              <w:contextualSpacing/>
              <w:jc w:val="center"/>
              <w:rPr>
                <w:rFonts w:ascii="Times New Roman" w:hAnsi="Times New Roman" w:eastAsia="宋体" w:cs="Times New Roman"/>
                <w:color w:val="auto"/>
                <w:sz w:val="18"/>
                <w:szCs w:val="18"/>
                <w:highlight w:val="none"/>
              </w:rPr>
            </w:pPr>
          </w:p>
        </w:tc>
        <w:tc>
          <w:tcPr>
            <w:tcW w:w="426" w:type="dxa"/>
            <w:vAlign w:val="center"/>
          </w:tcPr>
          <w:p w14:paraId="39B40A99">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9959452">
            <w:pPr>
              <w:contextualSpacing/>
              <w:jc w:val="center"/>
              <w:rPr>
                <w:rFonts w:ascii="Times New Roman" w:hAnsi="Times New Roman" w:eastAsia="宋体" w:cs="Times New Roman"/>
                <w:color w:val="auto"/>
                <w:sz w:val="18"/>
                <w:szCs w:val="18"/>
                <w:highlight w:val="none"/>
              </w:rPr>
            </w:pPr>
          </w:p>
        </w:tc>
        <w:tc>
          <w:tcPr>
            <w:tcW w:w="1978" w:type="dxa"/>
            <w:vAlign w:val="center"/>
          </w:tcPr>
          <w:p w14:paraId="072363C4">
            <w:pPr>
              <w:contextualSpacing/>
              <w:jc w:val="left"/>
              <w:rPr>
                <w:rFonts w:ascii="Times New Roman" w:hAnsi="Times New Roman" w:eastAsia="宋体" w:cs="Times New Roman"/>
                <w:color w:val="auto"/>
                <w:sz w:val="18"/>
                <w:szCs w:val="18"/>
                <w:highlight w:val="none"/>
              </w:rPr>
            </w:pPr>
          </w:p>
        </w:tc>
      </w:tr>
    </w:tbl>
    <w:p w14:paraId="1C7C49C4">
      <w:pPr>
        <w:pStyle w:val="7"/>
        <w:rPr>
          <w:rFonts w:ascii="Times New Roman" w:hAnsi="Times New Roman" w:eastAsia="宋体" w:cs="Times New Roman"/>
          <w:color w:val="auto"/>
          <w:highlight w:val="none"/>
        </w:rPr>
      </w:pPr>
    </w:p>
    <w:p w14:paraId="3A616AFF">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00A3"/>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00FE"/>
      </w:r>
      <w:r>
        <w:rPr>
          <w:rFonts w:ascii="Times New Roman" w:hAnsi="Times New Roman" w:eastAsia="宋体" w:cs="Times New Roman"/>
          <w:color w:val="auto"/>
          <w:szCs w:val="21"/>
          <w:highlight w:val="none"/>
        </w:rPr>
        <w:t>本合同不涉及履约保证金。</w:t>
      </w:r>
    </w:p>
    <w:p w14:paraId="52625E8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w:t>
      </w:r>
      <w:r>
        <w:rPr>
          <w:rFonts w:hint="eastAsia" w:ascii="Times New Roman" w:hAnsi="Times New Roman" w:eastAsia="宋体" w:cs="Times New Roman"/>
          <w:color w:val="auto"/>
          <w:highlight w:val="none"/>
        </w:rPr>
        <w:t>，由乙方承担由此造成的全部法律责任，并按照合同总额的10%向甲方支付违约金。如乙方已缴纳履约保证金的，履约保证金不予退还</w:t>
      </w:r>
      <w:r>
        <w:rPr>
          <w:rFonts w:ascii="Times New Roman" w:hAnsi="Times New Roman" w:eastAsia="宋体" w:cs="Times New Roman"/>
          <w:color w:val="auto"/>
          <w:highlight w:val="none"/>
        </w:rPr>
        <w:t>。</w:t>
      </w:r>
    </w:p>
    <w:p w14:paraId="3EA344F5">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9"/>
        </w:numPr>
        <w:snapToGrid w:val="0"/>
        <w:ind w:left="525" w:hanging="525" w:hangingChars="25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由乙方承担由此造成的全部法律责任，并按照合同总额的10%向甲方支付违约金。如乙方已缴纳履约保证金的，履约保证金不予退还。</w:t>
      </w:r>
    </w:p>
    <w:p w14:paraId="284E4D6A">
      <w:pPr>
        <w:pStyle w:val="28"/>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0"/>
        </w:numPr>
        <w:ind w:leftChars="0"/>
        <w:contextualSpacing/>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3.</w:t>
      </w: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chineseCounting"/>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972BE6A-0E76-4A77-B3D2-7F23D1F33E0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56A3EF2-47A7-4535-BA32-259930B36C8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E7D1F6D-1A5D-4FF5-B654-E7410EF943B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E83DF91B-D27A-43D5-B6B1-57600F121709}"/>
  </w:font>
  <w:font w:name="Wingdings 2">
    <w:altName w:val="Wingdings"/>
    <w:panose1 w:val="05020102010507070707"/>
    <w:charset w:val="4D"/>
    <w:family w:val="decorative"/>
    <w:pitch w:val="default"/>
    <w:sig w:usb0="00000000" w:usb1="00000000" w:usb2="00000000" w:usb3="00000000" w:csb0="80000000" w:csb1="00000000"/>
    <w:embedRegular r:id="rId5" w:fontKey="{D8EC885F-B319-4797-9BC0-9963D9DE1115}"/>
  </w:font>
  <w:font w:name="Songti SC">
    <w:altName w:val="宋体"/>
    <w:panose1 w:val="02010600040101010101"/>
    <w:charset w:val="86"/>
    <w:family w:val="auto"/>
    <w:pitch w:val="default"/>
    <w:sig w:usb0="00000000" w:usb1="00000000" w:usb2="00000010" w:usb3="00000000" w:csb0="0004009F" w:csb1="00000000"/>
    <w:embedRegular r:id="rId6" w:fontKey="{0BC4E866-9E81-4321-BE3A-E612C2881570}"/>
  </w:font>
  <w:font w:name="微软雅黑">
    <w:panose1 w:val="020B0503020204020204"/>
    <w:charset w:val="86"/>
    <w:family w:val="auto"/>
    <w:pitch w:val="default"/>
    <w:sig w:usb0="80000287" w:usb1="2ACF3C50" w:usb2="00000016" w:usb3="00000000" w:csb0="0004001F" w:csb1="00000000"/>
    <w:embedRegular r:id="rId7" w:fontKey="{70A39B7D-029E-4DF5-B06F-5EDFB3B9C9E4}"/>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5E9B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30BD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030BD7">
                    <w:pPr>
                      <w:pStyle w:val="11"/>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B4476">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EB4476">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58FF44">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E+c4VQyAgAAVwQAAA4AAABkcnMvZTJvRG9jLnhtbK1Uy47T&#10;MBTdI/EPlvc07QBVp2o6KlMVIVXMSAWxdh2nieQXttukfAD8ASs27PmufgfHTtNBA4tZsHFvfJ/n&#10;+Nz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T5zhVDICAABXBAAADgAAAAAAAAABACAAAAAlAQAAZHJzL2Uyb0RvYy54&#10;bWxQSwUGAAAAAAYABgBZAQAAyQUAAAAA&#10;">
              <v:fill on="f" focussize="0,0"/>
              <v:stroke on="f" weight="0.5pt"/>
              <v:imagedata o:title=""/>
              <o:lock v:ext="edit" aspectratio="f"/>
              <v:textbox inset="0mm,0mm,0mm,0mm" style="mso-fit-shape-to-text:t;">
                <w:txbxContent>
                  <w:p w14:paraId="2358FF44">
                    <w:pPr>
                      <w:pStyle w:val="11"/>
                      <w:rPr>
                        <w:rFonts w:ascii="Times New Roman" w:hAnsi="Times New Roman" w:cs="Times New Roma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40 </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posOffset>3145790</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rPr>
                              <w:rFonts w:hint="eastAsia" w:eastAsiaTheme="minorEastAsia"/>
                              <w:lang w:val="en-US" w:eastAsia="zh-CN"/>
                            </w:rPr>
                          </w:pPr>
                          <w:r>
                            <w:rPr>
                              <w:rFonts w:hint="eastAsia"/>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47.7pt;margin-top:0pt;height:144pt;width:144pt;mso-position-horizontal-relative:margin;mso-wrap-style:none;z-index:251661312;mso-width-relative:page;mso-height-relative:page;" filled="f" stroked="f" coordsize="21600,21600" o:gfxdata="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c8k8BtUAAAAIAQAADwAAAAAAAAABACAAAAAiAAAAZHJzL2Rvd25yZXYueG1sUEsB&#10;AhQAFAAAAAgAh07iQCSCRrQxAgAAYQQAAA4AAAAAAAAAAQAgAAAAJAEAAGRycy9lMm9Eb2MueG1s&#10;UEsFBgAAAAAGAAYAWQEAAMcFAAAAAA==&#10;">
              <v:fill on="f" focussize="0,0"/>
              <v:stroke on="f" weight="0.5pt"/>
              <v:imagedata o:title=""/>
              <o:lock v:ext="edit" aspectratio="f"/>
              <v:textbox inset="0mm,0mm,0mm,0mm" style="mso-fit-shape-to-text:t;">
                <w:txbxContent>
                  <w:p w14:paraId="030A8533">
                    <w:pPr>
                      <w:pStyle w:val="11"/>
                      <w:rPr>
                        <w:rFonts w:hint="eastAsia" w:eastAsiaTheme="minorEastAsia"/>
                        <w:lang w:val="en-US" w:eastAsia="zh-CN"/>
                      </w:rPr>
                    </w:pPr>
                    <w:r>
                      <w:rPr>
                        <w:rFonts w:hint="eastAsia"/>
                        <w:lang w:val="en-US" w:eastAsia="zh-CN"/>
                      </w:rPr>
                      <w:t xml:space="preserve"> </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7213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6372137">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FD4E7">
                          <w:pPr>
                            <w:pStyle w:val="11"/>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92FD4E7">
                    <w:pPr>
                      <w:pStyle w:val="11"/>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7C975">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352722"/>
    <w:rsid w:val="078A573C"/>
    <w:rsid w:val="08453DAC"/>
    <w:rsid w:val="093A3733"/>
    <w:rsid w:val="0B4508AE"/>
    <w:rsid w:val="0C6059D1"/>
    <w:rsid w:val="0CF161C9"/>
    <w:rsid w:val="0E0B7FF0"/>
    <w:rsid w:val="0E273820"/>
    <w:rsid w:val="0ED173DC"/>
    <w:rsid w:val="117A5014"/>
    <w:rsid w:val="120D36A9"/>
    <w:rsid w:val="127F05A0"/>
    <w:rsid w:val="136D78F8"/>
    <w:rsid w:val="145443CD"/>
    <w:rsid w:val="15745CD6"/>
    <w:rsid w:val="15CC4977"/>
    <w:rsid w:val="162A4F7D"/>
    <w:rsid w:val="16676981"/>
    <w:rsid w:val="16A82A66"/>
    <w:rsid w:val="1994787E"/>
    <w:rsid w:val="1C43445E"/>
    <w:rsid w:val="1D287A89"/>
    <w:rsid w:val="1DD000AF"/>
    <w:rsid w:val="1E09745A"/>
    <w:rsid w:val="1E176351"/>
    <w:rsid w:val="20B070C5"/>
    <w:rsid w:val="217108E9"/>
    <w:rsid w:val="22935D1D"/>
    <w:rsid w:val="23D4489F"/>
    <w:rsid w:val="25732306"/>
    <w:rsid w:val="262001B9"/>
    <w:rsid w:val="269F2F54"/>
    <w:rsid w:val="27334F35"/>
    <w:rsid w:val="27B87AF9"/>
    <w:rsid w:val="27E80EA9"/>
    <w:rsid w:val="280414A1"/>
    <w:rsid w:val="28570368"/>
    <w:rsid w:val="29AB62EE"/>
    <w:rsid w:val="29C5318E"/>
    <w:rsid w:val="2B502F98"/>
    <w:rsid w:val="2C9A0A9E"/>
    <w:rsid w:val="2DA70D65"/>
    <w:rsid w:val="2FBA539A"/>
    <w:rsid w:val="3427766B"/>
    <w:rsid w:val="343706EB"/>
    <w:rsid w:val="351A08D0"/>
    <w:rsid w:val="36334CE5"/>
    <w:rsid w:val="37F92887"/>
    <w:rsid w:val="38B20315"/>
    <w:rsid w:val="3A551407"/>
    <w:rsid w:val="3B033C36"/>
    <w:rsid w:val="3E5D4E8E"/>
    <w:rsid w:val="3FE25336"/>
    <w:rsid w:val="41076015"/>
    <w:rsid w:val="42075FF8"/>
    <w:rsid w:val="42842020"/>
    <w:rsid w:val="468567BB"/>
    <w:rsid w:val="4782487D"/>
    <w:rsid w:val="4B31068E"/>
    <w:rsid w:val="4B69318E"/>
    <w:rsid w:val="4BA55220"/>
    <w:rsid w:val="4BAD0151"/>
    <w:rsid w:val="4C184E09"/>
    <w:rsid w:val="4C452D46"/>
    <w:rsid w:val="4C8F75A2"/>
    <w:rsid w:val="4DAD4403"/>
    <w:rsid w:val="4E8C008E"/>
    <w:rsid w:val="4FEF758C"/>
    <w:rsid w:val="50771A9C"/>
    <w:rsid w:val="51C47F6D"/>
    <w:rsid w:val="5455382C"/>
    <w:rsid w:val="582B110D"/>
    <w:rsid w:val="592016E8"/>
    <w:rsid w:val="59D648C2"/>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ACB70C9"/>
    <w:rsid w:val="6C487AFD"/>
    <w:rsid w:val="6CB24363"/>
    <w:rsid w:val="6EA93466"/>
    <w:rsid w:val="6FCF0795"/>
    <w:rsid w:val="71381023"/>
    <w:rsid w:val="73714961"/>
    <w:rsid w:val="754D1D92"/>
    <w:rsid w:val="758350A9"/>
    <w:rsid w:val="76B0629A"/>
    <w:rsid w:val="777D34B3"/>
    <w:rsid w:val="78176AF1"/>
    <w:rsid w:val="79687E1D"/>
    <w:rsid w:val="79F30C28"/>
    <w:rsid w:val="7A7E1277"/>
    <w:rsid w:val="7AD265BD"/>
    <w:rsid w:val="7B560FD7"/>
    <w:rsid w:val="7B5F74F8"/>
    <w:rsid w:val="7B690630"/>
    <w:rsid w:val="7C5123F4"/>
    <w:rsid w:val="7CC14760"/>
    <w:rsid w:val="7D040AB6"/>
    <w:rsid w:val="7D4119E6"/>
    <w:rsid w:val="7DAF162B"/>
    <w:rsid w:val="7DC42B41"/>
    <w:rsid w:val="7E4E5480"/>
    <w:rsid w:val="7EF22680"/>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1275</Words>
  <Characters>1363</Characters>
  <Lines>72</Lines>
  <Paragraphs>20</Paragraphs>
  <TotalTime>19</TotalTime>
  <ScaleCrop>false</ScaleCrop>
  <LinksUpToDate>false</LinksUpToDate>
  <CharactersWithSpaces>1435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2026-08-04T07:27:51Z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