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FB2BF3">
      <w:pPr>
        <w:keepNext w:val="0"/>
        <w:keepLines w:val="0"/>
        <w:pageBreakBefore w:val="0"/>
        <w:widowControl w:val="0"/>
        <w:kinsoku/>
        <w:wordWrap/>
        <w:overflowPunct/>
        <w:topLinePunct w:val="0"/>
        <w:autoSpaceDE/>
        <w:autoSpaceDN/>
        <w:bidi w:val="0"/>
        <w:adjustRightInd/>
        <w:snapToGrid/>
        <w:spacing w:before="1109" w:beforeLines="350" w:after="1109" w:afterLines="350" w:line="240" w:lineRule="auto"/>
        <w:jc w:val="center"/>
        <w:textAlignment w:val="auto"/>
        <w:rPr>
          <w:rFonts w:ascii="Times New Roman" w:hAnsi="Times New Roman" w:eastAsia="黑体" w:cs="Times New Roman"/>
          <w:b/>
          <w:sz w:val="72"/>
          <w:szCs w:val="72"/>
        </w:rPr>
      </w:pPr>
      <w:r>
        <w:rPr>
          <w:rFonts w:hint="eastAsia" w:ascii="Times New Roman" w:hAnsi="Times New Roman" w:eastAsia="黑体" w:cs="Times New Roman"/>
          <w:b/>
          <w:sz w:val="72"/>
          <w:szCs w:val="72"/>
        </w:rPr>
        <w:t>四川省人民医院开水器租赁服务采购项目</w:t>
      </w:r>
    </w:p>
    <w:p w14:paraId="1522C629">
      <w:pPr>
        <w:keepNext w:val="0"/>
        <w:keepLines w:val="0"/>
        <w:pageBreakBefore w:val="0"/>
        <w:widowControl w:val="0"/>
        <w:kinsoku/>
        <w:wordWrap/>
        <w:overflowPunct/>
        <w:topLinePunct w:val="0"/>
        <w:autoSpaceDE/>
        <w:autoSpaceDN/>
        <w:bidi w:val="0"/>
        <w:adjustRightInd/>
        <w:snapToGrid/>
        <w:spacing w:before="1109" w:beforeLines="350" w:after="1109" w:afterLines="350" w:line="240" w:lineRule="auto"/>
        <w:jc w:val="center"/>
        <w:textAlignment w:val="auto"/>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keepNext w:val="0"/>
        <w:keepLines w:val="0"/>
        <w:pageBreakBefore w:val="0"/>
        <w:widowControl w:val="0"/>
        <w:kinsoku/>
        <w:wordWrap/>
        <w:overflowPunct/>
        <w:topLinePunct w:val="0"/>
        <w:autoSpaceDE/>
        <w:autoSpaceDN/>
        <w:bidi w:val="0"/>
        <w:adjustRightInd/>
        <w:snapToGrid/>
        <w:spacing w:before="1109" w:beforeLines="350" w:after="1109" w:afterLines="350" w:line="240" w:lineRule="auto"/>
        <w:jc w:val="center"/>
        <w:textAlignment w:val="auto"/>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keepNext w:val="0"/>
        <w:keepLines w:val="0"/>
        <w:pageBreakBefore w:val="0"/>
        <w:widowControl w:val="0"/>
        <w:kinsoku/>
        <w:wordWrap/>
        <w:overflowPunct/>
        <w:topLinePunct w:val="0"/>
        <w:autoSpaceDE/>
        <w:autoSpaceDN/>
        <w:bidi w:val="0"/>
        <w:adjustRightInd/>
        <w:snapToGrid/>
        <w:spacing w:before="1109" w:beforeLines="350" w:after="1109" w:afterLines="350" w:line="240" w:lineRule="auto"/>
        <w:jc w:val="center"/>
        <w:textAlignment w:val="auto"/>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keepNext w:val="0"/>
        <w:keepLines w:val="0"/>
        <w:pageBreakBefore w:val="0"/>
        <w:widowControl w:val="0"/>
        <w:kinsoku/>
        <w:wordWrap/>
        <w:overflowPunct/>
        <w:topLinePunct w:val="0"/>
        <w:autoSpaceDE/>
        <w:autoSpaceDN/>
        <w:bidi w:val="0"/>
        <w:adjustRightInd/>
        <w:snapToGrid/>
        <w:spacing w:before="1109" w:beforeLines="350" w:after="1109" w:afterLines="350" w:line="240" w:lineRule="auto"/>
        <w:jc w:val="center"/>
        <w:textAlignment w:val="auto"/>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黑体" w:cs="Times New Roman"/>
          <w:b/>
          <w:sz w:val="36"/>
          <w:szCs w:val="36"/>
        </w:rPr>
      </w:pPr>
    </w:p>
    <w:p w14:paraId="40DC89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rPr>
        <w:t>8</w:t>
      </w:r>
      <w:r>
        <w:rPr>
          <w:rFonts w:ascii="Times New Roman" w:hAnsi="Times New Roman" w:eastAsia="黑体" w:cs="Times New Roman"/>
          <w:b/>
          <w:sz w:val="36"/>
          <w:szCs w:val="36"/>
          <w:lang w:val="zh-CN"/>
        </w:rPr>
        <w:t>月</w:t>
      </w:r>
    </w:p>
    <w:p w14:paraId="6794095B">
      <w:pPr>
        <w:pStyle w:val="13"/>
        <w:tabs>
          <w:tab w:val="right" w:leader="dot" w:pos="8306"/>
        </w:tabs>
        <w:spacing w:line="560" w:lineRule="exact"/>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spacing w:line="560" w:lineRule="exact"/>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spacing w:line="560" w:lineRule="exact"/>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spacing w:line="560" w:lineRule="exact"/>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spacing w:line="560" w:lineRule="exact"/>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spacing w:line="560" w:lineRule="exact"/>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spacing w:line="560" w:lineRule="exact"/>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spacing w:line="560" w:lineRule="exact"/>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spacing w:line="560" w:lineRule="exact"/>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spacing w:line="560" w:lineRule="exact"/>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spacing w:line="560" w:lineRule="exact"/>
        <w:rPr>
          <w:rFonts w:ascii="Times New Roman" w:hAnsi="Times New Roman" w:cs="Times New Roman"/>
        </w:rPr>
      </w:pPr>
      <w:bookmarkStart w:id="0" w:name="_Toc20358"/>
      <w:bookmarkStart w:id="1" w:name="_Toc471310326"/>
      <w:bookmarkStart w:id="2" w:name="_Toc62832406"/>
      <w:bookmarkStart w:id="3" w:name="_Toc1907"/>
      <w:bookmarkStart w:id="4" w:name="_Toc3240"/>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560" w:lineRule="exact"/>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560" w:lineRule="exact"/>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四川省人民医院开水器租赁服务采购项目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Align w:val="center"/>
          </w:tcPr>
          <w:p w14:paraId="7E62C909">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CGZX-HQB20261213</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Align w:val="center"/>
          </w:tcPr>
          <w:p w14:paraId="6DF134DB">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Align w:val="center"/>
          </w:tcPr>
          <w:p w14:paraId="7321BAE3">
            <w:pPr>
              <w:spacing w:line="560" w:lineRule="exact"/>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056F6904">
            <w:pPr>
              <w:spacing w:line="560" w:lineRule="exact"/>
              <w:ind w:left="210" w:leftChars="100"/>
              <w:rPr>
                <w:rFonts w:ascii="Times New Roman" w:hAnsi="Times New Roman" w:eastAsia="仿宋" w:cs="Times New Roman"/>
                <w:sz w:val="22"/>
              </w:rPr>
            </w:pPr>
            <w:r>
              <w:rPr>
                <w:rFonts w:hint="eastAsia" w:ascii="Times New Roman" w:hAnsi="Times New Roman" w:eastAsia="仿宋" w:cs="Times New Roman"/>
                <w:sz w:val="22"/>
              </w:rPr>
              <w:t>据实结算，支付上限</w:t>
            </w:r>
            <w:r>
              <w:rPr>
                <w:rFonts w:ascii="Times New Roman" w:hAnsi="Times New Roman" w:eastAsia="仿宋" w:cs="Times New Roman"/>
                <w:sz w:val="22"/>
              </w:rPr>
              <w:t>人民币</w:t>
            </w:r>
            <w:r>
              <w:rPr>
                <w:rFonts w:hint="eastAsia" w:ascii="Times New Roman" w:hAnsi="Times New Roman" w:eastAsia="仿宋" w:cs="Times New Roman"/>
                <w:sz w:val="22"/>
                <w:u w:val="single"/>
              </w:rPr>
              <w:t>450000</w:t>
            </w:r>
            <w:r>
              <w:rPr>
                <w:rFonts w:ascii="Times New Roman" w:hAnsi="Times New Roman" w:eastAsia="仿宋" w:cs="Times New Roman"/>
                <w:sz w:val="22"/>
              </w:rPr>
              <w:t>元</w:t>
            </w:r>
            <w:r>
              <w:rPr>
                <w:rFonts w:hint="eastAsia" w:ascii="Times New Roman" w:hAnsi="Times New Roman" w:eastAsia="仿宋" w:cs="Times New Roman"/>
                <w:sz w:val="22"/>
              </w:rPr>
              <w:t>，本项目按照清单限价统一报下浮率，下浮率&lt;0或大于</w:t>
            </w:r>
            <w:r>
              <w:rPr>
                <w:rFonts w:ascii="Arial" w:hAnsi="Arial" w:eastAsia="仿宋" w:cs="Arial"/>
                <w:sz w:val="22"/>
              </w:rPr>
              <w:t>≥</w:t>
            </w:r>
            <w:r>
              <w:rPr>
                <w:rFonts w:hint="eastAsia" w:ascii="Times New Roman" w:hAnsi="Times New Roman" w:eastAsia="仿宋" w:cs="Times New Roman"/>
                <w:sz w:val="22"/>
              </w:rPr>
              <w:t>100%视为无效报价，其响应文件作无效处理。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Align w:val="center"/>
          </w:tcPr>
          <w:p w14:paraId="580B7A3D">
            <w:pPr>
              <w:spacing w:line="560" w:lineRule="exact"/>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560" w:lineRule="exact"/>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Align w:val="center"/>
          </w:tcPr>
          <w:p w14:paraId="2F39838C">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560" w:lineRule="exact"/>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Align w:val="center"/>
          </w:tcPr>
          <w:p w14:paraId="1AA41F76">
            <w:pPr>
              <w:pStyle w:val="29"/>
              <w:widowControl/>
              <w:spacing w:line="560" w:lineRule="exact"/>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560" w:lineRule="exact"/>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Merge w:val="restart"/>
            <w:vAlign w:val="center"/>
          </w:tcPr>
          <w:p w14:paraId="5D77E3C6">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Merge w:val="continue"/>
            <w:vAlign w:val="center"/>
          </w:tcPr>
          <w:p w14:paraId="3B8AEE40">
            <w:pPr>
              <w:spacing w:line="560" w:lineRule="exact"/>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spacing w:line="560" w:lineRule="exact"/>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7"/>
              <w:numPr>
                <w:ilvl w:val="0"/>
                <w:numId w:val="5"/>
              </w:numPr>
              <w:spacing w:after="0" w:line="560" w:lineRule="exact"/>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仿宋" w:hAnsi="仿宋" w:eastAsia="仿宋" w:cs="仿宋"/>
                <w:sz w:val="22"/>
                <w:szCs w:val="22"/>
                <w:u w:color="000000"/>
                <w:lang w:val="en-US" w:eastAsia="zh-CN"/>
              </w:rPr>
              <w:t>2026年8月XX日</w:t>
            </w:r>
            <w:r>
              <w:rPr>
                <w:rFonts w:hint="eastAsia" w:ascii="仿宋" w:hAnsi="仿宋" w:eastAsia="仿宋" w:cs="仿宋"/>
                <w:b w:val="0"/>
                <w:bCs/>
                <w:color w:val="auto"/>
                <w:kern w:val="2"/>
                <w:sz w:val="22"/>
                <w:szCs w:val="22"/>
                <w:highlight w:val="none"/>
                <w:lang w:val="en-US" w:eastAsia="zh-CN" w:bidi="ar-SA"/>
              </w:rPr>
              <w:t>上午9：00-9：30</w:t>
            </w:r>
          </w:p>
          <w:p w14:paraId="72677446">
            <w:pPr>
              <w:pStyle w:val="7"/>
              <w:numPr>
                <w:ilvl w:val="0"/>
                <w:numId w:val="5"/>
              </w:numPr>
              <w:spacing w:after="0" w:line="560" w:lineRule="exact"/>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仿宋" w:hAnsi="仿宋" w:eastAsia="仿宋" w:cs="仿宋"/>
                <w:b w:val="0"/>
                <w:bCs/>
                <w:color w:val="auto"/>
                <w:kern w:val="2"/>
                <w:sz w:val="22"/>
                <w:szCs w:val="22"/>
                <w:highlight w:val="none"/>
                <w:lang w:val="en-US" w:eastAsia="zh-CN" w:bidi="ar-SA"/>
              </w:rPr>
              <w:t>成都市青羊区浣花北路18号四川省人民医院医学图书馆4楼招标采购中心401办公室</w:t>
            </w:r>
          </w:p>
          <w:p w14:paraId="168FFCDF">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仿宋" w:hAnsi="仿宋" w:eastAsia="仿宋" w:cs="仿宋"/>
                <w:sz w:val="22"/>
                <w:szCs w:val="22"/>
                <w:u w:color="000000"/>
                <w:lang w:val="en-US" w:eastAsia="zh-CN"/>
              </w:rPr>
              <w:t>2026年8月XX日</w:t>
            </w:r>
            <w:r>
              <w:rPr>
                <w:rFonts w:hint="eastAsia" w:ascii="仿宋" w:hAnsi="仿宋" w:eastAsia="仿宋" w:cs="仿宋"/>
                <w:b w:val="0"/>
                <w:bCs/>
                <w:color w:val="auto"/>
                <w:kern w:val="2"/>
                <w:sz w:val="22"/>
                <w:szCs w:val="22"/>
                <w:highlight w:val="none"/>
                <w:lang w:val="en-US" w:eastAsia="zh-CN" w:bidi="ar-SA"/>
              </w:rPr>
              <w:t>10：00</w:t>
            </w:r>
          </w:p>
          <w:p w14:paraId="2DB245B1">
            <w:pPr>
              <w:pStyle w:val="7"/>
              <w:numPr>
                <w:ilvl w:val="0"/>
                <w:numId w:val="5"/>
              </w:numPr>
              <w:spacing w:after="0" w:line="560" w:lineRule="exact"/>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踏勘地点：四川省人民医院后勤保障部</w:t>
            </w:r>
          </w:p>
          <w:p w14:paraId="2B285ABD">
            <w:pPr>
              <w:pStyle w:val="7"/>
              <w:numPr>
                <w:ilvl w:val="0"/>
                <w:numId w:val="5"/>
              </w:numPr>
              <w:spacing w:after="0" w:line="560" w:lineRule="exact"/>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联系人：蒋健</w:t>
            </w:r>
          </w:p>
          <w:p w14:paraId="462DCA6B">
            <w:pPr>
              <w:pStyle w:val="7"/>
              <w:numPr>
                <w:ilvl w:val="0"/>
                <w:numId w:val="5"/>
              </w:numPr>
              <w:spacing w:after="0" w:line="560" w:lineRule="exact"/>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ascii="Times New Roman" w:hAnsi="Times New Roman" w:eastAsia="仿宋" w:cs="Times New Roman"/>
                <w:sz w:val="22"/>
              </w:rPr>
              <w:t>028-</w:t>
            </w:r>
            <w:r>
              <w:rPr>
                <w:rFonts w:hint="eastAsia" w:ascii="Times New Roman" w:hAnsi="Times New Roman" w:eastAsia="仿宋" w:cs="Times New Roman"/>
                <w:sz w:val="22"/>
                <w:u w:color="000000"/>
              </w:rPr>
              <w:t>8</w:t>
            </w:r>
            <w:r>
              <w:rPr>
                <w:rFonts w:ascii="Times New Roman" w:hAnsi="Times New Roman" w:eastAsia="仿宋" w:cs="Times New Roman"/>
                <w:sz w:val="22"/>
                <w:u w:color="000000"/>
              </w:rPr>
              <w:t>7394935</w:t>
            </w:r>
          </w:p>
          <w:p w14:paraId="65BB48D4">
            <w:pPr>
              <w:pStyle w:val="7"/>
              <w:spacing w:line="560" w:lineRule="exact"/>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Align w:val="center"/>
          </w:tcPr>
          <w:p w14:paraId="7FEAFE4E">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560" w:lineRule="exact"/>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Merge w:val="restart"/>
            <w:vAlign w:val="center"/>
          </w:tcPr>
          <w:p w14:paraId="0F74BB13">
            <w:pPr>
              <w:pStyle w:val="28"/>
              <w:spacing w:line="560" w:lineRule="exact"/>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560" w:lineRule="exact"/>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Merge w:val="continue"/>
            <w:vAlign w:val="center"/>
          </w:tcPr>
          <w:p w14:paraId="320ACC17">
            <w:pPr>
              <w:pStyle w:val="28"/>
              <w:spacing w:line="560" w:lineRule="exact"/>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560" w:lineRule="exact"/>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金额为合同</w:t>
            </w:r>
            <w:r>
              <w:rPr>
                <w:rFonts w:hint="eastAsia" w:ascii="Times New Roman" w:hAnsi="Times New Roman" w:eastAsia="仿宋" w:cs="Times New Roman"/>
                <w:sz w:val="22"/>
                <w:szCs w:val="22"/>
                <w:lang w:val="en-US" w:eastAsia="zh-CN"/>
              </w:rPr>
              <w:t>支付上限</w:t>
            </w:r>
            <w:r>
              <w:rPr>
                <w:rFonts w:hint="eastAsia" w:ascii="Times New Roman" w:hAnsi="Times New Roman" w:eastAsia="仿宋" w:cs="Times New Roman"/>
                <w:sz w:val="22"/>
                <w:szCs w:val="22"/>
                <w:lang w:val="zh-CN"/>
              </w:rPr>
              <w:t>的5%</w:t>
            </w:r>
          </w:p>
          <w:p w14:paraId="00EA646A">
            <w:pPr>
              <w:pStyle w:val="28"/>
              <w:numPr>
                <w:ilvl w:val="0"/>
                <w:numId w:val="6"/>
              </w:numPr>
              <w:tabs>
                <w:tab w:val="left" w:pos="220"/>
                <w:tab w:val="clear" w:pos="0"/>
              </w:tabs>
              <w:spacing w:line="560" w:lineRule="exact"/>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B1AE184">
            <w:pPr>
              <w:pStyle w:val="28"/>
              <w:numPr>
                <w:ilvl w:val="0"/>
                <w:numId w:val="7"/>
              </w:numPr>
              <w:tabs>
                <w:tab w:val="left" w:pos="220"/>
              </w:tabs>
              <w:spacing w:line="560" w:lineRule="exact"/>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560" w:lineRule="exact"/>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560" w:lineRule="exact"/>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560" w:lineRule="exact"/>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560" w:lineRule="exact"/>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560" w:lineRule="exact"/>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服务期结束且经采购人验收合格后，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8"/>
              <w:numPr>
                <w:ilvl w:val="0"/>
                <w:numId w:val="6"/>
              </w:numPr>
              <w:tabs>
                <w:tab w:val="left" w:pos="220"/>
                <w:tab w:val="clear" w:pos="0"/>
              </w:tabs>
              <w:spacing w:line="560" w:lineRule="exact"/>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27A3245C">
            <w:pPr>
              <w:pStyle w:val="28"/>
              <w:numPr>
                <w:ilvl w:val="0"/>
                <w:numId w:val="8"/>
              </w:numPr>
              <w:tabs>
                <w:tab w:val="left" w:pos="218"/>
                <w:tab w:val="clear" w:pos="0"/>
              </w:tabs>
              <w:spacing w:line="560" w:lineRule="exact"/>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供应商拒绝履行与采购人订立的合同。</w:t>
            </w:r>
          </w:p>
          <w:p w14:paraId="60012B53">
            <w:pPr>
              <w:pStyle w:val="28"/>
              <w:numPr>
                <w:ilvl w:val="0"/>
                <w:numId w:val="8"/>
              </w:numPr>
              <w:tabs>
                <w:tab w:val="left" w:pos="218"/>
                <w:tab w:val="clear" w:pos="0"/>
              </w:tabs>
              <w:spacing w:line="560" w:lineRule="exact"/>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 xml:space="preserve">因供应商严重违约或其它违法违规行为等情形，导致双方无法继续履约。 </w:t>
            </w:r>
          </w:p>
          <w:p w14:paraId="7A456483">
            <w:pPr>
              <w:pStyle w:val="28"/>
              <w:numPr>
                <w:ilvl w:val="0"/>
                <w:numId w:val="8"/>
              </w:numPr>
              <w:tabs>
                <w:tab w:val="left" w:pos="218"/>
                <w:tab w:val="clear" w:pos="0"/>
              </w:tabs>
              <w:spacing w:line="560" w:lineRule="exact"/>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其它情形：无。</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Align w:val="center"/>
          </w:tcPr>
          <w:p w14:paraId="0A75CB2F">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综合评分法</w:t>
            </w:r>
          </w:p>
          <w:p w14:paraId="0358CAD4">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rPr>
              <w:t>（</w:t>
            </w:r>
            <w:r>
              <w:rPr>
                <w:rFonts w:ascii="Times New Roman" w:hAnsi="Times New Roman" w:eastAsia="仿宋" w:cs="Times New Roman"/>
                <w:sz w:val="22"/>
              </w:rPr>
              <w:t>含3家</w:t>
            </w:r>
            <w:r>
              <w:rPr>
                <w:rFonts w:hint="eastAsia" w:ascii="Times New Roman" w:hAnsi="Times New Roman" w:eastAsia="仿宋" w:cs="Times New Roman"/>
                <w:sz w:val="22"/>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sz w:val="22"/>
              </w:rPr>
              <w:t>报价&lt;最低&gt;/&lt;下浮率最高&gt;</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最低评审价法</w:t>
            </w:r>
          </w:p>
          <w:p w14:paraId="76D6321E">
            <w:pPr>
              <w:spacing w:line="560" w:lineRule="exact"/>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rPr>
              <w:t>（</w:t>
            </w:r>
            <w:r>
              <w:rPr>
                <w:rFonts w:ascii="Times New Roman" w:hAnsi="Times New Roman" w:eastAsia="仿宋" w:cs="Times New Roman"/>
                <w:sz w:val="22"/>
              </w:rPr>
              <w:t>含3家</w:t>
            </w:r>
            <w:r>
              <w:rPr>
                <w:rFonts w:hint="eastAsia" w:ascii="Times New Roman" w:hAnsi="Times New Roman" w:eastAsia="仿宋" w:cs="Times New Roman"/>
                <w:sz w:val="22"/>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w:t>
            </w:r>
            <w:r>
              <w:rPr>
                <w:rFonts w:hint="eastAsia" w:ascii="Times New Roman" w:hAnsi="Times New Roman" w:eastAsia="仿宋" w:cs="Times New Roman"/>
                <w:sz w:val="22"/>
              </w:rPr>
              <w:t>（即响应下浮率最高）</w:t>
            </w:r>
            <w:r>
              <w:rPr>
                <w:rFonts w:ascii="Times New Roman" w:hAnsi="Times New Roman" w:eastAsia="仿宋" w:cs="Times New Roman"/>
                <w:sz w:val="22"/>
              </w:rPr>
              <w:t>的合格供应商为成交供应商。</w:t>
            </w:r>
            <w:r>
              <w:rPr>
                <w:rFonts w:hint="eastAsia" w:ascii="Times New Roman" w:hAnsi="Times New Roman" w:eastAsia="仿宋" w:cs="Times New Roman"/>
                <w:sz w:val="22"/>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szCs w:val="21"/>
              </w:rPr>
            </w:pPr>
          </w:p>
        </w:tc>
        <w:tc>
          <w:tcPr>
            <w:tcW w:w="1733" w:type="dxa"/>
            <w:vAlign w:val="center"/>
          </w:tcPr>
          <w:p w14:paraId="64FAF6B3">
            <w:pPr>
              <w:pStyle w:val="28"/>
              <w:spacing w:line="560" w:lineRule="exact"/>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560" w:lineRule="exact"/>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560" w:lineRule="exact"/>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kern w:val="0"/>
                <w:sz w:val="22"/>
              </w:rPr>
            </w:pPr>
          </w:p>
        </w:tc>
        <w:tc>
          <w:tcPr>
            <w:tcW w:w="1733" w:type="dxa"/>
            <w:vAlign w:val="center"/>
          </w:tcPr>
          <w:p w14:paraId="25CCCAFC">
            <w:pPr>
              <w:pStyle w:val="28"/>
              <w:spacing w:line="560" w:lineRule="exact"/>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560" w:lineRule="exact"/>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spacing w:line="560" w:lineRule="exact"/>
              <w:jc w:val="both"/>
              <w:rPr>
                <w:rFonts w:ascii="Times New Roman" w:hAnsi="Times New Roman" w:eastAsia="仿宋" w:cs="Times New Roman"/>
                <w:kern w:val="0"/>
                <w:sz w:val="22"/>
              </w:rPr>
            </w:pPr>
          </w:p>
        </w:tc>
        <w:tc>
          <w:tcPr>
            <w:tcW w:w="1733" w:type="dxa"/>
            <w:vAlign w:val="center"/>
          </w:tcPr>
          <w:p w14:paraId="7F4F2CEE">
            <w:pPr>
              <w:pStyle w:val="28"/>
              <w:spacing w:line="560" w:lineRule="exact"/>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费</w:t>
            </w:r>
            <w:r>
              <w:rPr>
                <w:rFonts w:ascii="Times New Roman" w:hAnsi="Times New Roman" w:eastAsia="仿宋" w:cs="Times New Roman"/>
                <w:sz w:val="22"/>
              </w:rPr>
              <w:t>老师028-</w:t>
            </w:r>
            <w:r>
              <w:rPr>
                <w:rFonts w:hint="eastAsia" w:ascii="Times New Roman" w:hAnsi="Times New Roman" w:eastAsia="仿宋" w:cs="Times New Roman"/>
                <w:sz w:val="22"/>
              </w:rPr>
              <w:t>87394783</w:t>
            </w:r>
          </w:p>
          <w:p w14:paraId="45425A32">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后勤保障</w:t>
            </w:r>
            <w:r>
              <w:rPr>
                <w:rFonts w:ascii="Times New Roman" w:hAnsi="Times New Roman" w:eastAsia="仿宋" w:cs="Times New Roman"/>
                <w:sz w:val="22"/>
              </w:rPr>
              <w:t>部门</w:t>
            </w:r>
          </w:p>
          <w:p w14:paraId="1D8AFF4A">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0BD4859E">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44665A6B">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11CC194">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spacing w:line="560" w:lineRule="exact"/>
        <w:rPr>
          <w:rFonts w:ascii="Times New Roman" w:hAnsi="Times New Roman" w:cs="Times New Roman"/>
        </w:rPr>
      </w:pPr>
      <w:r>
        <w:rPr>
          <w:rFonts w:ascii="Times New Roman" w:hAnsi="Times New Roman" w:cs="Times New Roman"/>
        </w:rPr>
        <w:br w:type="page"/>
      </w:r>
    </w:p>
    <w:p w14:paraId="7B4BC71E">
      <w:pPr>
        <w:pStyle w:val="2"/>
        <w:spacing w:line="560" w:lineRule="exact"/>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197DCA0C">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6109ED5F">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560" w:lineRule="exact"/>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448CCC5D">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560" w:lineRule="exact"/>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560" w:lineRule="exact"/>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560" w:lineRule="exact"/>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560" w:lineRule="exact"/>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560" w:lineRule="exact"/>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560" w:lineRule="exact"/>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560" w:lineRule="exact"/>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560" w:lineRule="exact"/>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560" w:lineRule="exact"/>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560" w:lineRule="exact"/>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6CB5DD5F">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27845AF0">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45B83456">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560" w:lineRule="exact"/>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560" w:lineRule="exact"/>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560" w:lineRule="exact"/>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70BC6FE3">
            <w:pPr>
              <w:spacing w:line="560" w:lineRule="exact"/>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rPr>
              <w:t>；</w:t>
            </w:r>
            <w:r>
              <w:rPr>
                <w:rFonts w:ascii="Times New Roman" w:hAnsi="Times New Roman" w:eastAsia="仿宋" w:cs="Times New Roman"/>
                <w:sz w:val="22"/>
              </w:rPr>
              <w:t>若是成交后发现的，采购人应当取消其成交资格；</w:t>
            </w:r>
          </w:p>
          <w:p w14:paraId="3BAFC6D2">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1CBFC3D0">
            <w:pPr>
              <w:pStyle w:val="28"/>
              <w:spacing w:line="560" w:lineRule="exact"/>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0DA18A7B">
            <w:pPr>
              <w:pStyle w:val="28"/>
              <w:spacing w:line="560" w:lineRule="exact"/>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560" w:lineRule="exact"/>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560" w:lineRule="exact"/>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3D541914">
            <w:pPr>
              <w:pStyle w:val="28"/>
              <w:spacing w:line="560" w:lineRule="exact"/>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560" w:lineRule="exact"/>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560" w:lineRule="exact"/>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p>
          <w:p w14:paraId="7D5E8660">
            <w:pPr>
              <w:pStyle w:val="28"/>
              <w:spacing w:line="560" w:lineRule="exact"/>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560" w:lineRule="exact"/>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spacing w:line="560" w:lineRule="exact"/>
              <w:rPr>
                <w:rFonts w:ascii="Times New Roman" w:hAnsi="Times New Roman" w:eastAsia="仿宋" w:cs="Times New Roman"/>
                <w:szCs w:val="21"/>
              </w:rPr>
            </w:pPr>
          </w:p>
        </w:tc>
        <w:tc>
          <w:tcPr>
            <w:tcW w:w="1909" w:type="dxa"/>
            <w:vAlign w:val="center"/>
          </w:tcPr>
          <w:p w14:paraId="2C102343">
            <w:pPr>
              <w:pStyle w:val="28"/>
              <w:spacing w:line="560" w:lineRule="exact"/>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560" w:lineRule="exact"/>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560" w:lineRule="exact"/>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560" w:lineRule="exact"/>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560" w:lineRule="exact"/>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560" w:lineRule="exact"/>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560" w:lineRule="exact"/>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spacing w:line="560" w:lineRule="exact"/>
        <w:rPr>
          <w:rFonts w:ascii="Times New Roman" w:hAnsi="Times New Roman" w:cs="Times New Roman"/>
        </w:rPr>
      </w:pPr>
      <w:r>
        <w:rPr>
          <w:rFonts w:ascii="Times New Roman" w:hAnsi="Times New Roman" w:cs="Times New Roman"/>
        </w:rPr>
        <w:br w:type="page"/>
      </w:r>
    </w:p>
    <w:p w14:paraId="456B3D0E">
      <w:pPr>
        <w:pStyle w:val="2"/>
        <w:spacing w:line="560" w:lineRule="exact"/>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spacing w:line="560" w:lineRule="exact"/>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spacing w:line="560" w:lineRule="exact"/>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spacing w:line="560" w:lineRule="exact"/>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spacing w:line="560" w:lineRule="exact"/>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spacing w:line="560" w:lineRule="exact"/>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spacing w:line="560" w:lineRule="exact"/>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spacing w:line="560" w:lineRule="exact"/>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spacing w:line="560" w:lineRule="exact"/>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spacing w:line="560" w:lineRule="exact"/>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spacing w:line="560" w:lineRule="exact"/>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spacing w:line="560" w:lineRule="exact"/>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spacing w:line="560" w:lineRule="exact"/>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spacing w:line="560" w:lineRule="exact"/>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560" w:lineRule="exact"/>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spacing w:line="560" w:lineRule="exact"/>
              <w:jc w:val="center"/>
              <w:rPr>
                <w:rFonts w:ascii="Times New Roman" w:hAnsi="Times New Roman" w:eastAsia="仿宋" w:cs="Times New Roman"/>
                <w:sz w:val="22"/>
              </w:rPr>
            </w:pPr>
            <w:r>
              <w:rPr>
                <w:rFonts w:hint="eastAsia" w:ascii="Times New Roman" w:hAnsi="Times New Roman" w:eastAsia="仿宋" w:cs="Times New Roman"/>
                <w:sz w:val="22"/>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560" w:lineRule="exact"/>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spacing w:line="560" w:lineRule="exact"/>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560" w:lineRule="exact"/>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spacing w:line="560" w:lineRule="exact"/>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560" w:lineRule="exact"/>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spacing w:line="560" w:lineRule="exact"/>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560" w:lineRule="exact"/>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spacing w:line="560" w:lineRule="exact"/>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spacing w:line="560" w:lineRule="exact"/>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spacing w:line="560" w:lineRule="exact"/>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spacing w:line="560" w:lineRule="exact"/>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tc>
        <w:tc>
          <w:tcPr>
            <w:tcW w:w="2846" w:type="pct"/>
            <w:vAlign w:val="center"/>
          </w:tcPr>
          <w:p w14:paraId="7D3D2FEC">
            <w:pPr>
              <w:spacing w:line="560" w:lineRule="exact"/>
              <w:rPr>
                <w:rFonts w:ascii="Times New Roman" w:hAnsi="Times New Roman" w:eastAsia="仿宋" w:cs="Times New Roman"/>
                <w:sz w:val="22"/>
                <w:u w:val="single"/>
              </w:rPr>
            </w:pPr>
            <w:r>
              <w:rPr>
                <w:rFonts w:hint="eastAsia" w:ascii="Times New Roman" w:hAnsi="Times New Roman" w:eastAsia="仿宋" w:cs="Times New Roman"/>
                <w:sz w:val="22"/>
                <w:u w:val="single"/>
              </w:rPr>
              <w:t>/</w:t>
            </w:r>
          </w:p>
        </w:tc>
      </w:tr>
    </w:tbl>
    <w:p w14:paraId="379FCCB3">
      <w:pPr>
        <w:spacing w:line="560" w:lineRule="exact"/>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spacing w:line="560" w:lineRule="exact"/>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spacing w:line="560" w:lineRule="exact"/>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spacing w:line="560" w:lineRule="exact"/>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spacing w:line="560" w:lineRule="exact"/>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spacing w:line="560" w:lineRule="exact"/>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spacing w:line="560" w:lineRule="exact"/>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spacing w:line="560" w:lineRule="exact"/>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spacing w:line="560" w:lineRule="exact"/>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spacing w:line="560" w:lineRule="exact"/>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spacing w:line="560" w:lineRule="exact"/>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spacing w:line="560" w:lineRule="exact"/>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spacing w:line="560" w:lineRule="exact"/>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rPr>
              <w:t>；</w:t>
            </w:r>
          </w:p>
          <w:p w14:paraId="62129F32">
            <w:pPr>
              <w:spacing w:line="560" w:lineRule="exact"/>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spacing w:line="560" w:lineRule="exact"/>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spacing w:line="560" w:lineRule="exact"/>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spacing w:line="560" w:lineRule="exact"/>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rPr>
              <w:t>；</w:t>
            </w:r>
          </w:p>
          <w:p w14:paraId="66F2876C">
            <w:pPr>
              <w:spacing w:line="560" w:lineRule="exact"/>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spacing w:line="560" w:lineRule="exact"/>
        <w:rPr>
          <w:rFonts w:ascii="Times New Roman" w:hAnsi="Times New Roman" w:cs="Times New Roman"/>
        </w:rPr>
      </w:pPr>
      <w:r>
        <w:rPr>
          <w:rFonts w:ascii="Times New Roman" w:hAnsi="Times New Roman" w:cs="Times New Roman"/>
        </w:rPr>
        <w:br w:type="page"/>
      </w:r>
    </w:p>
    <w:p w14:paraId="7A15FB65">
      <w:pPr>
        <w:pStyle w:val="2"/>
        <w:spacing w:line="560" w:lineRule="exact"/>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5526654A">
      <w:pPr>
        <w:pStyle w:val="16"/>
        <w:numPr>
          <w:ilvl w:val="0"/>
          <w:numId w:val="12"/>
        </w:numPr>
        <w:spacing w:line="560" w:lineRule="exact"/>
        <w:rPr>
          <w:rFonts w:ascii="Times New Roman" w:hAnsi="Times New Roman" w:eastAsia="仿宋" w:cs="Times New Roman"/>
          <w:b/>
          <w:bCs/>
          <w:sz w:val="24"/>
          <w:szCs w:val="24"/>
        </w:rPr>
      </w:pPr>
      <w:r>
        <w:rPr>
          <w:rFonts w:hint="eastAsia" w:ascii="Times New Roman" w:hAnsi="Times New Roman" w:eastAsia="仿宋" w:cs="Times New Roman"/>
          <w:b/>
          <w:bCs/>
          <w:sz w:val="24"/>
          <w:szCs w:val="24"/>
        </w:rPr>
        <w:t>项目简介</w:t>
      </w:r>
    </w:p>
    <w:p w14:paraId="409C8E35">
      <w:pPr>
        <w:pStyle w:val="16"/>
        <w:spacing w:line="560" w:lineRule="exact"/>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本项目为四川省人民医院全院电开水器租赁服务采购项目，目前全院在用电开水器约为350台，包括院本部、草堂病区、皮研所、龙泉院区、温江三医中心、中和科研基地。</w:t>
      </w:r>
    </w:p>
    <w:p w14:paraId="769BCB10">
      <w:pPr>
        <w:pStyle w:val="16"/>
        <w:numPr>
          <w:ilvl w:val="0"/>
          <w:numId w:val="12"/>
        </w:numPr>
        <w:spacing w:line="560" w:lineRule="exact"/>
        <w:ind w:firstLine="420"/>
        <w:rPr>
          <w:rFonts w:ascii="Times New Roman" w:hAnsi="Times New Roman" w:eastAsia="仿宋" w:cs="Times New Roman"/>
          <w:b/>
          <w:bCs/>
          <w:sz w:val="24"/>
          <w:szCs w:val="24"/>
        </w:rPr>
      </w:pPr>
      <w:r>
        <w:rPr>
          <w:rFonts w:hint="eastAsia" w:ascii="仿宋" w:hAnsi="仿宋" w:eastAsia="仿宋" w:cs="仿宋"/>
          <w:b/>
          <w:bCs/>
          <w:sz w:val="24"/>
          <w:szCs w:val="24"/>
        </w:rPr>
        <w:t>★</w:t>
      </w:r>
      <w:r>
        <w:rPr>
          <w:rFonts w:hint="eastAsia" w:ascii="Times New Roman" w:hAnsi="Times New Roman" w:eastAsia="仿宋" w:cs="Times New Roman"/>
          <w:b/>
          <w:bCs/>
          <w:sz w:val="24"/>
          <w:szCs w:val="24"/>
        </w:rPr>
        <w:t>服务内容及要求</w:t>
      </w:r>
    </w:p>
    <w:p w14:paraId="7762BB68">
      <w:pPr>
        <w:pStyle w:val="16"/>
        <w:numPr>
          <w:ilvl w:val="0"/>
          <w:numId w:val="13"/>
        </w:numPr>
        <w:spacing w:line="560" w:lineRule="exact"/>
        <w:rPr>
          <w:rFonts w:ascii="Times New Roman" w:hAnsi="Times New Roman" w:eastAsia="仿宋" w:cs="Times New Roman"/>
          <w:b/>
          <w:bCs/>
          <w:sz w:val="24"/>
          <w:szCs w:val="24"/>
        </w:rPr>
      </w:pPr>
      <w:r>
        <w:rPr>
          <w:rFonts w:hint="eastAsia" w:ascii="Times New Roman" w:hAnsi="Times New Roman" w:eastAsia="仿宋" w:cs="Times New Roman"/>
          <w:b/>
          <w:bCs/>
          <w:sz w:val="24"/>
          <w:szCs w:val="24"/>
        </w:rPr>
        <w:t>电开水器技术参数及限高单价</w:t>
      </w:r>
    </w:p>
    <w:tbl>
      <w:tblPr>
        <w:tblStyle w:val="18"/>
        <w:tblW w:w="5000" w:type="pct"/>
        <w:tblInd w:w="0" w:type="dxa"/>
        <w:tblLayout w:type="autofit"/>
        <w:tblCellMar>
          <w:top w:w="15" w:type="dxa"/>
          <w:left w:w="15" w:type="dxa"/>
          <w:bottom w:w="15" w:type="dxa"/>
          <w:right w:w="15" w:type="dxa"/>
        </w:tblCellMar>
      </w:tblPr>
      <w:tblGrid>
        <w:gridCol w:w="2347"/>
        <w:gridCol w:w="4035"/>
        <w:gridCol w:w="3466"/>
      </w:tblGrid>
      <w:tr w14:paraId="7D82A2B9">
        <w:tblPrEx>
          <w:tblCellMar>
            <w:top w:w="15" w:type="dxa"/>
            <w:left w:w="15" w:type="dxa"/>
            <w:bottom w:w="15" w:type="dxa"/>
            <w:right w:w="15" w:type="dxa"/>
          </w:tblCellMar>
        </w:tblPrEx>
        <w:tc>
          <w:tcPr>
            <w:tcW w:w="1191"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5069ED38">
            <w:pPr>
              <w:pStyle w:val="14"/>
              <w:widowControl/>
              <w:spacing w:line="560" w:lineRule="exact"/>
              <w:jc w:val="center"/>
              <w:rPr>
                <w:rFonts w:ascii="Times New Roman" w:hAnsi="Times New Roman" w:eastAsia="仿宋"/>
                <w:kern w:val="2"/>
                <w:szCs w:val="24"/>
              </w:rPr>
            </w:pPr>
            <w:r>
              <w:rPr>
                <w:rFonts w:hint="eastAsia" w:ascii="Times New Roman" w:hAnsi="Times New Roman" w:eastAsia="仿宋"/>
                <w:kern w:val="2"/>
                <w:szCs w:val="24"/>
              </w:rPr>
              <w:t>序号</w:t>
            </w:r>
          </w:p>
        </w:tc>
        <w:tc>
          <w:tcPr>
            <w:tcW w:w="2048"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76077C3C">
            <w:pPr>
              <w:pStyle w:val="14"/>
              <w:widowControl/>
              <w:spacing w:line="560" w:lineRule="exact"/>
              <w:jc w:val="center"/>
              <w:rPr>
                <w:rFonts w:ascii="Times New Roman" w:hAnsi="Times New Roman" w:eastAsia="仿宋"/>
                <w:kern w:val="2"/>
                <w:szCs w:val="24"/>
              </w:rPr>
            </w:pPr>
            <w:r>
              <w:rPr>
                <w:rFonts w:hint="eastAsia" w:ascii="Times New Roman" w:hAnsi="Times New Roman" w:eastAsia="仿宋"/>
                <w:kern w:val="2"/>
                <w:szCs w:val="24"/>
              </w:rPr>
              <w:t>开水器类型</w:t>
            </w:r>
          </w:p>
        </w:tc>
        <w:tc>
          <w:tcPr>
            <w:tcW w:w="1759"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7C81D91B">
            <w:pPr>
              <w:pStyle w:val="14"/>
              <w:widowControl/>
              <w:spacing w:line="560" w:lineRule="exact"/>
              <w:jc w:val="center"/>
              <w:rPr>
                <w:rFonts w:ascii="Times New Roman" w:hAnsi="Times New Roman" w:eastAsia="仿宋"/>
                <w:kern w:val="2"/>
                <w:szCs w:val="24"/>
              </w:rPr>
            </w:pPr>
            <w:r>
              <w:rPr>
                <w:rFonts w:hint="eastAsia" w:ascii="Times New Roman" w:hAnsi="Times New Roman" w:eastAsia="仿宋"/>
                <w:kern w:val="2"/>
                <w:szCs w:val="24"/>
              </w:rPr>
              <w:t>限高单价（元/月/台）</w:t>
            </w:r>
          </w:p>
        </w:tc>
      </w:tr>
      <w:tr w14:paraId="3740B635">
        <w:tblPrEx>
          <w:tblCellMar>
            <w:top w:w="15" w:type="dxa"/>
            <w:left w:w="15" w:type="dxa"/>
            <w:bottom w:w="15" w:type="dxa"/>
            <w:right w:w="15" w:type="dxa"/>
          </w:tblCellMar>
        </w:tblPrEx>
        <w:tc>
          <w:tcPr>
            <w:tcW w:w="1191"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2D620E15">
            <w:pPr>
              <w:pStyle w:val="14"/>
              <w:widowControl/>
              <w:spacing w:line="560" w:lineRule="exact"/>
              <w:jc w:val="center"/>
              <w:rPr>
                <w:rFonts w:ascii="Times New Roman" w:hAnsi="Times New Roman" w:eastAsia="仿宋"/>
                <w:kern w:val="2"/>
                <w:szCs w:val="24"/>
              </w:rPr>
            </w:pPr>
            <w:r>
              <w:rPr>
                <w:rFonts w:ascii="Times New Roman" w:hAnsi="Times New Roman" w:eastAsia="仿宋"/>
                <w:kern w:val="2"/>
                <w:szCs w:val="24"/>
              </w:rPr>
              <w:t>1</w:t>
            </w:r>
          </w:p>
        </w:tc>
        <w:tc>
          <w:tcPr>
            <w:tcW w:w="2048"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12AA5CFE">
            <w:pPr>
              <w:pStyle w:val="14"/>
              <w:widowControl/>
              <w:spacing w:line="560" w:lineRule="exact"/>
              <w:jc w:val="center"/>
              <w:rPr>
                <w:rFonts w:ascii="Times New Roman" w:hAnsi="Times New Roman" w:eastAsia="仿宋"/>
                <w:kern w:val="2"/>
                <w:szCs w:val="24"/>
              </w:rPr>
            </w:pPr>
            <w:r>
              <w:rPr>
                <w:rFonts w:hint="eastAsia" w:ascii="Times New Roman" w:hAnsi="Times New Roman" w:eastAsia="仿宋"/>
                <w:kern w:val="2"/>
                <w:szCs w:val="24"/>
              </w:rPr>
              <w:t>机器一</w:t>
            </w:r>
          </w:p>
        </w:tc>
        <w:tc>
          <w:tcPr>
            <w:tcW w:w="175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221FAAA3">
            <w:pPr>
              <w:pStyle w:val="14"/>
              <w:widowControl/>
              <w:spacing w:line="560" w:lineRule="exact"/>
              <w:jc w:val="center"/>
              <w:rPr>
                <w:rFonts w:ascii="Times New Roman" w:hAnsi="Times New Roman" w:eastAsia="仿宋"/>
                <w:kern w:val="2"/>
                <w:szCs w:val="24"/>
              </w:rPr>
            </w:pPr>
            <w:r>
              <w:rPr>
                <w:rFonts w:ascii="Times New Roman" w:hAnsi="Times New Roman" w:eastAsia="仿宋"/>
                <w:kern w:val="2"/>
                <w:szCs w:val="24"/>
              </w:rPr>
              <w:t>80</w:t>
            </w:r>
          </w:p>
        </w:tc>
      </w:tr>
      <w:tr w14:paraId="047D7983">
        <w:tblPrEx>
          <w:tblCellMar>
            <w:top w:w="15" w:type="dxa"/>
            <w:left w:w="15" w:type="dxa"/>
            <w:bottom w:w="15" w:type="dxa"/>
            <w:right w:w="15" w:type="dxa"/>
          </w:tblCellMar>
        </w:tblPrEx>
        <w:tc>
          <w:tcPr>
            <w:tcW w:w="1191"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3B9013C9">
            <w:pPr>
              <w:pStyle w:val="14"/>
              <w:widowControl/>
              <w:spacing w:line="560" w:lineRule="exact"/>
              <w:jc w:val="center"/>
              <w:rPr>
                <w:rFonts w:ascii="Times New Roman" w:hAnsi="Times New Roman" w:eastAsia="仿宋"/>
                <w:kern w:val="2"/>
                <w:szCs w:val="24"/>
              </w:rPr>
            </w:pPr>
            <w:r>
              <w:rPr>
                <w:rFonts w:ascii="Times New Roman" w:hAnsi="Times New Roman" w:eastAsia="仿宋"/>
                <w:kern w:val="2"/>
                <w:szCs w:val="24"/>
              </w:rPr>
              <w:t>2</w:t>
            </w:r>
          </w:p>
        </w:tc>
        <w:tc>
          <w:tcPr>
            <w:tcW w:w="2048"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2541CED7">
            <w:pPr>
              <w:pStyle w:val="14"/>
              <w:widowControl/>
              <w:spacing w:line="560" w:lineRule="exact"/>
              <w:jc w:val="center"/>
              <w:rPr>
                <w:rFonts w:ascii="Times New Roman" w:hAnsi="Times New Roman" w:eastAsia="仿宋"/>
                <w:kern w:val="2"/>
                <w:szCs w:val="24"/>
              </w:rPr>
            </w:pPr>
            <w:r>
              <w:rPr>
                <w:rFonts w:hint="eastAsia" w:ascii="Times New Roman" w:hAnsi="Times New Roman" w:eastAsia="仿宋"/>
                <w:kern w:val="2"/>
                <w:szCs w:val="24"/>
              </w:rPr>
              <w:t>机器二</w:t>
            </w:r>
          </w:p>
        </w:tc>
        <w:tc>
          <w:tcPr>
            <w:tcW w:w="175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3DAC0A5F">
            <w:pPr>
              <w:pStyle w:val="14"/>
              <w:widowControl/>
              <w:spacing w:line="560" w:lineRule="exact"/>
              <w:jc w:val="center"/>
              <w:rPr>
                <w:rFonts w:ascii="Times New Roman" w:hAnsi="Times New Roman" w:eastAsia="仿宋"/>
                <w:kern w:val="2"/>
                <w:szCs w:val="24"/>
              </w:rPr>
            </w:pPr>
            <w:r>
              <w:rPr>
                <w:rFonts w:ascii="Times New Roman" w:hAnsi="Times New Roman" w:eastAsia="仿宋"/>
                <w:kern w:val="2"/>
                <w:szCs w:val="24"/>
              </w:rPr>
              <w:t>80</w:t>
            </w:r>
          </w:p>
        </w:tc>
      </w:tr>
      <w:tr w14:paraId="67AC6A73">
        <w:tblPrEx>
          <w:tblCellMar>
            <w:top w:w="15" w:type="dxa"/>
            <w:left w:w="15" w:type="dxa"/>
            <w:bottom w:w="15" w:type="dxa"/>
            <w:right w:w="15" w:type="dxa"/>
          </w:tblCellMar>
        </w:tblPrEx>
        <w:tc>
          <w:tcPr>
            <w:tcW w:w="1191"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362B34E1">
            <w:pPr>
              <w:pStyle w:val="14"/>
              <w:widowControl/>
              <w:spacing w:line="560" w:lineRule="exact"/>
              <w:jc w:val="center"/>
              <w:rPr>
                <w:rFonts w:ascii="Times New Roman" w:hAnsi="Times New Roman" w:eastAsia="仿宋"/>
                <w:kern w:val="2"/>
                <w:szCs w:val="24"/>
              </w:rPr>
            </w:pPr>
            <w:r>
              <w:rPr>
                <w:rFonts w:ascii="Times New Roman" w:hAnsi="Times New Roman" w:eastAsia="仿宋"/>
                <w:kern w:val="2"/>
                <w:szCs w:val="24"/>
              </w:rPr>
              <w:t>3</w:t>
            </w:r>
          </w:p>
        </w:tc>
        <w:tc>
          <w:tcPr>
            <w:tcW w:w="2048"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6B1FD9C1">
            <w:pPr>
              <w:pStyle w:val="14"/>
              <w:widowControl/>
              <w:spacing w:line="560" w:lineRule="exact"/>
              <w:jc w:val="center"/>
              <w:rPr>
                <w:rFonts w:ascii="Times New Roman" w:hAnsi="Times New Roman" w:eastAsia="仿宋"/>
                <w:kern w:val="2"/>
                <w:szCs w:val="24"/>
              </w:rPr>
            </w:pPr>
            <w:r>
              <w:rPr>
                <w:rFonts w:hint="eastAsia" w:ascii="Times New Roman" w:hAnsi="Times New Roman" w:eastAsia="仿宋"/>
                <w:kern w:val="2"/>
                <w:szCs w:val="24"/>
              </w:rPr>
              <w:t>机器三</w:t>
            </w:r>
          </w:p>
        </w:tc>
        <w:tc>
          <w:tcPr>
            <w:tcW w:w="175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22520CCB">
            <w:pPr>
              <w:pStyle w:val="14"/>
              <w:widowControl/>
              <w:spacing w:line="560" w:lineRule="exact"/>
              <w:jc w:val="center"/>
              <w:rPr>
                <w:rFonts w:ascii="Times New Roman" w:hAnsi="Times New Roman" w:eastAsia="仿宋"/>
                <w:kern w:val="2"/>
                <w:szCs w:val="24"/>
              </w:rPr>
            </w:pPr>
            <w:r>
              <w:rPr>
                <w:rFonts w:ascii="Times New Roman" w:hAnsi="Times New Roman" w:eastAsia="仿宋"/>
                <w:kern w:val="2"/>
                <w:szCs w:val="24"/>
              </w:rPr>
              <w:t>140</w:t>
            </w:r>
          </w:p>
        </w:tc>
      </w:tr>
      <w:tr w14:paraId="208525E4">
        <w:tblPrEx>
          <w:tblCellMar>
            <w:top w:w="15" w:type="dxa"/>
            <w:left w:w="15" w:type="dxa"/>
            <w:bottom w:w="15" w:type="dxa"/>
            <w:right w:w="15" w:type="dxa"/>
          </w:tblCellMar>
        </w:tblPrEx>
        <w:tc>
          <w:tcPr>
            <w:tcW w:w="1191"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549DF053">
            <w:pPr>
              <w:pStyle w:val="14"/>
              <w:widowControl/>
              <w:spacing w:line="560" w:lineRule="exact"/>
              <w:jc w:val="center"/>
              <w:rPr>
                <w:rFonts w:ascii="Times New Roman" w:hAnsi="Times New Roman" w:eastAsia="仿宋"/>
                <w:kern w:val="2"/>
                <w:szCs w:val="24"/>
              </w:rPr>
            </w:pPr>
            <w:r>
              <w:rPr>
                <w:rFonts w:ascii="Times New Roman" w:hAnsi="Times New Roman" w:eastAsia="仿宋"/>
                <w:kern w:val="2"/>
                <w:szCs w:val="24"/>
              </w:rPr>
              <w:t>4</w:t>
            </w:r>
          </w:p>
        </w:tc>
        <w:tc>
          <w:tcPr>
            <w:tcW w:w="2048"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3E3ED22E">
            <w:pPr>
              <w:pStyle w:val="14"/>
              <w:widowControl/>
              <w:spacing w:line="560" w:lineRule="exact"/>
              <w:jc w:val="center"/>
              <w:rPr>
                <w:rFonts w:ascii="Times New Roman" w:hAnsi="Times New Roman" w:eastAsia="仿宋"/>
                <w:kern w:val="2"/>
                <w:szCs w:val="24"/>
              </w:rPr>
            </w:pPr>
            <w:r>
              <w:rPr>
                <w:rFonts w:hint="eastAsia" w:ascii="Times New Roman" w:hAnsi="Times New Roman" w:eastAsia="仿宋"/>
                <w:kern w:val="2"/>
                <w:szCs w:val="24"/>
              </w:rPr>
              <w:t>机器四</w:t>
            </w:r>
          </w:p>
        </w:tc>
        <w:tc>
          <w:tcPr>
            <w:tcW w:w="175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tcPr>
          <w:p w14:paraId="3E6CD8FD">
            <w:pPr>
              <w:pStyle w:val="14"/>
              <w:widowControl/>
              <w:spacing w:line="560" w:lineRule="exact"/>
              <w:jc w:val="center"/>
              <w:rPr>
                <w:rFonts w:ascii="Times New Roman" w:hAnsi="Times New Roman" w:eastAsia="仿宋"/>
                <w:kern w:val="2"/>
                <w:szCs w:val="24"/>
              </w:rPr>
            </w:pPr>
            <w:r>
              <w:rPr>
                <w:rFonts w:ascii="Times New Roman" w:hAnsi="Times New Roman" w:eastAsia="仿宋"/>
                <w:kern w:val="2"/>
                <w:szCs w:val="24"/>
              </w:rPr>
              <w:t>70</w:t>
            </w:r>
          </w:p>
        </w:tc>
      </w:tr>
    </w:tbl>
    <w:p w14:paraId="7EAD1B4E">
      <w:pPr>
        <w:pStyle w:val="14"/>
        <w:widowControl/>
        <w:spacing w:line="560" w:lineRule="exact"/>
        <w:rPr>
          <w:b/>
          <w:bCs/>
        </w:rPr>
      </w:pPr>
      <w:r>
        <w:rPr>
          <w:rFonts w:ascii="仿宋" w:hAnsi="仿宋" w:eastAsia="仿宋" w:cs="仿宋"/>
          <w:b/>
          <w:bCs/>
          <w:color w:val="0D0D0D"/>
          <w:kern w:val="2"/>
          <w:szCs w:val="24"/>
        </w:rPr>
        <w:t>1、</w:t>
      </w:r>
      <w:r>
        <w:rPr>
          <w:rFonts w:hint="eastAsia" w:ascii="仿宋" w:hAnsi="仿宋" w:eastAsia="仿宋" w:cs="仿宋"/>
          <w:b/>
          <w:bCs/>
          <w:color w:val="0D0D0D"/>
          <w:kern w:val="2"/>
          <w:szCs w:val="24"/>
        </w:rPr>
        <w:t>机器一参数</w:t>
      </w:r>
    </w:p>
    <w:p w14:paraId="6F347B6A">
      <w:pPr>
        <w:pStyle w:val="14"/>
        <w:widowControl/>
        <w:spacing w:line="560" w:lineRule="exact"/>
        <w:rPr>
          <w:rFonts w:hint="eastAsia" w:ascii="仿宋" w:hAnsi="仿宋" w:eastAsia="仿宋" w:cs="仿宋"/>
          <w:color w:val="0D0D0D"/>
          <w:kern w:val="2"/>
          <w:szCs w:val="24"/>
        </w:rPr>
      </w:pPr>
      <w:r>
        <w:rPr>
          <w:rFonts w:hint="eastAsia" w:ascii="仿宋" w:hAnsi="仿宋" w:eastAsia="仿宋" w:cs="仿宋"/>
          <w:color w:val="0D0D0D"/>
          <w:kern w:val="2"/>
          <w:szCs w:val="24"/>
        </w:rPr>
        <w:t>（1）内胆材质：食品级不锈钢304或316。</w:t>
      </w:r>
    </w:p>
    <w:p w14:paraId="14CF7E9D">
      <w:pPr>
        <w:pStyle w:val="14"/>
        <w:widowControl/>
        <w:spacing w:line="560" w:lineRule="exact"/>
        <w:rPr>
          <w:rFonts w:hint="eastAsia" w:ascii="仿宋" w:hAnsi="仿宋" w:eastAsia="仿宋" w:cs="仿宋"/>
          <w:color w:val="0D0D0D"/>
          <w:kern w:val="2"/>
          <w:szCs w:val="24"/>
        </w:rPr>
      </w:pPr>
      <w:r>
        <w:rPr>
          <w:rFonts w:hint="eastAsia" w:ascii="仿宋" w:hAnsi="仿宋" w:eastAsia="仿宋" w:cs="仿宋"/>
          <w:color w:val="0D0D0D"/>
          <w:kern w:val="2"/>
          <w:szCs w:val="24"/>
        </w:rPr>
        <w:t>（2）加热管材质：食品级800（NS111）合金材质。</w:t>
      </w:r>
    </w:p>
    <w:p w14:paraId="4FEF1454">
      <w:pPr>
        <w:pStyle w:val="14"/>
        <w:widowControl/>
        <w:spacing w:line="560" w:lineRule="exact"/>
        <w:rPr>
          <w:rFonts w:ascii="仿宋" w:hAnsi="仿宋" w:eastAsia="仿宋" w:cs="仿宋"/>
          <w:color w:val="0D0D0D"/>
          <w:kern w:val="2"/>
          <w:szCs w:val="24"/>
        </w:rPr>
      </w:pPr>
      <w:r>
        <w:rPr>
          <w:rFonts w:hint="eastAsia" w:ascii="仿宋" w:hAnsi="仿宋" w:eastAsia="仿宋" w:cs="仿宋"/>
          <w:color w:val="0D0D0D"/>
          <w:kern w:val="2"/>
          <w:szCs w:val="24"/>
        </w:rPr>
        <w:t>（3）额定功率:≤3KW；</w:t>
      </w:r>
    </w:p>
    <w:p w14:paraId="328A1D7F">
      <w:pPr>
        <w:pStyle w:val="14"/>
        <w:widowControl/>
        <w:spacing w:line="560" w:lineRule="exact"/>
        <w:rPr>
          <w:rFonts w:ascii="仿宋" w:hAnsi="仿宋" w:eastAsia="仿宋" w:cs="仿宋"/>
          <w:color w:val="0D0D0D"/>
          <w:kern w:val="2"/>
          <w:szCs w:val="24"/>
        </w:rPr>
      </w:pPr>
      <w:r>
        <w:rPr>
          <w:rFonts w:hint="eastAsia" w:ascii="仿宋" w:hAnsi="仿宋" w:eastAsia="仿宋" w:cs="仿宋"/>
          <w:color w:val="0D0D0D"/>
          <w:kern w:val="2"/>
          <w:szCs w:val="24"/>
        </w:rPr>
        <w:t>（4）额定电压：220V；</w:t>
      </w:r>
    </w:p>
    <w:p w14:paraId="4165DB46">
      <w:pPr>
        <w:pStyle w:val="14"/>
        <w:widowControl/>
        <w:spacing w:line="560" w:lineRule="exact"/>
        <w:rPr>
          <w:rFonts w:ascii="仿宋" w:hAnsi="仿宋" w:eastAsia="仿宋" w:cs="仿宋"/>
          <w:color w:val="0D0D0D"/>
          <w:kern w:val="2"/>
          <w:szCs w:val="24"/>
        </w:rPr>
      </w:pPr>
      <w:r>
        <w:rPr>
          <w:rFonts w:hint="eastAsia" w:ascii="仿宋" w:hAnsi="仿宋" w:eastAsia="仿宋" w:cs="仿宋"/>
          <w:color w:val="0D0D0D"/>
          <w:kern w:val="2"/>
          <w:szCs w:val="24"/>
        </w:rPr>
        <w:t>（5）出水量:≥75L/H；</w:t>
      </w:r>
    </w:p>
    <w:p w14:paraId="31A8A3F3">
      <w:pPr>
        <w:pStyle w:val="14"/>
        <w:widowControl/>
        <w:spacing w:line="560" w:lineRule="exact"/>
        <w:rPr>
          <w:rFonts w:ascii="仿宋" w:hAnsi="仿宋" w:eastAsia="仿宋" w:cs="仿宋"/>
          <w:color w:val="0D0D0D"/>
          <w:kern w:val="2"/>
          <w:szCs w:val="24"/>
        </w:rPr>
      </w:pPr>
      <w:r>
        <w:rPr>
          <w:rFonts w:hint="eastAsia" w:ascii="仿宋" w:hAnsi="仿宋" w:eastAsia="仿宋" w:cs="仿宋"/>
          <w:color w:val="0D0D0D"/>
          <w:kern w:val="2"/>
          <w:szCs w:val="24"/>
        </w:rPr>
        <w:t>（6）水箱容量≥28L；</w:t>
      </w:r>
    </w:p>
    <w:p w14:paraId="77791270">
      <w:pPr>
        <w:pStyle w:val="14"/>
        <w:widowControl/>
        <w:spacing w:line="560" w:lineRule="exact"/>
        <w:rPr>
          <w:rFonts w:ascii="仿宋" w:hAnsi="仿宋" w:eastAsia="仿宋" w:cs="仿宋"/>
          <w:color w:val="0D0D0D"/>
          <w:kern w:val="2"/>
          <w:szCs w:val="24"/>
        </w:rPr>
      </w:pPr>
      <w:r>
        <w:rPr>
          <w:rFonts w:hint="eastAsia" w:ascii="仿宋" w:hAnsi="仿宋" w:eastAsia="仿宋" w:cs="仿宋"/>
          <w:color w:val="0D0D0D"/>
          <w:kern w:val="2"/>
          <w:szCs w:val="24"/>
        </w:rPr>
        <w:t>（7）出水方式:一热一直饮，可按要求设定水温；</w:t>
      </w:r>
    </w:p>
    <w:p w14:paraId="5995C794">
      <w:pPr>
        <w:pStyle w:val="14"/>
        <w:widowControl/>
        <w:spacing w:line="560" w:lineRule="exact"/>
        <w:rPr>
          <w:rFonts w:ascii="仿宋" w:hAnsi="仿宋" w:eastAsia="仿宋" w:cs="仿宋"/>
          <w:color w:val="0D0D0D"/>
          <w:kern w:val="2"/>
          <w:szCs w:val="24"/>
        </w:rPr>
      </w:pPr>
      <w:r>
        <w:rPr>
          <w:rFonts w:hint="eastAsia" w:ascii="仿宋" w:hAnsi="仿宋" w:eastAsia="仿宋" w:cs="仿宋"/>
          <w:color w:val="0D0D0D"/>
          <w:kern w:val="2"/>
          <w:szCs w:val="24"/>
        </w:rPr>
        <w:t>（8）过滤方式:五级反渗透过滤（RO膜、聚丙烯棉、颗粒活性炭、压缩活性炭、后置抑菌活性炭），过滤精度为 0.0001微米，水质TDS值检测不超过30PPM；</w:t>
      </w:r>
    </w:p>
    <w:p w14:paraId="4DD0B7F3">
      <w:pPr>
        <w:pStyle w:val="14"/>
        <w:widowControl/>
        <w:spacing w:line="560" w:lineRule="exact"/>
        <w:rPr>
          <w:rFonts w:ascii="仿宋" w:hAnsi="仿宋" w:eastAsia="仿宋" w:cs="仿宋"/>
          <w:color w:val="0D0D0D"/>
          <w:kern w:val="2"/>
          <w:szCs w:val="24"/>
        </w:rPr>
      </w:pPr>
      <w:r>
        <w:rPr>
          <w:rFonts w:hint="eastAsia" w:ascii="仿宋" w:hAnsi="仿宋" w:eastAsia="仿宋" w:cs="仿宋"/>
          <w:color w:val="0D0D0D"/>
          <w:kern w:val="2"/>
          <w:szCs w:val="24"/>
        </w:rPr>
        <w:t>（9）产品保护方式:自动开关机时间，自动防干烧、自动漏电保护、自动缺水保护、自动超温保护、机器表面温度接近常温、故障自检知；</w:t>
      </w:r>
    </w:p>
    <w:p w14:paraId="0E6EF6CE">
      <w:pPr>
        <w:pStyle w:val="14"/>
        <w:widowControl/>
        <w:spacing w:line="560" w:lineRule="exact"/>
        <w:rPr>
          <w:rFonts w:ascii="仿宋" w:hAnsi="仿宋" w:eastAsia="仿宋" w:cs="仿宋"/>
          <w:color w:val="0D0D0D"/>
          <w:kern w:val="2"/>
          <w:szCs w:val="24"/>
        </w:rPr>
      </w:pPr>
      <w:r>
        <w:rPr>
          <w:rFonts w:hint="eastAsia" w:ascii="仿宋" w:hAnsi="仿宋" w:eastAsia="仿宋" w:cs="仿宋"/>
          <w:color w:val="0D0D0D"/>
          <w:kern w:val="2"/>
          <w:szCs w:val="24"/>
        </w:rPr>
        <w:t>（10）产品资质：饮用水卫生安全产品卫生许可批件；</w:t>
      </w:r>
    </w:p>
    <w:p w14:paraId="65A18E0E">
      <w:pPr>
        <w:pStyle w:val="14"/>
        <w:widowControl/>
        <w:spacing w:line="560" w:lineRule="exact"/>
        <w:rPr>
          <w:rFonts w:ascii="仿宋" w:hAnsi="仿宋" w:eastAsia="仿宋" w:cs="仿宋"/>
          <w:color w:val="0D0D0D"/>
          <w:kern w:val="2"/>
          <w:szCs w:val="24"/>
        </w:rPr>
      </w:pPr>
      <w:r>
        <w:rPr>
          <w:rFonts w:hint="eastAsia" w:ascii="仿宋" w:hAnsi="仿宋" w:eastAsia="仿宋" w:cs="仿宋"/>
          <w:color w:val="0D0D0D"/>
          <w:kern w:val="2"/>
          <w:szCs w:val="24"/>
        </w:rPr>
        <w:t>（11）开水需带童锁键；</w:t>
      </w:r>
    </w:p>
    <w:p w14:paraId="15EC9BCE">
      <w:pPr>
        <w:pStyle w:val="14"/>
        <w:widowControl/>
        <w:spacing w:line="560" w:lineRule="exact"/>
        <w:rPr>
          <w:rFonts w:ascii="仿宋" w:hAnsi="仿宋" w:eastAsia="仿宋" w:cs="仿宋"/>
          <w:color w:val="0D0D0D"/>
          <w:kern w:val="2"/>
          <w:szCs w:val="24"/>
        </w:rPr>
      </w:pPr>
      <w:r>
        <w:rPr>
          <w:rFonts w:hint="eastAsia" w:ascii="仿宋" w:hAnsi="仿宋" w:eastAsia="仿宋" w:cs="仿宋"/>
          <w:color w:val="0D0D0D"/>
          <w:kern w:val="2"/>
          <w:szCs w:val="24"/>
        </w:rPr>
        <w:t>（12）防触电类型≥I类。</w:t>
      </w:r>
    </w:p>
    <w:p w14:paraId="06CBA28F">
      <w:pPr>
        <w:pStyle w:val="14"/>
        <w:widowControl/>
        <w:spacing w:line="560" w:lineRule="exact"/>
        <w:jc w:val="both"/>
        <w:rPr>
          <w:b/>
          <w:bCs/>
        </w:rPr>
      </w:pPr>
      <w:r>
        <w:rPr>
          <w:rFonts w:hint="eastAsia" w:ascii="仿宋" w:hAnsi="仿宋" w:eastAsia="仿宋" w:cs="仿宋"/>
          <w:b/>
          <w:bCs/>
          <w:kern w:val="2"/>
          <w:szCs w:val="24"/>
        </w:rPr>
        <w:t>2、机器二参数</w:t>
      </w:r>
    </w:p>
    <w:p w14:paraId="60503EB4">
      <w:pPr>
        <w:pStyle w:val="14"/>
        <w:widowControl/>
        <w:spacing w:line="560" w:lineRule="exact"/>
        <w:rPr>
          <w:rFonts w:hint="eastAsia" w:ascii="仿宋" w:hAnsi="仿宋" w:eastAsia="仿宋" w:cs="仿宋"/>
          <w:kern w:val="2"/>
          <w:szCs w:val="24"/>
        </w:rPr>
      </w:pPr>
      <w:r>
        <w:rPr>
          <w:rFonts w:hint="eastAsia" w:ascii="仿宋" w:hAnsi="仿宋" w:eastAsia="仿宋" w:cs="仿宋"/>
          <w:kern w:val="2"/>
          <w:szCs w:val="24"/>
        </w:rPr>
        <w:t>（1）内胆材质：食品级不锈钢304或316。</w:t>
      </w:r>
    </w:p>
    <w:p w14:paraId="5C03AE7F">
      <w:pPr>
        <w:pStyle w:val="14"/>
        <w:widowControl/>
        <w:spacing w:line="560" w:lineRule="exact"/>
        <w:rPr>
          <w:rFonts w:hint="eastAsia" w:ascii="仿宋" w:hAnsi="仿宋" w:eastAsia="仿宋" w:cs="仿宋"/>
          <w:kern w:val="2"/>
          <w:szCs w:val="24"/>
        </w:rPr>
      </w:pPr>
      <w:r>
        <w:rPr>
          <w:rFonts w:hint="eastAsia" w:ascii="仿宋" w:hAnsi="仿宋" w:eastAsia="仿宋" w:cs="仿宋"/>
          <w:kern w:val="2"/>
          <w:szCs w:val="24"/>
        </w:rPr>
        <w:t>（2）加热管材质：食品级800（NS111）合金材质。</w:t>
      </w:r>
    </w:p>
    <w:p w14:paraId="0E896788">
      <w:pPr>
        <w:pStyle w:val="14"/>
        <w:widowControl/>
        <w:spacing w:line="560" w:lineRule="exact"/>
      </w:pPr>
      <w:r>
        <w:rPr>
          <w:rFonts w:hint="eastAsia" w:ascii="仿宋" w:hAnsi="仿宋" w:eastAsia="仿宋" w:cs="仿宋"/>
          <w:kern w:val="2"/>
          <w:szCs w:val="24"/>
        </w:rPr>
        <w:t>（3）额定功率:≤6KW；</w:t>
      </w:r>
    </w:p>
    <w:p w14:paraId="20CFA138">
      <w:pPr>
        <w:pStyle w:val="14"/>
        <w:widowControl/>
        <w:spacing w:line="560" w:lineRule="exact"/>
      </w:pPr>
      <w:r>
        <w:rPr>
          <w:rFonts w:hint="eastAsia" w:ascii="仿宋" w:hAnsi="仿宋" w:eastAsia="仿宋" w:cs="仿宋"/>
          <w:kern w:val="2"/>
          <w:szCs w:val="24"/>
        </w:rPr>
        <w:t>（4）额定电压：380V（三相五线）；</w:t>
      </w:r>
    </w:p>
    <w:p w14:paraId="748F657D">
      <w:pPr>
        <w:pStyle w:val="14"/>
        <w:widowControl/>
        <w:spacing w:line="560" w:lineRule="exact"/>
      </w:pPr>
      <w:r>
        <w:rPr>
          <w:rFonts w:hint="eastAsia" w:ascii="仿宋" w:hAnsi="仿宋" w:eastAsia="仿宋" w:cs="仿宋"/>
          <w:kern w:val="2"/>
          <w:szCs w:val="24"/>
        </w:rPr>
        <w:t>（5）出水量:≥75L/H；</w:t>
      </w:r>
    </w:p>
    <w:p w14:paraId="5A79B5D4">
      <w:pPr>
        <w:pStyle w:val="14"/>
        <w:widowControl/>
        <w:spacing w:line="560" w:lineRule="exact"/>
      </w:pPr>
      <w:r>
        <w:rPr>
          <w:rFonts w:hint="eastAsia" w:ascii="仿宋" w:hAnsi="仿宋" w:eastAsia="仿宋" w:cs="仿宋"/>
          <w:kern w:val="2"/>
          <w:szCs w:val="24"/>
        </w:rPr>
        <w:t>（6）水箱容量≥28L；</w:t>
      </w:r>
    </w:p>
    <w:p w14:paraId="338A5989">
      <w:pPr>
        <w:pStyle w:val="14"/>
        <w:widowControl/>
        <w:spacing w:line="560" w:lineRule="exact"/>
      </w:pPr>
      <w:r>
        <w:rPr>
          <w:rFonts w:hint="eastAsia" w:ascii="仿宋" w:hAnsi="仿宋" w:eastAsia="仿宋" w:cs="仿宋"/>
          <w:kern w:val="2"/>
          <w:szCs w:val="24"/>
        </w:rPr>
        <w:t>（7）出水方式:一热一直饮，可按要求设定水温；</w:t>
      </w:r>
    </w:p>
    <w:p w14:paraId="0E98A3C3">
      <w:pPr>
        <w:pStyle w:val="14"/>
        <w:widowControl/>
        <w:spacing w:line="560" w:lineRule="exact"/>
      </w:pPr>
      <w:r>
        <w:rPr>
          <w:rFonts w:hint="eastAsia" w:ascii="仿宋" w:hAnsi="仿宋" w:eastAsia="仿宋" w:cs="仿宋"/>
          <w:kern w:val="2"/>
          <w:szCs w:val="24"/>
        </w:rPr>
        <w:t>（8）过滤方式:五级反渗透过滤（RO膜、聚丙烯棉、颗粒活性炭、压缩活性炭、后置抑菌活性炭），过滤精度为 0.0001微米，水质TDS值检测不超过30PPM；</w:t>
      </w:r>
    </w:p>
    <w:p w14:paraId="3ADA591B">
      <w:pPr>
        <w:pStyle w:val="14"/>
        <w:widowControl/>
        <w:spacing w:line="560" w:lineRule="exact"/>
      </w:pPr>
      <w:r>
        <w:rPr>
          <w:rFonts w:hint="eastAsia" w:ascii="仿宋" w:hAnsi="仿宋" w:eastAsia="仿宋" w:cs="仿宋"/>
          <w:kern w:val="2"/>
          <w:szCs w:val="24"/>
        </w:rPr>
        <w:t>（9）产品保护方式:自动开关机时间，自动防干烧、自动漏电保护、自动缺水保护、自动超温保护、机器表面温度接近常温、故障自检知；</w:t>
      </w:r>
    </w:p>
    <w:p w14:paraId="470D60BC">
      <w:pPr>
        <w:pStyle w:val="14"/>
        <w:widowControl/>
        <w:spacing w:line="560" w:lineRule="exact"/>
      </w:pPr>
      <w:r>
        <w:rPr>
          <w:rFonts w:hint="eastAsia" w:ascii="仿宋" w:hAnsi="仿宋" w:eastAsia="仿宋" w:cs="仿宋"/>
          <w:kern w:val="2"/>
          <w:szCs w:val="24"/>
        </w:rPr>
        <w:t>（10）产品资质：饮用水卫生安全产品卫生许可批件；</w:t>
      </w:r>
    </w:p>
    <w:p w14:paraId="172F7F3A">
      <w:pPr>
        <w:pStyle w:val="14"/>
        <w:widowControl/>
        <w:spacing w:line="560" w:lineRule="exact"/>
      </w:pPr>
      <w:r>
        <w:rPr>
          <w:rFonts w:hint="eastAsia" w:ascii="仿宋" w:hAnsi="仿宋" w:eastAsia="仿宋" w:cs="仿宋"/>
          <w:kern w:val="2"/>
          <w:szCs w:val="24"/>
        </w:rPr>
        <w:t>（11）开水需带童锁键；</w:t>
      </w:r>
    </w:p>
    <w:p w14:paraId="5A4A41EE">
      <w:pPr>
        <w:pStyle w:val="14"/>
        <w:widowControl/>
        <w:spacing w:line="560" w:lineRule="exact"/>
      </w:pPr>
      <w:r>
        <w:rPr>
          <w:rFonts w:hint="eastAsia" w:ascii="仿宋" w:hAnsi="仿宋" w:eastAsia="仿宋" w:cs="仿宋"/>
          <w:kern w:val="2"/>
          <w:szCs w:val="24"/>
        </w:rPr>
        <w:t>（12）防触电类型≥I类。</w:t>
      </w:r>
    </w:p>
    <w:p w14:paraId="21393F72">
      <w:pPr>
        <w:pStyle w:val="14"/>
        <w:widowControl/>
        <w:spacing w:line="560" w:lineRule="exact"/>
        <w:jc w:val="both"/>
        <w:rPr>
          <w:b/>
          <w:bCs/>
        </w:rPr>
      </w:pPr>
      <w:r>
        <w:rPr>
          <w:rFonts w:hint="eastAsia" w:ascii="仿宋" w:hAnsi="仿宋" w:eastAsia="仿宋" w:cs="仿宋"/>
          <w:b/>
          <w:bCs/>
          <w:color w:val="0D0D0D"/>
          <w:kern w:val="2"/>
          <w:szCs w:val="24"/>
        </w:rPr>
        <w:t>3、机器三参数</w:t>
      </w:r>
    </w:p>
    <w:p w14:paraId="39A87D72">
      <w:pPr>
        <w:pStyle w:val="14"/>
        <w:widowControl/>
        <w:spacing w:line="560" w:lineRule="exact"/>
        <w:rPr>
          <w:rFonts w:hint="eastAsia" w:ascii="仿宋" w:hAnsi="仿宋" w:eastAsia="仿宋" w:cs="仿宋"/>
          <w:kern w:val="2"/>
          <w:szCs w:val="24"/>
        </w:rPr>
      </w:pPr>
      <w:r>
        <w:rPr>
          <w:rFonts w:hint="eastAsia" w:ascii="仿宋" w:hAnsi="仿宋" w:eastAsia="仿宋" w:cs="仿宋"/>
          <w:kern w:val="2"/>
          <w:szCs w:val="24"/>
        </w:rPr>
        <w:t>（1）内胆材质：食品级不锈钢304或316。</w:t>
      </w:r>
    </w:p>
    <w:p w14:paraId="7A080F7F">
      <w:pPr>
        <w:pStyle w:val="14"/>
        <w:widowControl/>
        <w:spacing w:line="560" w:lineRule="exact"/>
        <w:rPr>
          <w:rFonts w:hint="eastAsia" w:ascii="仿宋" w:hAnsi="仿宋" w:eastAsia="仿宋" w:cs="仿宋"/>
          <w:kern w:val="2"/>
          <w:szCs w:val="24"/>
        </w:rPr>
      </w:pPr>
      <w:r>
        <w:rPr>
          <w:rFonts w:hint="eastAsia" w:ascii="仿宋" w:hAnsi="仿宋" w:eastAsia="仿宋" w:cs="仿宋"/>
          <w:kern w:val="2"/>
          <w:szCs w:val="24"/>
        </w:rPr>
        <w:t>（2）加热管材质：食品级800（NS111）合金材质。</w:t>
      </w:r>
    </w:p>
    <w:p w14:paraId="3115D116">
      <w:pPr>
        <w:pStyle w:val="14"/>
        <w:widowControl/>
        <w:spacing w:line="560" w:lineRule="exact"/>
      </w:pPr>
      <w:r>
        <w:rPr>
          <w:rFonts w:hint="eastAsia" w:ascii="仿宋" w:hAnsi="仿宋" w:eastAsia="仿宋" w:cs="仿宋"/>
          <w:kern w:val="2"/>
          <w:szCs w:val="24"/>
        </w:rPr>
        <w:t>（3）额定功率:≤6KW；</w:t>
      </w:r>
    </w:p>
    <w:p w14:paraId="66BF063D">
      <w:pPr>
        <w:pStyle w:val="14"/>
        <w:widowControl/>
        <w:spacing w:line="560" w:lineRule="exact"/>
      </w:pPr>
      <w:r>
        <w:rPr>
          <w:rFonts w:hint="eastAsia" w:ascii="仿宋" w:hAnsi="仿宋" w:eastAsia="仿宋" w:cs="仿宋"/>
          <w:kern w:val="2"/>
          <w:szCs w:val="24"/>
        </w:rPr>
        <w:t>（4）额定电压：380V（三相五线）；</w:t>
      </w:r>
    </w:p>
    <w:p w14:paraId="5D67454E">
      <w:pPr>
        <w:pStyle w:val="14"/>
        <w:widowControl/>
        <w:spacing w:line="560" w:lineRule="exact"/>
      </w:pPr>
      <w:r>
        <w:rPr>
          <w:rFonts w:hint="eastAsia" w:ascii="仿宋" w:hAnsi="仿宋" w:eastAsia="仿宋" w:cs="仿宋"/>
          <w:kern w:val="2"/>
          <w:szCs w:val="24"/>
        </w:rPr>
        <w:t>（5）出水量:≥90L/H；</w:t>
      </w:r>
    </w:p>
    <w:p w14:paraId="60ADF86C">
      <w:pPr>
        <w:pStyle w:val="14"/>
        <w:widowControl/>
        <w:spacing w:line="560" w:lineRule="exact"/>
      </w:pPr>
      <w:r>
        <w:rPr>
          <w:rFonts w:hint="eastAsia" w:ascii="仿宋" w:hAnsi="仿宋" w:eastAsia="仿宋" w:cs="仿宋"/>
          <w:kern w:val="2"/>
          <w:szCs w:val="24"/>
        </w:rPr>
        <w:t>（6）水箱容量≥60L；</w:t>
      </w:r>
    </w:p>
    <w:p w14:paraId="2C395327">
      <w:pPr>
        <w:pStyle w:val="14"/>
        <w:widowControl/>
        <w:spacing w:line="560" w:lineRule="exact"/>
      </w:pPr>
      <w:r>
        <w:rPr>
          <w:rFonts w:hint="eastAsia" w:ascii="仿宋" w:hAnsi="仿宋" w:eastAsia="仿宋" w:cs="仿宋"/>
          <w:kern w:val="2"/>
          <w:szCs w:val="24"/>
        </w:rPr>
        <w:t>（7）出水方式:一热一直饮，可按要求设定水温；</w:t>
      </w:r>
    </w:p>
    <w:p w14:paraId="23F9DABD">
      <w:pPr>
        <w:pStyle w:val="14"/>
        <w:widowControl/>
        <w:spacing w:line="560" w:lineRule="exact"/>
      </w:pPr>
      <w:r>
        <w:rPr>
          <w:rFonts w:hint="eastAsia" w:ascii="仿宋" w:hAnsi="仿宋" w:eastAsia="仿宋" w:cs="仿宋"/>
          <w:kern w:val="2"/>
          <w:szCs w:val="24"/>
        </w:rPr>
        <w:t>（8）过滤方式:五级反渗透过滤（RO膜、聚丙烯棉、颗粒活性炭、压缩活性炭、后置抑菌活性炭），过滤精度为 0.0001微米，水质TDS值检测不超过30PPM；</w:t>
      </w:r>
    </w:p>
    <w:p w14:paraId="0B1BC626">
      <w:pPr>
        <w:pStyle w:val="14"/>
        <w:widowControl/>
        <w:spacing w:line="560" w:lineRule="exact"/>
      </w:pPr>
      <w:r>
        <w:rPr>
          <w:rFonts w:hint="eastAsia" w:ascii="仿宋" w:hAnsi="仿宋" w:eastAsia="仿宋" w:cs="仿宋"/>
          <w:kern w:val="2"/>
          <w:szCs w:val="24"/>
        </w:rPr>
        <w:t>（9）产品保护方式:自动开关机时间，自动防干烧、自动漏电保护、自动缺水保护、自动超温保护、机器表面温度接近常温、故障自检知；</w:t>
      </w:r>
    </w:p>
    <w:p w14:paraId="5B630BCB">
      <w:pPr>
        <w:pStyle w:val="14"/>
        <w:widowControl/>
        <w:spacing w:line="560" w:lineRule="exact"/>
      </w:pPr>
      <w:r>
        <w:rPr>
          <w:rFonts w:hint="eastAsia" w:ascii="仿宋" w:hAnsi="仿宋" w:eastAsia="仿宋" w:cs="仿宋"/>
          <w:kern w:val="2"/>
          <w:szCs w:val="24"/>
        </w:rPr>
        <w:t>（10）产品资质：饮用水卫生安全产品卫生许可批件；</w:t>
      </w:r>
    </w:p>
    <w:p w14:paraId="64A5D318">
      <w:pPr>
        <w:pStyle w:val="14"/>
        <w:widowControl/>
        <w:spacing w:line="560" w:lineRule="exact"/>
      </w:pPr>
      <w:r>
        <w:rPr>
          <w:rFonts w:hint="eastAsia" w:ascii="仿宋" w:hAnsi="仿宋" w:eastAsia="仿宋" w:cs="仿宋"/>
          <w:kern w:val="2"/>
          <w:szCs w:val="24"/>
        </w:rPr>
        <w:t>（11）开水需带童锁键；</w:t>
      </w:r>
    </w:p>
    <w:p w14:paraId="13292CA3">
      <w:pPr>
        <w:pStyle w:val="14"/>
        <w:widowControl/>
        <w:spacing w:line="560" w:lineRule="exact"/>
      </w:pPr>
      <w:r>
        <w:rPr>
          <w:rFonts w:hint="eastAsia" w:ascii="仿宋" w:hAnsi="仿宋" w:eastAsia="仿宋" w:cs="仿宋"/>
          <w:kern w:val="2"/>
          <w:szCs w:val="24"/>
        </w:rPr>
        <w:t>（12）防触电类型≥I类。</w:t>
      </w:r>
    </w:p>
    <w:p w14:paraId="7E5BEB45">
      <w:pPr>
        <w:pStyle w:val="14"/>
        <w:widowControl/>
        <w:spacing w:line="560" w:lineRule="exact"/>
        <w:jc w:val="both"/>
        <w:rPr>
          <w:b/>
          <w:bCs/>
        </w:rPr>
      </w:pPr>
      <w:r>
        <w:rPr>
          <w:rFonts w:hint="eastAsia" w:ascii="仿宋" w:hAnsi="仿宋" w:eastAsia="仿宋" w:cs="仿宋"/>
          <w:b/>
          <w:bCs/>
          <w:color w:val="0D0D0D"/>
          <w:kern w:val="2"/>
          <w:szCs w:val="24"/>
        </w:rPr>
        <w:t>4、机器四参数</w:t>
      </w:r>
    </w:p>
    <w:p w14:paraId="7EC7B043">
      <w:pPr>
        <w:pStyle w:val="14"/>
        <w:widowControl/>
        <w:spacing w:line="560" w:lineRule="exact"/>
        <w:rPr>
          <w:rFonts w:hint="eastAsia" w:ascii="仿宋" w:hAnsi="仿宋" w:eastAsia="仿宋" w:cs="仿宋"/>
          <w:kern w:val="2"/>
          <w:szCs w:val="24"/>
        </w:rPr>
      </w:pPr>
      <w:r>
        <w:rPr>
          <w:rFonts w:hint="eastAsia" w:ascii="仿宋" w:hAnsi="仿宋" w:eastAsia="仿宋" w:cs="仿宋"/>
          <w:kern w:val="2"/>
          <w:szCs w:val="24"/>
        </w:rPr>
        <w:t>（1）内胆材质：食品级不锈钢304或316。</w:t>
      </w:r>
    </w:p>
    <w:p w14:paraId="06E4F07F">
      <w:pPr>
        <w:pStyle w:val="14"/>
        <w:widowControl/>
        <w:spacing w:line="560" w:lineRule="exact"/>
        <w:rPr>
          <w:rFonts w:hint="eastAsia" w:ascii="仿宋" w:hAnsi="仿宋" w:eastAsia="仿宋" w:cs="仿宋"/>
          <w:kern w:val="2"/>
          <w:szCs w:val="24"/>
        </w:rPr>
      </w:pPr>
      <w:r>
        <w:rPr>
          <w:rFonts w:hint="eastAsia" w:ascii="仿宋" w:hAnsi="仿宋" w:eastAsia="仿宋" w:cs="仿宋"/>
          <w:kern w:val="2"/>
          <w:szCs w:val="24"/>
        </w:rPr>
        <w:t>（2）加热管材质：食品级800（NS111）合金材质。</w:t>
      </w:r>
    </w:p>
    <w:p w14:paraId="0C11A712">
      <w:pPr>
        <w:pStyle w:val="14"/>
        <w:widowControl/>
        <w:spacing w:line="560" w:lineRule="exact"/>
      </w:pPr>
      <w:r>
        <w:rPr>
          <w:rFonts w:hint="eastAsia" w:ascii="仿宋" w:hAnsi="仿宋" w:eastAsia="仿宋" w:cs="仿宋"/>
          <w:kern w:val="2"/>
          <w:szCs w:val="24"/>
        </w:rPr>
        <w:t>（3）额定功率:≤6KW；</w:t>
      </w:r>
    </w:p>
    <w:p w14:paraId="12EE87E7">
      <w:pPr>
        <w:pStyle w:val="14"/>
        <w:widowControl/>
        <w:spacing w:line="560" w:lineRule="exact"/>
      </w:pPr>
      <w:r>
        <w:rPr>
          <w:rFonts w:hint="eastAsia" w:ascii="仿宋" w:hAnsi="仿宋" w:eastAsia="仿宋" w:cs="仿宋"/>
          <w:kern w:val="2"/>
          <w:szCs w:val="24"/>
        </w:rPr>
        <w:t>（4）额定电压：380V（三相四线）；</w:t>
      </w:r>
    </w:p>
    <w:p w14:paraId="31195A06">
      <w:pPr>
        <w:pStyle w:val="14"/>
        <w:widowControl/>
        <w:spacing w:line="560" w:lineRule="exact"/>
      </w:pPr>
      <w:r>
        <w:rPr>
          <w:rFonts w:hint="eastAsia" w:ascii="仿宋" w:hAnsi="仿宋" w:eastAsia="仿宋" w:cs="仿宋"/>
          <w:kern w:val="2"/>
          <w:szCs w:val="24"/>
        </w:rPr>
        <w:t>（5）出水量:≥75L/H；</w:t>
      </w:r>
    </w:p>
    <w:p w14:paraId="52B191F2">
      <w:pPr>
        <w:pStyle w:val="14"/>
        <w:widowControl/>
        <w:spacing w:line="560" w:lineRule="exact"/>
      </w:pPr>
      <w:r>
        <w:rPr>
          <w:rFonts w:hint="eastAsia" w:ascii="仿宋" w:hAnsi="仿宋" w:eastAsia="仿宋" w:cs="仿宋"/>
          <w:kern w:val="2"/>
          <w:szCs w:val="24"/>
        </w:rPr>
        <w:t>（6）水箱容量≥28L；</w:t>
      </w:r>
    </w:p>
    <w:p w14:paraId="02B06B04">
      <w:pPr>
        <w:pStyle w:val="14"/>
        <w:widowControl/>
        <w:spacing w:line="560" w:lineRule="exact"/>
      </w:pPr>
      <w:r>
        <w:rPr>
          <w:rFonts w:hint="eastAsia" w:ascii="仿宋" w:hAnsi="仿宋" w:eastAsia="仿宋" w:cs="仿宋"/>
          <w:kern w:val="2"/>
          <w:szCs w:val="24"/>
        </w:rPr>
        <w:t>（7）出水方式:双热型，水质TDS值检测不超过200PPM；</w:t>
      </w:r>
    </w:p>
    <w:p w14:paraId="42481A75">
      <w:pPr>
        <w:pStyle w:val="14"/>
        <w:widowControl/>
        <w:spacing w:line="560" w:lineRule="exact"/>
      </w:pPr>
      <w:r>
        <w:rPr>
          <w:rFonts w:hint="eastAsia" w:ascii="仿宋" w:hAnsi="仿宋" w:eastAsia="仿宋" w:cs="仿宋"/>
          <w:kern w:val="2"/>
          <w:szCs w:val="24"/>
        </w:rPr>
        <w:t>（8）产品保护方式:自动防干烧、自动漏电保护、自动缺水保护、自动超温保护、机器表面温度接近常温；</w:t>
      </w:r>
    </w:p>
    <w:p w14:paraId="38F31D1D">
      <w:pPr>
        <w:pStyle w:val="14"/>
        <w:widowControl/>
        <w:spacing w:line="560" w:lineRule="exact"/>
      </w:pPr>
      <w:r>
        <w:rPr>
          <w:rFonts w:hint="eastAsia" w:ascii="仿宋" w:hAnsi="仿宋" w:eastAsia="仿宋" w:cs="仿宋"/>
          <w:kern w:val="2"/>
          <w:szCs w:val="24"/>
        </w:rPr>
        <w:t>（9）产品资质：饮用水卫生安全产品卫生许可批件；</w:t>
      </w:r>
    </w:p>
    <w:p w14:paraId="1274A910">
      <w:pPr>
        <w:pStyle w:val="14"/>
        <w:widowControl/>
        <w:spacing w:line="560" w:lineRule="exact"/>
        <w:rPr>
          <w:rFonts w:ascii="Times New Roman" w:hAnsi="Times New Roman" w:eastAsia="仿宋"/>
          <w:b/>
          <w:bCs/>
          <w:szCs w:val="24"/>
        </w:rPr>
      </w:pPr>
      <w:r>
        <w:rPr>
          <w:rFonts w:hint="eastAsia" w:ascii="仿宋" w:hAnsi="仿宋" w:eastAsia="仿宋" w:cs="仿宋"/>
          <w:kern w:val="2"/>
          <w:szCs w:val="24"/>
        </w:rPr>
        <w:t>（10）防触电类型≥I类。</w:t>
      </w:r>
    </w:p>
    <w:p w14:paraId="4463C488">
      <w:pPr>
        <w:pStyle w:val="16"/>
        <w:numPr>
          <w:ilvl w:val="0"/>
          <w:numId w:val="13"/>
        </w:numPr>
        <w:spacing w:line="560" w:lineRule="exact"/>
        <w:rPr>
          <w:rFonts w:ascii="Times New Roman" w:hAnsi="Times New Roman" w:eastAsia="仿宋" w:cs="Times New Roman"/>
          <w:b/>
          <w:bCs/>
          <w:sz w:val="24"/>
          <w:szCs w:val="24"/>
        </w:rPr>
      </w:pPr>
      <w:r>
        <w:rPr>
          <w:rFonts w:hint="eastAsia" w:ascii="Times New Roman" w:hAnsi="Times New Roman" w:eastAsia="仿宋" w:cs="Times New Roman"/>
          <w:b/>
          <w:bCs/>
          <w:sz w:val="24"/>
          <w:szCs w:val="24"/>
        </w:rPr>
        <w:t>服务要求</w:t>
      </w:r>
    </w:p>
    <w:p w14:paraId="2DA91A68">
      <w:pPr>
        <w:pStyle w:val="14"/>
        <w:widowControl/>
        <w:spacing w:line="560" w:lineRule="exact"/>
        <w:ind w:firstLine="480"/>
      </w:pPr>
      <w:r>
        <w:rPr>
          <w:rFonts w:hint="eastAsia" w:ascii="仿宋" w:hAnsi="仿宋" w:eastAsia="仿宋" w:cs="仿宋"/>
          <w:color w:val="0D0D0D"/>
          <w:kern w:val="2"/>
          <w:szCs w:val="24"/>
        </w:rPr>
        <w:t>1、供应商需按医院要求提供足量的以上四种类型电开水器。</w:t>
      </w:r>
    </w:p>
    <w:p w14:paraId="12A2EFA6">
      <w:pPr>
        <w:pStyle w:val="14"/>
        <w:widowControl/>
        <w:spacing w:line="560" w:lineRule="exact"/>
        <w:ind w:firstLine="480"/>
      </w:pPr>
      <w:r>
        <w:rPr>
          <w:rFonts w:hint="eastAsia" w:ascii="仿宋" w:hAnsi="仿宋" w:eastAsia="仿宋" w:cs="仿宋"/>
          <w:color w:val="0D0D0D"/>
          <w:kern w:val="2"/>
          <w:szCs w:val="24"/>
        </w:rPr>
        <w:t>2、本项目为按实结算，供应商报价包含电开水器的租赁费和维修维护费，采购人不再额外支付其他费用。     </w:t>
      </w:r>
    </w:p>
    <w:p w14:paraId="170FDFBF">
      <w:pPr>
        <w:pStyle w:val="14"/>
        <w:widowControl/>
        <w:spacing w:line="560" w:lineRule="exact"/>
        <w:ind w:firstLine="480"/>
      </w:pPr>
      <w:r>
        <w:rPr>
          <w:rFonts w:hint="eastAsia" w:ascii="仿宋" w:hAnsi="仿宋" w:eastAsia="仿宋" w:cs="仿宋"/>
          <w:color w:val="0D0D0D"/>
          <w:kern w:val="2"/>
          <w:szCs w:val="24"/>
        </w:rPr>
        <w:t>3、供应商需对每台电开水器制作服务台卡（附于开水器旁），服务台卡内容包括：机器编号、机器型号、服务项目、运行状况、处理情况、处理日期。</w:t>
      </w:r>
    </w:p>
    <w:p w14:paraId="17E05B12">
      <w:pPr>
        <w:pStyle w:val="14"/>
        <w:widowControl/>
        <w:spacing w:line="560" w:lineRule="exact"/>
        <w:ind w:firstLine="480"/>
      </w:pPr>
      <w:r>
        <w:rPr>
          <w:rFonts w:hint="eastAsia" w:ascii="仿宋" w:hAnsi="仿宋" w:eastAsia="仿宋" w:cs="仿宋"/>
          <w:color w:val="0D0D0D"/>
          <w:kern w:val="2"/>
          <w:szCs w:val="24"/>
        </w:rPr>
        <w:t>4、机器一、二、三，每年更换RO膜不少于1次，每年更换滤芯（包含聚丙烯棉、颗粒活性炭、压缩活性炭、后置抑菌活性炭）不少于2次，记录于服务台卡上。机器四每年进行不低于2次设备保养（包含水箱除垢、水龙头除垢、探针除垢、加热管除垢等），记录于服务台卡上。</w:t>
      </w:r>
    </w:p>
    <w:p w14:paraId="6AFCE187">
      <w:pPr>
        <w:pStyle w:val="14"/>
        <w:widowControl/>
        <w:spacing w:line="560" w:lineRule="exact"/>
        <w:ind w:firstLine="480"/>
      </w:pPr>
      <w:r>
        <w:rPr>
          <w:rFonts w:hint="eastAsia" w:ascii="仿宋" w:hAnsi="仿宋" w:eastAsia="仿宋" w:cs="仿宋"/>
          <w:color w:val="0D0D0D"/>
          <w:kern w:val="2"/>
          <w:szCs w:val="24"/>
        </w:rPr>
        <w:t>5、</w:t>
      </w:r>
      <w:r>
        <w:rPr>
          <w:rFonts w:hint="eastAsia" w:ascii="仿宋" w:hAnsi="仿宋" w:eastAsia="仿宋" w:cs="仿宋"/>
          <w:kern w:val="2"/>
          <w:szCs w:val="24"/>
        </w:rPr>
        <w:t>每月巡检一次，对设备进行维护检修(包含:水龙头检测、电源线路检测、管道是否有漏水现象、水质TDS值检测)，巡检情况记录于服务台卡上。</w:t>
      </w:r>
    </w:p>
    <w:p w14:paraId="63790C13">
      <w:pPr>
        <w:pStyle w:val="14"/>
        <w:widowControl/>
        <w:spacing w:line="560" w:lineRule="exact"/>
        <w:ind w:firstLine="480"/>
        <w:jc w:val="both"/>
      </w:pPr>
      <w:r>
        <w:rPr>
          <w:rFonts w:hint="eastAsia" w:ascii="仿宋" w:hAnsi="仿宋" w:eastAsia="仿宋" w:cs="仿宋"/>
          <w:color w:val="0D0D0D"/>
          <w:kern w:val="2"/>
          <w:szCs w:val="24"/>
        </w:rPr>
        <w:t>6、平时维修维护，接到科室的报修需求后，对供应商提供的各类租赁电开水器行维修维护，包括不出水、水量小、不制热、水温不达标、滴水漏水、堵塞、水龙头坏、冒水蒸气、屏幕不显示、有异味等故障，确保电开水器的正常使用需求。</w:t>
      </w:r>
    </w:p>
    <w:p w14:paraId="5AB52511">
      <w:pPr>
        <w:pStyle w:val="14"/>
        <w:widowControl/>
        <w:spacing w:line="560" w:lineRule="exact"/>
        <w:ind w:firstLine="480"/>
      </w:pPr>
      <w:r>
        <w:rPr>
          <w:rFonts w:hint="eastAsia" w:ascii="仿宋" w:hAnsi="仿宋" w:eastAsia="仿宋" w:cs="仿宋"/>
          <w:color w:val="0D0D0D"/>
          <w:kern w:val="2"/>
          <w:szCs w:val="24"/>
        </w:rPr>
        <w:t>7、供应商应当根据各类开水器设备，备好常用维修配件，以保证常见故障的及时修复。</w:t>
      </w:r>
    </w:p>
    <w:p w14:paraId="57D1E683">
      <w:pPr>
        <w:pStyle w:val="14"/>
        <w:widowControl/>
        <w:spacing w:line="560" w:lineRule="exact"/>
        <w:ind w:firstLine="480"/>
        <w:rPr>
          <w:rFonts w:hint="eastAsia" w:ascii="仿宋" w:hAnsi="仿宋" w:eastAsia="仿宋" w:cs="仿宋"/>
          <w:color w:val="0D0D0D"/>
          <w:kern w:val="2"/>
          <w:szCs w:val="24"/>
        </w:rPr>
      </w:pPr>
      <w:r>
        <w:rPr>
          <w:rFonts w:hint="eastAsia" w:ascii="仿宋" w:hAnsi="仿宋" w:eastAsia="仿宋" w:cs="仿宋"/>
          <w:color w:val="0D0D0D"/>
          <w:kern w:val="2"/>
          <w:szCs w:val="24"/>
        </w:rPr>
        <w:t>8、专业维修技术人员要求：不少于2人，需持有健康证和低压电工作业证。</w:t>
      </w:r>
    </w:p>
    <w:p w14:paraId="60ECC5FD">
      <w:pPr>
        <w:pStyle w:val="14"/>
        <w:widowControl/>
        <w:spacing w:line="560" w:lineRule="exact"/>
        <w:ind w:firstLine="480"/>
      </w:pPr>
      <w:r>
        <w:rPr>
          <w:rFonts w:hint="eastAsia" w:ascii="仿宋" w:hAnsi="仿宋" w:eastAsia="仿宋" w:cs="仿宋"/>
          <w:color w:val="0D0D0D"/>
          <w:kern w:val="2"/>
          <w:szCs w:val="24"/>
        </w:rPr>
        <w:t>9、业绩要求：供应商须提供自 2023 年 1 月 1 日以来至少 1 个类似业绩（类似业绩是指：开水器或净水器租赁</w:t>
      </w:r>
      <w:r>
        <w:rPr>
          <w:rFonts w:hint="eastAsia" w:ascii="仿宋" w:hAnsi="仿宋" w:eastAsia="仿宋" w:cs="仿宋"/>
          <w:color w:val="0D0D0D"/>
          <w:kern w:val="2"/>
          <w:szCs w:val="24"/>
          <w:lang w:val="en-US" w:eastAsia="zh-CN"/>
        </w:rPr>
        <w:t>或维护</w:t>
      </w:r>
      <w:r>
        <w:rPr>
          <w:rFonts w:hint="eastAsia" w:ascii="仿宋" w:hAnsi="仿宋" w:eastAsia="仿宋" w:cs="仿宋"/>
          <w:color w:val="0D0D0D"/>
          <w:kern w:val="2"/>
          <w:szCs w:val="24"/>
        </w:rPr>
        <w:t>服务），响应文件中须提供业绩合同复印件（加盖公章）。</w:t>
      </w:r>
    </w:p>
    <w:p w14:paraId="453CEA06">
      <w:pPr>
        <w:pStyle w:val="14"/>
        <w:widowControl/>
        <w:spacing w:line="560" w:lineRule="exact"/>
        <w:ind w:firstLine="480"/>
        <w:rPr>
          <w:rFonts w:ascii="Times New Roman" w:hAnsi="Times New Roman" w:eastAsia="仿宋"/>
          <w:b/>
          <w:bCs/>
          <w:szCs w:val="24"/>
        </w:rPr>
      </w:pPr>
      <w:r>
        <w:rPr>
          <w:rFonts w:hint="eastAsia" w:ascii="仿宋" w:hAnsi="仿宋" w:eastAsia="仿宋" w:cs="仿宋"/>
          <w:color w:val="0D0D0D"/>
          <w:kern w:val="2"/>
          <w:szCs w:val="24"/>
        </w:rPr>
        <w:t>10、安全生产要求：服务人员安全、作业安全和其他与本项目有关的安全均由</w:t>
      </w:r>
      <w:r>
        <w:rPr>
          <w:rFonts w:hint="eastAsia" w:ascii="仿宋" w:hAnsi="仿宋" w:eastAsia="仿宋" w:cs="仿宋"/>
          <w:color w:val="0D0D0D"/>
          <w:kern w:val="2"/>
          <w:szCs w:val="24"/>
          <w:lang w:eastAsia="zh-CN"/>
        </w:rPr>
        <w:t>成交</w:t>
      </w:r>
      <w:r>
        <w:rPr>
          <w:rFonts w:hint="eastAsia" w:ascii="仿宋" w:hAnsi="仿宋" w:eastAsia="仿宋" w:cs="仿宋"/>
          <w:color w:val="0D0D0D"/>
          <w:kern w:val="2"/>
          <w:szCs w:val="24"/>
        </w:rPr>
        <w:t>供应商负责。</w:t>
      </w:r>
    </w:p>
    <w:p w14:paraId="5F98BFC7">
      <w:pPr>
        <w:pStyle w:val="16"/>
        <w:numPr>
          <w:ilvl w:val="0"/>
          <w:numId w:val="13"/>
        </w:numPr>
        <w:spacing w:line="560" w:lineRule="exact"/>
        <w:rPr>
          <w:rFonts w:ascii="Times New Roman" w:hAnsi="Times New Roman" w:eastAsia="仿宋" w:cs="Times New Roman"/>
          <w:b/>
          <w:bCs/>
          <w:sz w:val="24"/>
          <w:szCs w:val="24"/>
        </w:rPr>
      </w:pPr>
      <w:r>
        <w:rPr>
          <w:rFonts w:hint="eastAsia" w:ascii="Times New Roman" w:hAnsi="Times New Roman" w:eastAsia="仿宋" w:cs="Times New Roman"/>
          <w:b/>
          <w:bCs/>
          <w:sz w:val="24"/>
          <w:szCs w:val="24"/>
        </w:rPr>
        <w:t>维保响应要求</w:t>
      </w:r>
    </w:p>
    <w:p w14:paraId="6F7E11B2">
      <w:pPr>
        <w:pStyle w:val="14"/>
        <w:widowControl/>
        <w:spacing w:line="560" w:lineRule="exact"/>
        <w:ind w:firstLine="482"/>
        <w:rPr>
          <w:rFonts w:ascii="仿宋" w:hAnsi="仿宋" w:eastAsia="仿宋" w:cs="仿宋"/>
          <w:color w:val="0D0D0D"/>
          <w:kern w:val="2"/>
          <w:szCs w:val="24"/>
        </w:rPr>
      </w:pPr>
      <w:r>
        <w:rPr>
          <w:rFonts w:hint="eastAsia" w:ascii="仿宋" w:hAnsi="仿宋" w:eastAsia="仿宋" w:cs="仿宋"/>
          <w:color w:val="0D0D0D"/>
          <w:kern w:val="2"/>
          <w:szCs w:val="24"/>
        </w:rPr>
        <w:t xml:space="preserve"> 1、</w:t>
      </w:r>
      <w:r>
        <w:rPr>
          <w:rFonts w:hint="default" w:ascii="仿宋" w:hAnsi="仿宋" w:eastAsia="仿宋" w:cs="新宋体"/>
          <w:sz w:val="24"/>
          <w:szCs w:val="24"/>
          <w:lang w:val="en-US" w:eastAsia="zh-CN"/>
        </w:rPr>
        <w:t>本项目实施期间，需与四川省人民医院后勤智慧运维管理平台(开发企业：南京天溯自动化控制系统有限公司)既有系统完成对接，开发企业及采购人不收取接口费用。</w:t>
      </w:r>
      <w:r>
        <w:rPr>
          <w:rFonts w:hint="eastAsia" w:ascii="仿宋" w:hAnsi="仿宋" w:eastAsia="仿宋" w:cs="新宋体"/>
          <w:sz w:val="24"/>
          <w:szCs w:val="24"/>
          <w:lang w:val="en-US" w:eastAsia="zh-CN"/>
        </w:rPr>
        <w:t>供应商接受工单派发、进度追踪、结果评价。供应商提供24小时服务，确保各类设备设施处于安全正常运行状态。若电开水器出现问题，须派人现场解决。供应商接到报修通知后，在1小时内响应，3小时内到达现场进行维修，平均工单完成时间在8小时内。</w:t>
      </w:r>
    </w:p>
    <w:p w14:paraId="463EB94A">
      <w:pPr>
        <w:pStyle w:val="16"/>
        <w:numPr>
          <w:ilvl w:val="0"/>
          <w:numId w:val="12"/>
        </w:numPr>
        <w:spacing w:line="560" w:lineRule="exact"/>
        <w:ind w:firstLine="420"/>
        <w:rPr>
          <w:rFonts w:ascii="Times New Roman" w:hAnsi="Times New Roman" w:eastAsia="仿宋" w:cs="Times New Roman"/>
          <w:sz w:val="24"/>
          <w:szCs w:val="24"/>
        </w:rPr>
      </w:pPr>
      <w:r>
        <w:rPr>
          <w:rFonts w:hint="eastAsia" w:ascii="仿宋" w:hAnsi="仿宋" w:eastAsia="仿宋" w:cs="仿宋"/>
          <w:b/>
          <w:bCs/>
          <w:sz w:val="24"/>
          <w:szCs w:val="24"/>
        </w:rPr>
        <w:t>★</w:t>
      </w:r>
      <w:r>
        <w:rPr>
          <w:rFonts w:ascii="Times New Roman" w:hAnsi="Times New Roman" w:eastAsia="仿宋" w:cs="Times New Roman"/>
          <w:b/>
          <w:bCs/>
          <w:sz w:val="24"/>
          <w:szCs w:val="24"/>
        </w:rPr>
        <w:t>商务要求：</w:t>
      </w:r>
    </w:p>
    <w:p w14:paraId="0A4723B2">
      <w:pPr>
        <w:pStyle w:val="16"/>
        <w:spacing w:line="560" w:lineRule="exact"/>
        <w:ind w:firstLine="0"/>
        <w:rPr>
          <w:rFonts w:ascii="仿宋" w:hAnsi="仿宋" w:eastAsia="仿宋" w:cs="仿宋"/>
          <w:kern w:val="0"/>
          <w:sz w:val="24"/>
          <w:szCs w:val="24"/>
          <w:lang w:bidi="ar"/>
        </w:rPr>
      </w:pPr>
      <w:r>
        <w:rPr>
          <w:rFonts w:hint="eastAsia" w:ascii="仿宋" w:hAnsi="仿宋" w:eastAsia="仿宋" w:cs="仿宋"/>
          <w:kern w:val="0"/>
          <w:sz w:val="24"/>
          <w:szCs w:val="24"/>
          <w:lang w:bidi="ar"/>
        </w:rPr>
        <w:t>1.付款方式：每满半年支付一次费用，根据实际租赁数量进行据实结算，不足一月，费用按当月天数进行换算，供应商须根据本项目成交单价及实际服务情况向采购人提供结算费用清单进行确认，并在确认后5日内按清单金额向采购人提供合法有效票据及其他相关请款资料，采购人接到上述票据及资料后的55日内，向供应商全额支付上述结算费用。支付上限45万元/年。如存在因考核等原因导致的扣款，应在支付前予以扣除。</w:t>
      </w:r>
    </w:p>
    <w:p w14:paraId="47AC5354">
      <w:pPr>
        <w:pStyle w:val="16"/>
        <w:spacing w:line="560" w:lineRule="exact"/>
        <w:ind w:firstLine="0"/>
        <w:rPr>
          <w:rFonts w:ascii="仿宋" w:hAnsi="仿宋" w:eastAsia="仿宋" w:cs="仿宋"/>
          <w:kern w:val="0"/>
          <w:sz w:val="24"/>
          <w:szCs w:val="24"/>
          <w:lang w:bidi="ar"/>
        </w:rPr>
      </w:pPr>
      <w:r>
        <w:rPr>
          <w:rFonts w:hint="eastAsia" w:ascii="仿宋" w:hAnsi="仿宋" w:eastAsia="仿宋" w:cs="仿宋"/>
          <w:kern w:val="0"/>
          <w:sz w:val="24"/>
          <w:szCs w:val="24"/>
          <w:lang w:bidi="ar"/>
        </w:rPr>
        <w:t>2.服务地点：四川省人民医院（包括院本部、草堂病区、皮研所、龙泉院区、温江三医中心、温江区域检验中心、中和科研基地）</w:t>
      </w:r>
    </w:p>
    <w:p w14:paraId="2EA52BE2">
      <w:pPr>
        <w:pStyle w:val="16"/>
        <w:spacing w:line="560" w:lineRule="exact"/>
        <w:ind w:firstLine="0"/>
        <w:rPr>
          <w:rFonts w:ascii="仿宋" w:hAnsi="仿宋" w:eastAsia="仿宋" w:cs="仿宋"/>
          <w:kern w:val="0"/>
          <w:sz w:val="24"/>
          <w:szCs w:val="24"/>
          <w:lang w:bidi="ar"/>
        </w:rPr>
      </w:pPr>
      <w:r>
        <w:rPr>
          <w:rFonts w:hint="eastAsia" w:ascii="仿宋" w:hAnsi="仿宋" w:eastAsia="仿宋" w:cs="仿宋"/>
          <w:sz w:val="24"/>
          <w:szCs w:val="24"/>
        </w:rPr>
        <w:t>3.</w:t>
      </w:r>
      <w:r>
        <w:rPr>
          <w:rFonts w:hint="eastAsia" w:ascii="仿宋" w:hAnsi="仿宋" w:eastAsia="仿宋" w:cs="仿宋"/>
          <w:color w:val="0D0D0D"/>
          <w:sz w:val="24"/>
          <w:szCs w:val="24"/>
        </w:rPr>
        <w:t>服务期限：自2026年</w:t>
      </w:r>
      <w:r>
        <w:rPr>
          <w:rFonts w:hint="eastAsia" w:ascii="仿宋" w:hAnsi="仿宋" w:eastAsia="仿宋" w:cs="仿宋"/>
          <w:color w:val="0D0D0D"/>
          <w:sz w:val="24"/>
          <w:szCs w:val="24"/>
          <w:lang w:val="en-US" w:eastAsia="zh-CN"/>
        </w:rPr>
        <w:t>9</w:t>
      </w:r>
      <w:r>
        <w:rPr>
          <w:rFonts w:hint="eastAsia" w:ascii="仿宋" w:hAnsi="仿宋" w:eastAsia="仿宋" w:cs="仿宋"/>
          <w:color w:val="0D0D0D"/>
          <w:sz w:val="24"/>
          <w:szCs w:val="24"/>
        </w:rPr>
        <w:t>月1</w:t>
      </w:r>
      <w:r>
        <w:rPr>
          <w:rFonts w:hint="eastAsia" w:ascii="仿宋" w:hAnsi="仿宋" w:eastAsia="仿宋" w:cs="仿宋"/>
          <w:color w:val="0D0D0D"/>
          <w:sz w:val="24"/>
          <w:szCs w:val="24"/>
          <w:lang w:val="en-US" w:eastAsia="zh-CN"/>
        </w:rPr>
        <w:t>8</w:t>
      </w:r>
      <w:r>
        <w:rPr>
          <w:rFonts w:hint="eastAsia" w:ascii="仿宋" w:hAnsi="仿宋" w:eastAsia="仿宋" w:cs="仿宋"/>
          <w:color w:val="0D0D0D"/>
          <w:sz w:val="24"/>
          <w:szCs w:val="24"/>
        </w:rPr>
        <w:t>日-2029年</w:t>
      </w:r>
      <w:r>
        <w:rPr>
          <w:rFonts w:hint="eastAsia" w:ascii="仿宋" w:hAnsi="仿宋" w:eastAsia="仿宋" w:cs="仿宋"/>
          <w:color w:val="0D0D0D"/>
          <w:sz w:val="24"/>
          <w:szCs w:val="24"/>
          <w:lang w:val="en-US" w:eastAsia="zh-CN"/>
        </w:rPr>
        <w:t>9</w:t>
      </w:r>
      <w:r>
        <w:rPr>
          <w:rFonts w:hint="eastAsia" w:ascii="仿宋" w:hAnsi="仿宋" w:eastAsia="仿宋" w:cs="仿宋"/>
          <w:color w:val="0D0D0D"/>
          <w:sz w:val="24"/>
          <w:szCs w:val="24"/>
        </w:rPr>
        <w:t>月1</w:t>
      </w:r>
      <w:r>
        <w:rPr>
          <w:rFonts w:hint="eastAsia" w:ascii="仿宋" w:hAnsi="仿宋" w:eastAsia="仿宋" w:cs="仿宋"/>
          <w:color w:val="0D0D0D"/>
          <w:sz w:val="24"/>
          <w:szCs w:val="24"/>
          <w:lang w:val="en-US" w:eastAsia="zh-CN"/>
        </w:rPr>
        <w:t>7</w:t>
      </w:r>
      <w:r>
        <w:rPr>
          <w:rFonts w:hint="eastAsia" w:ascii="仿宋" w:hAnsi="仿宋" w:eastAsia="仿宋" w:cs="仿宋"/>
          <w:color w:val="0D0D0D"/>
          <w:sz w:val="24"/>
          <w:szCs w:val="24"/>
        </w:rPr>
        <w:t>日，若合同签订生效之日晚于2026年</w:t>
      </w:r>
      <w:r>
        <w:rPr>
          <w:rFonts w:hint="eastAsia" w:ascii="仿宋" w:hAnsi="仿宋" w:eastAsia="仿宋" w:cs="仿宋"/>
          <w:color w:val="0D0D0D"/>
          <w:sz w:val="24"/>
          <w:szCs w:val="24"/>
          <w:lang w:val="en-US" w:eastAsia="zh-CN"/>
        </w:rPr>
        <w:t>9</w:t>
      </w:r>
      <w:r>
        <w:rPr>
          <w:rFonts w:hint="eastAsia" w:ascii="仿宋" w:hAnsi="仿宋" w:eastAsia="仿宋" w:cs="仿宋"/>
          <w:color w:val="0D0D0D"/>
          <w:sz w:val="24"/>
          <w:szCs w:val="24"/>
        </w:rPr>
        <w:t>月1</w:t>
      </w:r>
      <w:r>
        <w:rPr>
          <w:rFonts w:hint="eastAsia" w:ascii="仿宋" w:hAnsi="仿宋" w:eastAsia="仿宋" w:cs="仿宋"/>
          <w:color w:val="0D0D0D"/>
          <w:sz w:val="24"/>
          <w:szCs w:val="24"/>
          <w:lang w:val="en-US" w:eastAsia="zh-CN"/>
        </w:rPr>
        <w:t>8</w:t>
      </w:r>
      <w:r>
        <w:rPr>
          <w:rFonts w:hint="eastAsia" w:ascii="仿宋" w:hAnsi="仿宋" w:eastAsia="仿宋" w:cs="仿宋"/>
          <w:color w:val="0D0D0D"/>
          <w:sz w:val="24"/>
          <w:szCs w:val="24"/>
        </w:rPr>
        <w:t>日，则以合同签订之日作为服务期起始时间，服务期3年，合同一年一签，经采购人考核合格后，续签下一年度合同。</w:t>
      </w:r>
    </w:p>
    <w:p w14:paraId="30945A2B">
      <w:pPr>
        <w:pStyle w:val="16"/>
        <w:spacing w:line="560" w:lineRule="exact"/>
        <w:ind w:firstLine="0"/>
        <w:rPr>
          <w:rFonts w:ascii="仿宋" w:hAnsi="仿宋" w:eastAsia="仿宋" w:cs="仿宋"/>
          <w:sz w:val="24"/>
          <w:szCs w:val="24"/>
        </w:rPr>
      </w:pPr>
      <w:r>
        <w:rPr>
          <w:rFonts w:hint="eastAsia" w:ascii="仿宋" w:hAnsi="仿宋" w:eastAsia="仿宋" w:cs="仿宋"/>
          <w:sz w:val="24"/>
          <w:szCs w:val="24"/>
        </w:rPr>
        <w:t>4.验收方案：</w:t>
      </w:r>
    </w:p>
    <w:p w14:paraId="1802DA8A">
      <w:pPr>
        <w:pStyle w:val="6"/>
        <w:spacing w:line="560" w:lineRule="exact"/>
        <w:rPr>
          <w:rFonts w:ascii="仿宋" w:hAnsi="仿宋" w:eastAsia="仿宋" w:cs="仿宋"/>
          <w:color w:val="0D0D0D"/>
          <w:sz w:val="24"/>
          <w:szCs w:val="24"/>
        </w:rPr>
      </w:pPr>
      <w:r>
        <w:rPr>
          <w:rFonts w:hint="eastAsia" w:ascii="仿宋" w:hAnsi="仿宋" w:eastAsia="仿宋" w:cs="仿宋"/>
          <w:color w:val="0D0D0D"/>
          <w:sz w:val="24"/>
          <w:szCs w:val="24"/>
        </w:rPr>
        <w:t>(1)验收时间：供应商完成服务期内每月的服务内容后，5日内通知采购人验收，采购人接供应商通知后10日内组织验收。</w:t>
      </w:r>
    </w:p>
    <w:p w14:paraId="23D55B85">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(2)验收主体：采购人；</w:t>
      </w:r>
    </w:p>
    <w:p w14:paraId="64EB06E1">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(3)验收方式：考核验收；</w:t>
      </w:r>
    </w:p>
    <w:p w14:paraId="60D9DFC2">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(4)验收程序：分期/分段验收；</w:t>
      </w:r>
    </w:p>
    <w:p w14:paraId="6D1EF9C4">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(5)验收内容:按照基于本项目采购需求编制的采购文件要求及供应商响应文件情况，由供应商向采购人提供的</w:t>
      </w:r>
      <w:r>
        <w:rPr>
          <w:rFonts w:hint="eastAsia" w:ascii="仿宋" w:hAnsi="仿宋" w:eastAsia="仿宋" w:cs="仿宋"/>
          <w:color w:val="0D0D0D"/>
          <w:kern w:val="2"/>
          <w:szCs w:val="24"/>
          <w:lang w:val="en-US" w:eastAsia="zh-CN"/>
        </w:rPr>
        <w:t>当月</w:t>
      </w:r>
      <w:r>
        <w:rPr>
          <w:rFonts w:hint="eastAsia" w:ascii="仿宋" w:hAnsi="仿宋" w:eastAsia="仿宋" w:cs="仿宋"/>
          <w:color w:val="0D0D0D"/>
          <w:kern w:val="2"/>
          <w:szCs w:val="24"/>
        </w:rPr>
        <w:t>全部服务的履约情况；</w:t>
      </w:r>
    </w:p>
    <w:p w14:paraId="4BC1A221">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(6)验收组织方式：自行验收；</w:t>
      </w:r>
    </w:p>
    <w:p w14:paraId="2EBF2DD6">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(7)是否邀请本项目的其它供应商:否;</w:t>
      </w:r>
    </w:p>
    <w:p w14:paraId="143FCA27">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(8)是否邀请专家：否；</w:t>
      </w:r>
    </w:p>
    <w:p w14:paraId="414829DF">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(9)是否邀请服务对象：否；</w:t>
      </w:r>
    </w:p>
    <w:p w14:paraId="4579CB89">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(10)是否邀请第三方检测机构:否</w:t>
      </w:r>
    </w:p>
    <w:p w14:paraId="383818C4">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(11)验收标准：</w:t>
      </w:r>
    </w:p>
    <w:p w14:paraId="3BC0449C">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1)国家相关法律法规、行业标准、技术规范。</w:t>
      </w:r>
    </w:p>
    <w:p w14:paraId="0FD9D2FA">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2)基于本项目采购需求编制的采购文件相关技术、服务要求、供应商响应文件相关响应内容。</w:t>
      </w:r>
    </w:p>
    <w:p w14:paraId="6CCE253C">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3)产品生产厂家出具的产品说明书、技术白皮书、医疗器械注册证或备案凭证等官方技术资料（如涉及）。</w:t>
      </w:r>
    </w:p>
    <w:p w14:paraId="302DC536">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4)如验收时，采购人与供应商认为本项目验收标准中的技术指标、质量要求等内容存在相互抵触或对其理解存在异议，应按照其中更严格的要求、标准等进行验收。</w:t>
      </w:r>
    </w:p>
    <w:p w14:paraId="2DE468AC">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5).按照《财政部关于进一步加强政府采购需求和履约验收管理的指导意见》（财库〔2016〕205号）的要求进行验收。（如本项目不涉及政府采购，将参照此条款）。</w:t>
      </w:r>
    </w:p>
    <w:p w14:paraId="51F03A09">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6)如本项目验收方式为考核验收，则考核结果须为合格。</w:t>
      </w:r>
    </w:p>
    <w:p w14:paraId="437BC812">
      <w:pPr>
        <w:pStyle w:val="14"/>
        <w:widowControl/>
        <w:autoSpaceDE w:val="0"/>
        <w:spacing w:beforeAutospacing="0" w:afterAutospacing="0" w:line="560" w:lineRule="exact"/>
        <w:ind w:firstLine="480" w:firstLineChars="200"/>
        <w:rPr>
          <w:rFonts w:ascii="仿宋" w:hAnsi="仿宋" w:eastAsia="仿宋" w:cs="仿宋"/>
          <w:color w:val="0D0D0D"/>
          <w:kern w:val="2"/>
          <w:szCs w:val="24"/>
        </w:rPr>
      </w:pPr>
      <w:r>
        <w:rPr>
          <w:rFonts w:hint="eastAsia" w:ascii="仿宋" w:hAnsi="仿宋" w:eastAsia="仿宋" w:cs="仿宋"/>
          <w:color w:val="0D0D0D"/>
          <w:kern w:val="2"/>
          <w:szCs w:val="24"/>
        </w:rPr>
        <w:t>7)其它标准:无</w:t>
      </w:r>
    </w:p>
    <w:p w14:paraId="0D64946D">
      <w:pPr>
        <w:pStyle w:val="14"/>
        <w:widowControl/>
        <w:numPr>
          <w:ilvl w:val="0"/>
          <w:numId w:val="14"/>
        </w:numPr>
        <w:autoSpaceDE w:val="0"/>
        <w:spacing w:beforeAutospacing="0" w:afterAutospacing="0" w:line="560" w:lineRule="exact"/>
        <w:ind w:left="479" w:leftChars="228"/>
        <w:rPr>
          <w:rFonts w:ascii="仿宋" w:hAnsi="仿宋" w:eastAsia="仿宋" w:cs="仿宋"/>
          <w:szCs w:val="24"/>
        </w:rPr>
      </w:pPr>
      <w:r>
        <w:rPr>
          <w:rFonts w:hint="eastAsia" w:ascii="仿宋" w:hAnsi="仿宋" w:eastAsia="仿宋" w:cs="仿宋"/>
          <w:color w:val="0D0D0D"/>
          <w:kern w:val="2"/>
          <w:szCs w:val="24"/>
        </w:rPr>
        <w:t>履约验收其它事项：无</w:t>
      </w:r>
    </w:p>
    <w:p w14:paraId="65AE62F9">
      <w:pPr>
        <w:pStyle w:val="14"/>
        <w:widowControl/>
        <w:numPr>
          <w:ilvl w:val="0"/>
          <w:numId w:val="14"/>
        </w:numPr>
        <w:autoSpaceDE w:val="0"/>
        <w:spacing w:beforeAutospacing="0" w:afterAutospacing="0" w:line="560" w:lineRule="exact"/>
        <w:ind w:left="479" w:leftChars="228"/>
        <w:rPr>
          <w:rFonts w:ascii="仿宋" w:hAnsi="仿宋" w:eastAsia="仿宋" w:cs="仿宋"/>
          <w:szCs w:val="24"/>
        </w:rPr>
      </w:pPr>
      <w:r>
        <w:rPr>
          <w:rFonts w:hint="eastAsia" w:ascii="仿宋" w:hAnsi="仿宋" w:eastAsia="仿宋" w:cs="仿宋"/>
          <w:szCs w:val="24"/>
          <w:lang w:val="en-US" w:eastAsia="zh-CN"/>
        </w:rPr>
        <w:t>附件：考核表</w:t>
      </w:r>
    </w:p>
    <w:tbl>
      <w:tblPr>
        <w:tblStyle w:val="18"/>
        <w:tblW w:w="5000" w:type="pct"/>
        <w:tblInd w:w="0" w:type="dxa"/>
        <w:tblLayout w:type="autofit"/>
        <w:tblCellMar>
          <w:top w:w="0" w:type="dxa"/>
          <w:left w:w="108" w:type="dxa"/>
          <w:bottom w:w="0" w:type="dxa"/>
          <w:right w:w="108" w:type="dxa"/>
        </w:tblCellMar>
      </w:tblPr>
      <w:tblGrid>
        <w:gridCol w:w="1574"/>
        <w:gridCol w:w="1309"/>
        <w:gridCol w:w="1397"/>
        <w:gridCol w:w="836"/>
        <w:gridCol w:w="3940"/>
        <w:gridCol w:w="798"/>
      </w:tblGrid>
      <w:tr w14:paraId="2C7AE16C">
        <w:tblPrEx>
          <w:tblCellMar>
            <w:top w:w="0" w:type="dxa"/>
            <w:left w:w="108" w:type="dxa"/>
            <w:bottom w:w="0" w:type="dxa"/>
            <w:right w:w="108" w:type="dxa"/>
          </w:tblCellMar>
        </w:tblPrEx>
        <w:trPr>
          <w:trHeight w:val="360" w:hRule="atLeast"/>
        </w:trPr>
        <w:tc>
          <w:tcPr>
            <w:tcW w:w="5000" w:type="pct"/>
            <w:gridSpan w:val="6"/>
            <w:tcBorders>
              <w:top w:val="nil"/>
              <w:left w:val="nil"/>
              <w:bottom w:val="nil"/>
              <w:right w:val="nil"/>
            </w:tcBorders>
            <w:shd w:val="clear" w:color="auto" w:fill="auto"/>
            <w:vAlign w:val="center"/>
          </w:tcPr>
          <w:p w14:paraId="7BDBAFB2">
            <w:pPr>
              <w:widowControl/>
              <w:jc w:val="center"/>
              <w:textAlignment w:val="center"/>
              <w:rPr>
                <w:rFonts w:ascii="仿宋" w:hAnsi="仿宋" w:eastAsia="仿宋" w:cs="仿宋"/>
                <w:b/>
                <w:bCs/>
                <w:color w:val="000000"/>
                <w:sz w:val="28"/>
                <w:szCs w:val="28"/>
              </w:rPr>
            </w:pPr>
            <w:r>
              <w:rPr>
                <w:rFonts w:hint="eastAsia" w:ascii="仿宋" w:hAnsi="仿宋" w:eastAsia="仿宋" w:cs="仿宋"/>
                <w:b/>
                <w:bCs/>
                <w:color w:val="000000"/>
                <w:kern w:val="0"/>
                <w:sz w:val="28"/>
                <w:szCs w:val="28"/>
                <w:lang w:bidi="ar"/>
              </w:rPr>
              <w:t>四川省人民医院电开水器租赁服务月度考核表</w:t>
            </w:r>
          </w:p>
        </w:tc>
      </w:tr>
      <w:tr w14:paraId="7E568447">
        <w:tblPrEx>
          <w:tblCellMar>
            <w:top w:w="0" w:type="dxa"/>
            <w:left w:w="108" w:type="dxa"/>
            <w:bottom w:w="0" w:type="dxa"/>
            <w:right w:w="108" w:type="dxa"/>
          </w:tblCellMar>
        </w:tblPrEx>
        <w:trPr>
          <w:trHeight w:val="480" w:hRule="atLeast"/>
        </w:trPr>
        <w:tc>
          <w:tcPr>
            <w:tcW w:w="799" w:type="pct"/>
            <w:tcBorders>
              <w:top w:val="nil"/>
              <w:left w:val="nil"/>
              <w:bottom w:val="nil"/>
              <w:right w:val="nil"/>
            </w:tcBorders>
            <w:shd w:val="clear" w:color="auto" w:fill="auto"/>
            <w:vAlign w:val="center"/>
          </w:tcPr>
          <w:p w14:paraId="467BE98A">
            <w:pPr>
              <w:widowControl/>
              <w:jc w:val="left"/>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考核月份：</w:t>
            </w:r>
          </w:p>
        </w:tc>
        <w:tc>
          <w:tcPr>
            <w:tcW w:w="664" w:type="pct"/>
            <w:tcBorders>
              <w:top w:val="nil"/>
              <w:left w:val="nil"/>
              <w:bottom w:val="nil"/>
              <w:right w:val="nil"/>
            </w:tcBorders>
            <w:shd w:val="clear" w:color="auto" w:fill="auto"/>
            <w:vAlign w:val="center"/>
          </w:tcPr>
          <w:p w14:paraId="0A6DB17D">
            <w:pPr>
              <w:widowControl/>
              <w:jc w:val="left"/>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202_年__月</w:t>
            </w:r>
          </w:p>
        </w:tc>
        <w:tc>
          <w:tcPr>
            <w:tcW w:w="709" w:type="pct"/>
            <w:tcBorders>
              <w:top w:val="nil"/>
              <w:left w:val="nil"/>
              <w:bottom w:val="nil"/>
              <w:right w:val="nil"/>
            </w:tcBorders>
            <w:shd w:val="clear" w:color="auto" w:fill="auto"/>
            <w:vAlign w:val="center"/>
          </w:tcPr>
          <w:p w14:paraId="5A5DF93A">
            <w:pPr>
              <w:jc w:val="left"/>
              <w:rPr>
                <w:rFonts w:ascii="仿宋" w:hAnsi="仿宋" w:eastAsia="仿宋" w:cs="仿宋"/>
                <w:b/>
                <w:bCs/>
                <w:color w:val="000000"/>
                <w:sz w:val="20"/>
                <w:szCs w:val="20"/>
              </w:rPr>
            </w:pPr>
          </w:p>
        </w:tc>
        <w:tc>
          <w:tcPr>
            <w:tcW w:w="424" w:type="pct"/>
            <w:tcBorders>
              <w:top w:val="nil"/>
              <w:left w:val="nil"/>
              <w:bottom w:val="nil"/>
              <w:right w:val="nil"/>
            </w:tcBorders>
            <w:shd w:val="clear" w:color="auto" w:fill="auto"/>
            <w:vAlign w:val="center"/>
          </w:tcPr>
          <w:p w14:paraId="7C601413">
            <w:pPr>
              <w:widowControl/>
              <w:jc w:val="left"/>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被考核单位（供应商）：</w:t>
            </w:r>
          </w:p>
        </w:tc>
        <w:tc>
          <w:tcPr>
            <w:tcW w:w="1999" w:type="pct"/>
            <w:tcBorders>
              <w:top w:val="nil"/>
              <w:left w:val="nil"/>
              <w:bottom w:val="nil"/>
              <w:right w:val="nil"/>
            </w:tcBorders>
            <w:shd w:val="clear" w:color="auto" w:fill="auto"/>
            <w:vAlign w:val="center"/>
          </w:tcPr>
          <w:p w14:paraId="3A551A7D">
            <w:pPr>
              <w:jc w:val="left"/>
              <w:rPr>
                <w:rFonts w:ascii="仿宋" w:hAnsi="仿宋" w:eastAsia="仿宋" w:cs="仿宋"/>
                <w:b/>
                <w:bCs/>
                <w:color w:val="000000"/>
                <w:sz w:val="20"/>
                <w:szCs w:val="20"/>
              </w:rPr>
            </w:pPr>
          </w:p>
        </w:tc>
        <w:tc>
          <w:tcPr>
            <w:tcW w:w="400" w:type="pct"/>
            <w:tcBorders>
              <w:top w:val="nil"/>
              <w:left w:val="nil"/>
              <w:bottom w:val="nil"/>
              <w:right w:val="nil"/>
            </w:tcBorders>
            <w:shd w:val="clear" w:color="auto" w:fill="auto"/>
            <w:vAlign w:val="center"/>
          </w:tcPr>
          <w:p w14:paraId="3471A9BB">
            <w:pPr>
              <w:jc w:val="left"/>
              <w:rPr>
                <w:rFonts w:ascii="仿宋" w:hAnsi="仿宋" w:eastAsia="仿宋" w:cs="仿宋"/>
                <w:color w:val="000000"/>
                <w:sz w:val="20"/>
                <w:szCs w:val="20"/>
              </w:rPr>
            </w:pPr>
          </w:p>
        </w:tc>
      </w:tr>
      <w:tr w14:paraId="3ACDA7B3">
        <w:tblPrEx>
          <w:tblCellMar>
            <w:top w:w="0" w:type="dxa"/>
            <w:left w:w="108" w:type="dxa"/>
            <w:bottom w:w="0" w:type="dxa"/>
            <w:right w:w="108" w:type="dxa"/>
          </w:tblCellMar>
        </w:tblPrEx>
        <w:trPr>
          <w:trHeight w:val="270" w:hRule="atLeast"/>
        </w:trPr>
        <w:tc>
          <w:tcPr>
            <w:tcW w:w="799" w:type="pct"/>
            <w:tcBorders>
              <w:top w:val="nil"/>
              <w:left w:val="nil"/>
              <w:bottom w:val="nil"/>
              <w:right w:val="nil"/>
            </w:tcBorders>
            <w:shd w:val="clear" w:color="auto" w:fill="auto"/>
            <w:vAlign w:val="center"/>
          </w:tcPr>
          <w:p w14:paraId="6E8DD8CB">
            <w:pPr>
              <w:widowControl/>
              <w:jc w:val="left"/>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考核部门：</w:t>
            </w:r>
          </w:p>
        </w:tc>
        <w:tc>
          <w:tcPr>
            <w:tcW w:w="664" w:type="pct"/>
            <w:tcBorders>
              <w:top w:val="nil"/>
              <w:left w:val="nil"/>
              <w:bottom w:val="nil"/>
              <w:right w:val="nil"/>
            </w:tcBorders>
            <w:shd w:val="clear" w:color="auto" w:fill="auto"/>
            <w:vAlign w:val="center"/>
          </w:tcPr>
          <w:p w14:paraId="2311C78F">
            <w:pPr>
              <w:widowControl/>
              <w:jc w:val="left"/>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后勤保障部</w:t>
            </w:r>
          </w:p>
        </w:tc>
        <w:tc>
          <w:tcPr>
            <w:tcW w:w="709" w:type="pct"/>
            <w:tcBorders>
              <w:top w:val="nil"/>
              <w:left w:val="nil"/>
              <w:bottom w:val="nil"/>
              <w:right w:val="nil"/>
            </w:tcBorders>
            <w:shd w:val="clear" w:color="auto" w:fill="auto"/>
            <w:vAlign w:val="center"/>
          </w:tcPr>
          <w:p w14:paraId="56EC7D66">
            <w:pPr>
              <w:jc w:val="left"/>
              <w:rPr>
                <w:rFonts w:ascii="仿宋" w:hAnsi="仿宋" w:eastAsia="仿宋" w:cs="仿宋"/>
                <w:b/>
                <w:bCs/>
                <w:color w:val="000000"/>
                <w:sz w:val="20"/>
                <w:szCs w:val="20"/>
              </w:rPr>
            </w:pPr>
          </w:p>
        </w:tc>
        <w:tc>
          <w:tcPr>
            <w:tcW w:w="424" w:type="pct"/>
            <w:tcBorders>
              <w:top w:val="nil"/>
              <w:left w:val="nil"/>
              <w:bottom w:val="nil"/>
              <w:right w:val="nil"/>
            </w:tcBorders>
            <w:shd w:val="clear" w:color="auto" w:fill="auto"/>
            <w:vAlign w:val="center"/>
          </w:tcPr>
          <w:p w14:paraId="7256EA34">
            <w:pPr>
              <w:jc w:val="left"/>
              <w:rPr>
                <w:rFonts w:ascii="仿宋" w:hAnsi="仿宋" w:eastAsia="仿宋" w:cs="仿宋"/>
                <w:color w:val="000000"/>
                <w:sz w:val="20"/>
                <w:szCs w:val="20"/>
              </w:rPr>
            </w:pPr>
          </w:p>
        </w:tc>
        <w:tc>
          <w:tcPr>
            <w:tcW w:w="1999" w:type="pct"/>
            <w:tcBorders>
              <w:top w:val="nil"/>
              <w:left w:val="nil"/>
              <w:bottom w:val="nil"/>
              <w:right w:val="nil"/>
            </w:tcBorders>
            <w:shd w:val="clear" w:color="auto" w:fill="auto"/>
            <w:vAlign w:val="center"/>
          </w:tcPr>
          <w:p w14:paraId="2FECEDC2">
            <w:pPr>
              <w:jc w:val="left"/>
              <w:rPr>
                <w:rFonts w:ascii="仿宋" w:hAnsi="仿宋" w:eastAsia="仿宋" w:cs="仿宋"/>
                <w:b/>
                <w:bCs/>
                <w:color w:val="000000"/>
                <w:sz w:val="20"/>
                <w:szCs w:val="20"/>
              </w:rPr>
            </w:pPr>
          </w:p>
        </w:tc>
        <w:tc>
          <w:tcPr>
            <w:tcW w:w="400" w:type="pct"/>
            <w:tcBorders>
              <w:top w:val="nil"/>
              <w:left w:val="nil"/>
              <w:bottom w:val="nil"/>
              <w:right w:val="nil"/>
            </w:tcBorders>
            <w:shd w:val="clear" w:color="auto" w:fill="auto"/>
            <w:vAlign w:val="center"/>
          </w:tcPr>
          <w:p w14:paraId="3B679240">
            <w:pPr>
              <w:jc w:val="left"/>
              <w:rPr>
                <w:rFonts w:ascii="仿宋" w:hAnsi="仿宋" w:eastAsia="仿宋" w:cs="仿宋"/>
                <w:color w:val="000000"/>
                <w:sz w:val="20"/>
                <w:szCs w:val="20"/>
              </w:rPr>
            </w:pPr>
          </w:p>
        </w:tc>
      </w:tr>
      <w:tr w14:paraId="0CB14E06">
        <w:tblPrEx>
          <w:tblCellMar>
            <w:top w:w="0" w:type="dxa"/>
            <w:left w:w="108" w:type="dxa"/>
            <w:bottom w:w="0" w:type="dxa"/>
            <w:right w:w="108" w:type="dxa"/>
          </w:tblCellMar>
        </w:tblPrEx>
        <w:trPr>
          <w:trHeight w:val="270" w:hRule="atLeast"/>
        </w:trPr>
        <w:tc>
          <w:tcPr>
            <w:tcW w:w="799"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7728361F">
            <w:pPr>
              <w:widowControl/>
              <w:jc w:val="center"/>
              <w:textAlignment w:val="center"/>
              <w:rPr>
                <w:rFonts w:ascii="仿宋" w:hAnsi="仿宋" w:eastAsia="仿宋" w:cs="仿宋"/>
                <w:b/>
                <w:bCs/>
                <w:color w:val="FFFFFF"/>
                <w:sz w:val="22"/>
              </w:rPr>
            </w:pPr>
            <w:r>
              <w:rPr>
                <w:rFonts w:hint="eastAsia" w:ascii="仿宋" w:hAnsi="仿宋" w:eastAsia="仿宋" w:cs="仿宋"/>
                <w:b/>
                <w:bCs/>
                <w:color w:val="FFFFFF"/>
                <w:kern w:val="0"/>
                <w:sz w:val="22"/>
                <w:lang w:bidi="ar"/>
              </w:rPr>
              <w:t>一级指标</w:t>
            </w:r>
          </w:p>
        </w:tc>
        <w:tc>
          <w:tcPr>
            <w:tcW w:w="664"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381479C7">
            <w:pPr>
              <w:widowControl/>
              <w:jc w:val="center"/>
              <w:textAlignment w:val="center"/>
              <w:rPr>
                <w:rFonts w:ascii="仿宋" w:hAnsi="仿宋" w:eastAsia="仿宋" w:cs="仿宋"/>
                <w:b/>
                <w:bCs/>
                <w:color w:val="FFFFFF"/>
                <w:sz w:val="22"/>
              </w:rPr>
            </w:pPr>
            <w:r>
              <w:rPr>
                <w:rFonts w:hint="eastAsia" w:ascii="仿宋" w:hAnsi="仿宋" w:eastAsia="仿宋" w:cs="仿宋"/>
                <w:b/>
                <w:bCs/>
                <w:color w:val="FFFFFF"/>
                <w:kern w:val="0"/>
                <w:sz w:val="22"/>
                <w:lang w:bidi="ar"/>
              </w:rPr>
              <w:t>二级指标（序号）</w:t>
            </w:r>
          </w:p>
        </w:tc>
        <w:tc>
          <w:tcPr>
            <w:tcW w:w="709"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52BC5ADF">
            <w:pPr>
              <w:widowControl/>
              <w:jc w:val="center"/>
              <w:textAlignment w:val="center"/>
              <w:rPr>
                <w:rFonts w:ascii="仿宋" w:hAnsi="仿宋" w:eastAsia="仿宋" w:cs="仿宋"/>
                <w:b/>
                <w:bCs/>
                <w:color w:val="FFFFFF"/>
                <w:sz w:val="22"/>
              </w:rPr>
            </w:pPr>
            <w:r>
              <w:rPr>
                <w:rFonts w:hint="eastAsia" w:ascii="仿宋" w:hAnsi="仿宋" w:eastAsia="仿宋" w:cs="仿宋"/>
                <w:b/>
                <w:bCs/>
                <w:color w:val="FFFFFF"/>
                <w:kern w:val="0"/>
                <w:sz w:val="22"/>
                <w:lang w:bidi="ar"/>
              </w:rPr>
              <w:t>考核项目</w:t>
            </w:r>
          </w:p>
        </w:tc>
        <w:tc>
          <w:tcPr>
            <w:tcW w:w="424"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601143BB">
            <w:pPr>
              <w:widowControl/>
              <w:jc w:val="center"/>
              <w:textAlignment w:val="center"/>
              <w:rPr>
                <w:rFonts w:ascii="仿宋" w:hAnsi="仿宋" w:eastAsia="仿宋" w:cs="仿宋"/>
                <w:b/>
                <w:bCs/>
                <w:color w:val="FFFFFF"/>
                <w:sz w:val="22"/>
              </w:rPr>
            </w:pPr>
            <w:r>
              <w:rPr>
                <w:rFonts w:hint="eastAsia" w:ascii="仿宋" w:hAnsi="仿宋" w:eastAsia="仿宋" w:cs="仿宋"/>
                <w:b/>
                <w:bCs/>
                <w:color w:val="FFFFFF"/>
                <w:kern w:val="0"/>
                <w:sz w:val="22"/>
                <w:lang w:bidi="ar"/>
              </w:rPr>
              <w:t>分值</w:t>
            </w:r>
          </w:p>
        </w:tc>
        <w:tc>
          <w:tcPr>
            <w:tcW w:w="1999"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3E300DFF">
            <w:pPr>
              <w:widowControl/>
              <w:jc w:val="center"/>
              <w:textAlignment w:val="center"/>
              <w:rPr>
                <w:rFonts w:ascii="仿宋" w:hAnsi="仿宋" w:eastAsia="仿宋" w:cs="仿宋"/>
                <w:b/>
                <w:bCs/>
                <w:color w:val="FFFFFF"/>
                <w:sz w:val="22"/>
              </w:rPr>
            </w:pPr>
            <w:r>
              <w:rPr>
                <w:rFonts w:hint="eastAsia" w:ascii="仿宋" w:hAnsi="仿宋" w:eastAsia="仿宋" w:cs="仿宋"/>
                <w:b/>
                <w:bCs/>
                <w:color w:val="FFFFFF"/>
                <w:kern w:val="0"/>
                <w:sz w:val="22"/>
                <w:lang w:bidi="ar"/>
              </w:rPr>
              <w:t>评分标准与扣分细则</w:t>
            </w:r>
          </w:p>
        </w:tc>
        <w:tc>
          <w:tcPr>
            <w:tcW w:w="400"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46B364DF">
            <w:pPr>
              <w:widowControl/>
              <w:jc w:val="center"/>
              <w:textAlignment w:val="center"/>
              <w:rPr>
                <w:rFonts w:ascii="仿宋" w:hAnsi="仿宋" w:eastAsia="仿宋" w:cs="仿宋"/>
                <w:b/>
                <w:bCs/>
                <w:color w:val="FFFFFF"/>
                <w:sz w:val="22"/>
              </w:rPr>
            </w:pPr>
            <w:r>
              <w:rPr>
                <w:rFonts w:hint="eastAsia" w:ascii="仿宋" w:hAnsi="仿宋" w:eastAsia="仿宋" w:cs="仿宋"/>
                <w:b/>
                <w:bCs/>
                <w:color w:val="FFFFFF"/>
                <w:kern w:val="0"/>
                <w:sz w:val="22"/>
                <w:lang w:bidi="ar"/>
              </w:rPr>
              <w:t>得分</w:t>
            </w:r>
          </w:p>
        </w:tc>
      </w:tr>
      <w:tr w14:paraId="1A0D70FB">
        <w:tblPrEx>
          <w:tblCellMar>
            <w:top w:w="0" w:type="dxa"/>
            <w:left w:w="108" w:type="dxa"/>
            <w:bottom w:w="0" w:type="dxa"/>
            <w:right w:w="108" w:type="dxa"/>
          </w:tblCellMar>
        </w:tblPrEx>
        <w:trPr>
          <w:trHeight w:val="765" w:hRule="atLeast"/>
        </w:trPr>
        <w:tc>
          <w:tcPr>
            <w:tcW w:w="799" w:type="pct"/>
            <w:vMerge w:val="restart"/>
            <w:tcBorders>
              <w:top w:val="single" w:color="000000" w:sz="4" w:space="0"/>
              <w:left w:val="single" w:color="000000" w:sz="4" w:space="0"/>
              <w:bottom w:val="single" w:color="000000" w:sz="4" w:space="0"/>
              <w:right w:val="single" w:color="000000" w:sz="4" w:space="0"/>
            </w:tcBorders>
            <w:shd w:val="clear" w:color="D9E1F2" w:fill="D9E1F2"/>
            <w:vAlign w:val="center"/>
          </w:tcPr>
          <w:p w14:paraId="05DACBD1">
            <w:pPr>
              <w:jc w:val="center"/>
              <w:rPr>
                <w:rFonts w:ascii="仿宋" w:hAnsi="仿宋" w:eastAsia="仿宋" w:cs="仿宋"/>
                <w:b/>
                <w:bCs/>
                <w:color w:val="000000"/>
                <w:sz w:val="20"/>
                <w:szCs w:val="20"/>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738F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6237D">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滤芯与RO膜更换</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7CA6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30</w:t>
            </w:r>
          </w:p>
        </w:tc>
        <w:tc>
          <w:tcPr>
            <w:tcW w:w="1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016B5">
            <w:pPr>
              <w:widowControl/>
              <w:jc w:val="left"/>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 未按频次更换（机器1-3每年换RO膜≥1次、滤芯≥2次；机器4每年保养≥2次），发现一次扣15分。</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 更换后未在服务台卡上如实记录，每处扣2分。</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A9C6C">
            <w:pPr>
              <w:jc w:val="center"/>
              <w:rPr>
                <w:rFonts w:ascii="仿宋" w:hAnsi="仿宋" w:eastAsia="仿宋" w:cs="仿宋"/>
                <w:color w:val="000000"/>
                <w:sz w:val="22"/>
              </w:rPr>
            </w:pPr>
          </w:p>
        </w:tc>
      </w:tr>
      <w:tr w14:paraId="34B4150C">
        <w:tblPrEx>
          <w:tblCellMar>
            <w:top w:w="0" w:type="dxa"/>
            <w:left w:w="108" w:type="dxa"/>
            <w:bottom w:w="0" w:type="dxa"/>
            <w:right w:w="108" w:type="dxa"/>
          </w:tblCellMar>
        </w:tblPrEx>
        <w:trPr>
          <w:trHeight w:val="765" w:hRule="atLeast"/>
        </w:trPr>
        <w:tc>
          <w:tcPr>
            <w:tcW w:w="799" w:type="pct"/>
            <w:vMerge w:val="continue"/>
            <w:tcBorders>
              <w:top w:val="single" w:color="000000" w:sz="4" w:space="0"/>
              <w:left w:val="single" w:color="000000" w:sz="4" w:space="0"/>
              <w:bottom w:val="single" w:color="000000" w:sz="4" w:space="0"/>
              <w:right w:val="single" w:color="000000" w:sz="4" w:space="0"/>
            </w:tcBorders>
            <w:shd w:val="clear" w:color="D9E1F2" w:fill="D9E1F2"/>
            <w:vAlign w:val="center"/>
          </w:tcPr>
          <w:p w14:paraId="43C9D0A3">
            <w:pPr>
              <w:jc w:val="center"/>
              <w:rPr>
                <w:rFonts w:ascii="仿宋" w:hAnsi="仿宋" w:eastAsia="仿宋" w:cs="仿宋"/>
                <w:b/>
                <w:bCs/>
                <w:color w:val="000000"/>
                <w:sz w:val="20"/>
                <w:szCs w:val="20"/>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E9C91">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12546">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月度巡检执行</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4DD8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10</w:t>
            </w:r>
          </w:p>
        </w:tc>
        <w:tc>
          <w:tcPr>
            <w:tcW w:w="1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E2317">
            <w:pPr>
              <w:widowControl/>
              <w:jc w:val="left"/>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 未按月对设备进行巡检（水龙头、线路、漏水、除垢等），缺检一台扣2分。</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 巡检记录卡填写不规范、无日期、无签名，每处扣1分。</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E95A4">
            <w:pPr>
              <w:jc w:val="center"/>
              <w:rPr>
                <w:rFonts w:ascii="仿宋" w:hAnsi="仿宋" w:eastAsia="仿宋" w:cs="仿宋"/>
                <w:color w:val="000000"/>
                <w:sz w:val="22"/>
              </w:rPr>
            </w:pPr>
          </w:p>
        </w:tc>
      </w:tr>
      <w:tr w14:paraId="75430CE5">
        <w:tblPrEx>
          <w:tblCellMar>
            <w:top w:w="0" w:type="dxa"/>
            <w:left w:w="108" w:type="dxa"/>
            <w:bottom w:w="0" w:type="dxa"/>
            <w:right w:w="108" w:type="dxa"/>
          </w:tblCellMar>
        </w:tblPrEx>
        <w:trPr>
          <w:trHeight w:val="765" w:hRule="atLeast"/>
        </w:trPr>
        <w:tc>
          <w:tcPr>
            <w:tcW w:w="799" w:type="pct"/>
            <w:vMerge w:val="restart"/>
            <w:tcBorders>
              <w:top w:val="single" w:color="000000" w:sz="4" w:space="0"/>
              <w:left w:val="single" w:color="000000" w:sz="4" w:space="0"/>
              <w:bottom w:val="single" w:color="000000" w:sz="4" w:space="0"/>
              <w:right w:val="single" w:color="000000" w:sz="4" w:space="0"/>
            </w:tcBorders>
            <w:shd w:val="clear" w:color="D9E1F2" w:fill="D9E1F2"/>
            <w:vAlign w:val="center"/>
          </w:tcPr>
          <w:p w14:paraId="532E95B3">
            <w:pPr>
              <w:jc w:val="center"/>
              <w:rPr>
                <w:rFonts w:ascii="仿宋" w:hAnsi="仿宋" w:eastAsia="仿宋" w:cs="仿宋"/>
                <w:b/>
                <w:bCs/>
                <w:color w:val="000000"/>
                <w:sz w:val="20"/>
                <w:szCs w:val="20"/>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A971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10C04">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响应与到场时效</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2B67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15</w:t>
            </w:r>
          </w:p>
        </w:tc>
        <w:tc>
          <w:tcPr>
            <w:tcW w:w="1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FFB12">
            <w:pPr>
              <w:widowControl/>
              <w:jc w:val="left"/>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 接到报修1小时内未响应，扣5分/次。</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 接到报修3小时内未到达现场，扣10分/次。</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 平均工单完成时间超过8小时，扣5分。</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09701">
            <w:pPr>
              <w:jc w:val="center"/>
              <w:rPr>
                <w:rFonts w:ascii="仿宋" w:hAnsi="仿宋" w:eastAsia="仿宋" w:cs="仿宋"/>
                <w:color w:val="000000"/>
                <w:sz w:val="22"/>
              </w:rPr>
            </w:pPr>
          </w:p>
        </w:tc>
      </w:tr>
      <w:tr w14:paraId="42497ADA">
        <w:tblPrEx>
          <w:tblCellMar>
            <w:top w:w="0" w:type="dxa"/>
            <w:left w:w="108" w:type="dxa"/>
            <w:bottom w:w="0" w:type="dxa"/>
            <w:right w:w="108" w:type="dxa"/>
          </w:tblCellMar>
        </w:tblPrEx>
        <w:trPr>
          <w:trHeight w:val="510" w:hRule="atLeast"/>
        </w:trPr>
        <w:tc>
          <w:tcPr>
            <w:tcW w:w="799" w:type="pct"/>
            <w:vMerge w:val="continue"/>
            <w:tcBorders>
              <w:top w:val="single" w:color="000000" w:sz="4" w:space="0"/>
              <w:left w:val="single" w:color="000000" w:sz="4" w:space="0"/>
              <w:bottom w:val="single" w:color="000000" w:sz="4" w:space="0"/>
              <w:right w:val="single" w:color="000000" w:sz="4" w:space="0"/>
            </w:tcBorders>
            <w:shd w:val="clear" w:color="D9E1F2" w:fill="D9E1F2"/>
            <w:vAlign w:val="center"/>
          </w:tcPr>
          <w:p w14:paraId="5B552F1D">
            <w:pPr>
              <w:jc w:val="center"/>
              <w:rPr>
                <w:rFonts w:ascii="仿宋" w:hAnsi="仿宋" w:eastAsia="仿宋" w:cs="仿宋"/>
                <w:b/>
                <w:bCs/>
                <w:color w:val="000000"/>
                <w:sz w:val="20"/>
                <w:szCs w:val="20"/>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490D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4</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A7536">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维修质量</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B774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10</w:t>
            </w:r>
          </w:p>
        </w:tc>
        <w:tc>
          <w:tcPr>
            <w:tcW w:w="1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A6955">
            <w:pPr>
              <w:widowControl/>
              <w:jc w:val="left"/>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 同一故障点在维修后7天内重复报修，扣5分/次。</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 维修后现场未清理（如遗留生料带、水渍），扣2分/次。</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E4D8F">
            <w:pPr>
              <w:jc w:val="center"/>
              <w:rPr>
                <w:rFonts w:ascii="仿宋" w:hAnsi="仿宋" w:eastAsia="仿宋" w:cs="仿宋"/>
                <w:color w:val="000000"/>
                <w:sz w:val="22"/>
              </w:rPr>
            </w:pPr>
          </w:p>
        </w:tc>
      </w:tr>
      <w:tr w14:paraId="5449821F">
        <w:tblPrEx>
          <w:tblCellMar>
            <w:top w:w="0" w:type="dxa"/>
            <w:left w:w="108" w:type="dxa"/>
            <w:bottom w:w="0" w:type="dxa"/>
            <w:right w:w="108" w:type="dxa"/>
          </w:tblCellMar>
        </w:tblPrEx>
        <w:trPr>
          <w:trHeight w:val="510" w:hRule="atLeast"/>
        </w:trPr>
        <w:tc>
          <w:tcPr>
            <w:tcW w:w="799" w:type="pct"/>
            <w:vMerge w:val="continue"/>
            <w:tcBorders>
              <w:top w:val="single" w:color="000000" w:sz="4" w:space="0"/>
              <w:left w:val="single" w:color="000000" w:sz="4" w:space="0"/>
              <w:bottom w:val="single" w:color="000000" w:sz="4" w:space="0"/>
              <w:right w:val="single" w:color="000000" w:sz="4" w:space="0"/>
            </w:tcBorders>
            <w:shd w:val="clear" w:color="D9E1F2" w:fill="D9E1F2"/>
            <w:vAlign w:val="center"/>
          </w:tcPr>
          <w:p w14:paraId="7D62120E">
            <w:pPr>
              <w:jc w:val="center"/>
              <w:rPr>
                <w:rFonts w:ascii="仿宋" w:hAnsi="仿宋" w:eastAsia="仿宋" w:cs="仿宋"/>
                <w:b/>
                <w:bCs/>
                <w:color w:val="000000"/>
                <w:sz w:val="20"/>
                <w:szCs w:val="20"/>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4112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5</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0DB5D">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备件管理</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344B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5</w:t>
            </w:r>
          </w:p>
        </w:tc>
        <w:tc>
          <w:tcPr>
            <w:tcW w:w="1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8EDAF">
            <w:pPr>
              <w:widowControl/>
              <w:jc w:val="left"/>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常用配件（水龙头、加热管等）储备不足，导致维修延误超过24小时，扣5分/次。</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939A2">
            <w:pPr>
              <w:jc w:val="center"/>
              <w:rPr>
                <w:rFonts w:ascii="仿宋" w:hAnsi="仿宋" w:eastAsia="仿宋" w:cs="仿宋"/>
                <w:color w:val="000000"/>
                <w:sz w:val="22"/>
              </w:rPr>
            </w:pPr>
          </w:p>
        </w:tc>
      </w:tr>
      <w:tr w14:paraId="371E4AEC">
        <w:tblPrEx>
          <w:tblCellMar>
            <w:top w:w="0" w:type="dxa"/>
            <w:left w:w="108" w:type="dxa"/>
            <w:bottom w:w="0" w:type="dxa"/>
            <w:right w:w="108" w:type="dxa"/>
          </w:tblCellMar>
        </w:tblPrEx>
        <w:trPr>
          <w:trHeight w:val="270" w:hRule="atLeast"/>
        </w:trPr>
        <w:tc>
          <w:tcPr>
            <w:tcW w:w="799" w:type="pct"/>
            <w:vMerge w:val="restart"/>
            <w:tcBorders>
              <w:top w:val="single" w:color="000000" w:sz="4" w:space="0"/>
              <w:left w:val="single" w:color="000000" w:sz="4" w:space="0"/>
              <w:bottom w:val="single" w:color="000000" w:sz="4" w:space="0"/>
              <w:right w:val="single" w:color="000000" w:sz="4" w:space="0"/>
            </w:tcBorders>
            <w:shd w:val="clear" w:color="D9E1F2" w:fill="D9E1F2"/>
            <w:vAlign w:val="center"/>
          </w:tcPr>
          <w:p w14:paraId="5B508FE2">
            <w:pPr>
              <w:jc w:val="center"/>
              <w:rPr>
                <w:rFonts w:ascii="仿宋" w:hAnsi="仿宋" w:eastAsia="仿宋" w:cs="仿宋"/>
                <w:b/>
                <w:bCs/>
                <w:color w:val="000000"/>
                <w:sz w:val="20"/>
                <w:szCs w:val="20"/>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4E14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6</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CBA9D">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智慧运维平台</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003B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6</w:t>
            </w:r>
          </w:p>
        </w:tc>
        <w:tc>
          <w:tcPr>
            <w:tcW w:w="1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748B2">
            <w:pPr>
              <w:widowControl/>
              <w:jc w:val="left"/>
              <w:textAlignment w:val="center"/>
              <w:rPr>
                <w:rFonts w:ascii="仿宋" w:hAnsi="仿宋" w:eastAsia="仿宋" w:cs="仿宋"/>
                <w:color w:val="000000"/>
                <w:sz w:val="20"/>
                <w:szCs w:val="20"/>
              </w:rPr>
            </w:pPr>
            <w:r>
              <w:rPr>
                <w:rStyle w:val="41"/>
                <w:rFonts w:hint="default" w:ascii="仿宋" w:hAnsi="仿宋" w:eastAsia="仿宋" w:cs="仿宋"/>
                <w:lang w:bidi="ar"/>
              </w:rPr>
              <w:t>1.工单在系统中流转不及时、状态更新滞后，扣</w:t>
            </w:r>
            <w:r>
              <w:rPr>
                <w:rStyle w:val="42"/>
                <w:rFonts w:hint="eastAsia" w:ascii="仿宋" w:hAnsi="仿宋" w:eastAsia="仿宋" w:cs="仿宋"/>
                <w:lang w:bidi="ar"/>
              </w:rPr>
              <w:t>2</w:t>
            </w:r>
            <w:r>
              <w:rPr>
                <w:rStyle w:val="41"/>
                <w:rFonts w:hint="default" w:ascii="仿宋" w:hAnsi="仿宋" w:eastAsia="仿宋" w:cs="仿宋"/>
                <w:lang w:bidi="ar"/>
              </w:rPr>
              <w:t>分</w:t>
            </w:r>
            <w:r>
              <w:rPr>
                <w:rStyle w:val="42"/>
                <w:rFonts w:hint="eastAsia" w:ascii="仿宋" w:hAnsi="仿宋" w:eastAsia="仿宋" w:cs="仿宋"/>
                <w:lang w:bidi="ar"/>
              </w:rPr>
              <w:t>/</w:t>
            </w:r>
            <w:r>
              <w:rPr>
                <w:rStyle w:val="41"/>
                <w:rFonts w:hint="default" w:ascii="仿宋" w:hAnsi="仿宋" w:eastAsia="仿宋" w:cs="仿宋"/>
                <w:lang w:bidi="ar"/>
              </w:rPr>
              <w:t>次。</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2C9F0">
            <w:pPr>
              <w:jc w:val="center"/>
              <w:rPr>
                <w:rFonts w:ascii="仿宋" w:hAnsi="仿宋" w:eastAsia="仿宋" w:cs="仿宋"/>
                <w:color w:val="000000"/>
                <w:sz w:val="22"/>
              </w:rPr>
            </w:pPr>
          </w:p>
        </w:tc>
      </w:tr>
      <w:tr w14:paraId="532492AB">
        <w:tblPrEx>
          <w:tblCellMar>
            <w:top w:w="0" w:type="dxa"/>
            <w:left w:w="108" w:type="dxa"/>
            <w:bottom w:w="0" w:type="dxa"/>
            <w:right w:w="108" w:type="dxa"/>
          </w:tblCellMar>
        </w:tblPrEx>
        <w:trPr>
          <w:trHeight w:val="270" w:hRule="atLeast"/>
        </w:trPr>
        <w:tc>
          <w:tcPr>
            <w:tcW w:w="799" w:type="pct"/>
            <w:vMerge w:val="continue"/>
            <w:tcBorders>
              <w:top w:val="single" w:color="000000" w:sz="4" w:space="0"/>
              <w:left w:val="single" w:color="000000" w:sz="4" w:space="0"/>
              <w:bottom w:val="single" w:color="000000" w:sz="4" w:space="0"/>
              <w:right w:val="single" w:color="000000" w:sz="4" w:space="0"/>
            </w:tcBorders>
            <w:shd w:val="clear" w:color="D9E1F2" w:fill="D9E1F2"/>
            <w:vAlign w:val="center"/>
          </w:tcPr>
          <w:p w14:paraId="01133424">
            <w:pPr>
              <w:jc w:val="center"/>
              <w:rPr>
                <w:rFonts w:ascii="仿宋" w:hAnsi="仿宋" w:eastAsia="仿宋" w:cs="仿宋"/>
                <w:b/>
                <w:bCs/>
                <w:color w:val="000000"/>
                <w:sz w:val="20"/>
                <w:szCs w:val="20"/>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0FD2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7</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F5F7F">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人员服务管理</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AF96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15</w:t>
            </w:r>
          </w:p>
        </w:tc>
        <w:tc>
          <w:tcPr>
            <w:tcW w:w="1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53D3B">
            <w:pPr>
              <w:widowControl/>
              <w:jc w:val="left"/>
              <w:textAlignment w:val="center"/>
              <w:rPr>
                <w:rFonts w:ascii="仿宋" w:hAnsi="仿宋" w:eastAsia="仿宋" w:cs="仿宋"/>
                <w:color w:val="000000"/>
                <w:sz w:val="20"/>
                <w:szCs w:val="20"/>
              </w:rPr>
            </w:pPr>
            <w:r>
              <w:rPr>
                <w:rStyle w:val="42"/>
                <w:rFonts w:hint="eastAsia" w:ascii="仿宋" w:hAnsi="仿宋" w:eastAsia="仿宋" w:cs="仿宋"/>
                <w:lang w:bidi="ar"/>
              </w:rPr>
              <w:t xml:space="preserve">1. </w:t>
            </w:r>
            <w:r>
              <w:rPr>
                <w:rStyle w:val="41"/>
                <w:rFonts w:hint="default" w:ascii="仿宋" w:hAnsi="仿宋" w:eastAsia="仿宋" w:cs="仿宋"/>
                <w:lang w:bidi="ar"/>
              </w:rPr>
              <w:t>维修人员服务态度被临床科室投诉，经查实扣</w:t>
            </w:r>
            <w:r>
              <w:rPr>
                <w:rStyle w:val="42"/>
                <w:rFonts w:hint="eastAsia" w:ascii="仿宋" w:hAnsi="仿宋" w:eastAsia="仿宋" w:cs="仿宋"/>
                <w:lang w:bidi="ar"/>
              </w:rPr>
              <w:t>5</w:t>
            </w:r>
            <w:r>
              <w:rPr>
                <w:rStyle w:val="41"/>
                <w:rFonts w:hint="default" w:ascii="仿宋" w:hAnsi="仿宋" w:eastAsia="仿宋" w:cs="仿宋"/>
                <w:lang w:bidi="ar"/>
              </w:rPr>
              <w:t>分</w:t>
            </w:r>
            <w:r>
              <w:rPr>
                <w:rStyle w:val="42"/>
                <w:rFonts w:hint="eastAsia" w:ascii="仿宋" w:hAnsi="仿宋" w:eastAsia="仿宋" w:cs="仿宋"/>
                <w:lang w:bidi="ar"/>
              </w:rPr>
              <w:t>/</w:t>
            </w:r>
            <w:r>
              <w:rPr>
                <w:rStyle w:val="41"/>
                <w:rFonts w:hint="default" w:ascii="仿宋" w:hAnsi="仿宋" w:eastAsia="仿宋" w:cs="仿宋"/>
                <w:lang w:bidi="ar"/>
              </w:rPr>
              <w:t>次。</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F53A8">
            <w:pPr>
              <w:jc w:val="center"/>
              <w:rPr>
                <w:rFonts w:ascii="仿宋" w:hAnsi="仿宋" w:eastAsia="仿宋" w:cs="仿宋"/>
                <w:color w:val="000000"/>
                <w:sz w:val="22"/>
              </w:rPr>
            </w:pPr>
          </w:p>
        </w:tc>
      </w:tr>
      <w:tr w14:paraId="3E3A7A95">
        <w:tblPrEx>
          <w:tblCellMar>
            <w:top w:w="0" w:type="dxa"/>
            <w:left w:w="108" w:type="dxa"/>
            <w:bottom w:w="0" w:type="dxa"/>
            <w:right w:w="108" w:type="dxa"/>
          </w:tblCellMar>
        </w:tblPrEx>
        <w:trPr>
          <w:trHeight w:val="270" w:hRule="atLeast"/>
        </w:trPr>
        <w:tc>
          <w:tcPr>
            <w:tcW w:w="799" w:type="pct"/>
            <w:vMerge w:val="restart"/>
            <w:tcBorders>
              <w:top w:val="single" w:color="000000" w:sz="4" w:space="0"/>
              <w:left w:val="single" w:color="000000" w:sz="4" w:space="0"/>
              <w:bottom w:val="single" w:color="000000" w:sz="4" w:space="0"/>
              <w:right w:val="single" w:color="000000" w:sz="4" w:space="0"/>
            </w:tcBorders>
            <w:shd w:val="clear" w:color="D9E1F2" w:fill="D9E1F2"/>
            <w:vAlign w:val="center"/>
          </w:tcPr>
          <w:p w14:paraId="6198C8AB">
            <w:pPr>
              <w:jc w:val="center"/>
              <w:rPr>
                <w:rFonts w:ascii="仿宋" w:hAnsi="仿宋" w:eastAsia="仿宋" w:cs="仿宋"/>
                <w:b/>
                <w:bCs/>
                <w:color w:val="000000"/>
                <w:sz w:val="20"/>
                <w:szCs w:val="20"/>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6523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8</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EAB48">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设备外观与卫生</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61B6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4</w:t>
            </w:r>
          </w:p>
        </w:tc>
        <w:tc>
          <w:tcPr>
            <w:tcW w:w="1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1ED01">
            <w:pPr>
              <w:widowControl/>
              <w:jc w:val="left"/>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机身表面脏污、有明显水垢、接水盘积水严重，每发现一处扣1分。</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D43A4">
            <w:pPr>
              <w:jc w:val="center"/>
              <w:rPr>
                <w:rFonts w:ascii="仿宋" w:hAnsi="仿宋" w:eastAsia="仿宋" w:cs="仿宋"/>
                <w:color w:val="000000"/>
                <w:sz w:val="22"/>
              </w:rPr>
            </w:pPr>
          </w:p>
        </w:tc>
      </w:tr>
      <w:tr w14:paraId="013B8226">
        <w:tblPrEx>
          <w:tblCellMar>
            <w:top w:w="0" w:type="dxa"/>
            <w:left w:w="108" w:type="dxa"/>
            <w:bottom w:w="0" w:type="dxa"/>
            <w:right w:w="108" w:type="dxa"/>
          </w:tblCellMar>
        </w:tblPrEx>
        <w:trPr>
          <w:trHeight w:val="765" w:hRule="atLeast"/>
        </w:trPr>
        <w:tc>
          <w:tcPr>
            <w:tcW w:w="799" w:type="pct"/>
            <w:vMerge w:val="continue"/>
            <w:tcBorders>
              <w:top w:val="single" w:color="000000" w:sz="4" w:space="0"/>
              <w:left w:val="single" w:color="000000" w:sz="4" w:space="0"/>
              <w:bottom w:val="single" w:color="000000" w:sz="4" w:space="0"/>
              <w:right w:val="single" w:color="000000" w:sz="4" w:space="0"/>
            </w:tcBorders>
            <w:shd w:val="clear" w:color="D9E1F2" w:fill="D9E1F2"/>
            <w:vAlign w:val="center"/>
          </w:tcPr>
          <w:p w14:paraId="752E657D">
            <w:pPr>
              <w:jc w:val="center"/>
              <w:rPr>
                <w:rFonts w:ascii="仿宋" w:hAnsi="仿宋" w:eastAsia="仿宋" w:cs="仿宋"/>
                <w:b/>
                <w:bCs/>
                <w:color w:val="000000"/>
                <w:sz w:val="20"/>
                <w:szCs w:val="20"/>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9F0B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9</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9C4A3">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安全运行</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00451">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5</w:t>
            </w:r>
          </w:p>
        </w:tc>
        <w:tc>
          <w:tcPr>
            <w:tcW w:w="1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9E542">
            <w:pPr>
              <w:widowControl/>
              <w:jc w:val="left"/>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 设备漏电保护、防干烧功能失效，发现一次扣5分。</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 发生轻微安全事故（如漏水泡坏地板），扣5分；发生重大安全事故本项0分并追责。</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0FF34">
            <w:pPr>
              <w:jc w:val="center"/>
              <w:rPr>
                <w:rFonts w:ascii="仿宋" w:hAnsi="仿宋" w:eastAsia="仿宋" w:cs="仿宋"/>
                <w:color w:val="000000"/>
                <w:sz w:val="22"/>
              </w:rPr>
            </w:pPr>
          </w:p>
        </w:tc>
      </w:tr>
    </w:tbl>
    <w:p w14:paraId="56E809E8">
      <w:pPr>
        <w:pStyle w:val="14"/>
        <w:widowControl/>
        <w:autoSpaceDE w:val="0"/>
        <w:spacing w:beforeAutospacing="0" w:afterAutospacing="0" w:line="560" w:lineRule="exact"/>
        <w:ind w:left="-62"/>
        <w:rPr>
          <w:rFonts w:ascii="仿宋" w:hAnsi="仿宋" w:eastAsia="仿宋" w:cs="仿宋"/>
          <w:b/>
          <w:bCs/>
          <w:color w:val="0D0D0D"/>
          <w:kern w:val="2"/>
          <w:szCs w:val="24"/>
        </w:rPr>
      </w:pPr>
    </w:p>
    <w:tbl>
      <w:tblPr>
        <w:tblStyle w:val="18"/>
        <w:tblW w:w="9852" w:type="dxa"/>
        <w:jc w:val="center"/>
        <w:tblLayout w:type="autofit"/>
        <w:tblCellMar>
          <w:top w:w="0" w:type="dxa"/>
          <w:left w:w="108" w:type="dxa"/>
          <w:bottom w:w="0" w:type="dxa"/>
          <w:right w:w="108" w:type="dxa"/>
        </w:tblCellMar>
      </w:tblPr>
      <w:tblGrid>
        <w:gridCol w:w="1145"/>
        <w:gridCol w:w="3327"/>
        <w:gridCol w:w="2690"/>
        <w:gridCol w:w="2690"/>
      </w:tblGrid>
      <w:tr w14:paraId="242628F9">
        <w:tblPrEx>
          <w:tblCellMar>
            <w:top w:w="0" w:type="dxa"/>
            <w:left w:w="108" w:type="dxa"/>
            <w:bottom w:w="0" w:type="dxa"/>
            <w:right w:w="108" w:type="dxa"/>
          </w:tblCellMar>
        </w:tblPrEx>
        <w:trPr>
          <w:tblHeader/>
          <w:jc w:val="center"/>
        </w:trPr>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A4F4">
            <w:pPr>
              <w:widowControl/>
              <w:snapToGrid w:val="0"/>
              <w:jc w:val="center"/>
              <w:textAlignment w:val="center"/>
              <w:rPr>
                <w:rFonts w:ascii="仿宋" w:hAnsi="仿宋" w:eastAsia="仿宋" w:cs="仿宋"/>
                <w:b/>
                <w:bCs/>
                <w:color w:val="000000"/>
                <w:sz w:val="22"/>
              </w:rPr>
            </w:pPr>
            <w:r>
              <w:rPr>
                <w:rFonts w:hint="eastAsia" w:ascii="仿宋" w:hAnsi="仿宋" w:eastAsia="仿宋" w:cs="仿宋"/>
                <w:b/>
                <w:bCs/>
                <w:color w:val="000000"/>
                <w:kern w:val="0"/>
                <w:sz w:val="22"/>
                <w:lang w:bidi="ar"/>
              </w:rPr>
              <w:t>考核得分区间</w:t>
            </w:r>
          </w:p>
        </w:tc>
        <w:tc>
          <w:tcPr>
            <w:tcW w:w="3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482D2">
            <w:pPr>
              <w:widowControl/>
              <w:snapToGrid w:val="0"/>
              <w:jc w:val="center"/>
              <w:textAlignment w:val="center"/>
              <w:rPr>
                <w:rFonts w:ascii="仿宋" w:hAnsi="仿宋" w:eastAsia="仿宋" w:cs="仿宋"/>
                <w:b/>
                <w:bCs/>
                <w:color w:val="000000"/>
                <w:sz w:val="22"/>
              </w:rPr>
            </w:pPr>
            <w:r>
              <w:rPr>
                <w:rFonts w:hint="eastAsia" w:ascii="仿宋" w:hAnsi="仿宋" w:eastAsia="仿宋" w:cs="仿宋"/>
                <w:b/>
                <w:bCs/>
                <w:color w:val="000000"/>
                <w:kern w:val="0"/>
                <w:sz w:val="22"/>
                <w:lang w:bidi="ar"/>
              </w:rPr>
              <w:t>支付比例</w:t>
            </w:r>
          </w:p>
        </w:tc>
        <w:tc>
          <w:tcPr>
            <w:tcW w:w="2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8532B">
            <w:pPr>
              <w:widowControl/>
              <w:snapToGrid w:val="0"/>
              <w:jc w:val="center"/>
              <w:textAlignment w:val="center"/>
              <w:rPr>
                <w:rFonts w:ascii="仿宋" w:hAnsi="仿宋" w:eastAsia="仿宋" w:cs="仿宋"/>
                <w:b/>
                <w:bCs/>
                <w:color w:val="000000"/>
                <w:sz w:val="22"/>
              </w:rPr>
            </w:pPr>
            <w:r>
              <w:rPr>
                <w:rFonts w:hint="eastAsia" w:ascii="仿宋" w:hAnsi="仿宋" w:eastAsia="仿宋" w:cs="仿宋"/>
                <w:b/>
                <w:bCs/>
                <w:color w:val="000000"/>
                <w:kern w:val="0"/>
                <w:sz w:val="22"/>
                <w:lang w:bidi="ar"/>
              </w:rPr>
              <w:t>计算说明</w:t>
            </w:r>
          </w:p>
        </w:tc>
        <w:tc>
          <w:tcPr>
            <w:tcW w:w="2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F5A56">
            <w:pPr>
              <w:widowControl/>
              <w:snapToGrid w:val="0"/>
              <w:jc w:val="center"/>
              <w:textAlignment w:val="center"/>
              <w:rPr>
                <w:rFonts w:hint="eastAsia" w:ascii="仿宋" w:hAnsi="仿宋" w:eastAsia="仿宋" w:cs="仿宋"/>
                <w:b/>
                <w:bCs/>
                <w:color w:val="000000"/>
                <w:kern w:val="0"/>
                <w:sz w:val="22"/>
                <w:lang w:val="en-US" w:eastAsia="zh-CN" w:bidi="ar"/>
              </w:rPr>
            </w:pPr>
            <w:r>
              <w:rPr>
                <w:rFonts w:hint="eastAsia" w:ascii="仿宋" w:hAnsi="仿宋" w:eastAsia="仿宋" w:cs="仿宋"/>
                <w:b/>
                <w:bCs/>
                <w:color w:val="000000"/>
                <w:kern w:val="0"/>
                <w:sz w:val="22"/>
                <w:lang w:val="en-US" w:eastAsia="zh-CN" w:bidi="ar"/>
              </w:rPr>
              <w:t>备注</w:t>
            </w:r>
          </w:p>
        </w:tc>
      </w:tr>
      <w:tr w14:paraId="6724D1A8">
        <w:tblPrEx>
          <w:tblCellMar>
            <w:top w:w="0" w:type="dxa"/>
            <w:left w:w="108" w:type="dxa"/>
            <w:bottom w:w="0" w:type="dxa"/>
            <w:right w:w="108" w:type="dxa"/>
          </w:tblCellMar>
        </w:tblPrEx>
        <w:trPr>
          <w:jc w:val="center"/>
        </w:trPr>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3F991">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≥90分</w:t>
            </w:r>
          </w:p>
        </w:tc>
        <w:tc>
          <w:tcPr>
            <w:tcW w:w="3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4E708">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100%</w:t>
            </w:r>
          </w:p>
        </w:tc>
        <w:tc>
          <w:tcPr>
            <w:tcW w:w="2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CCCFE">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全额支付当月核定租赁费用。</w:t>
            </w:r>
          </w:p>
        </w:tc>
        <w:tc>
          <w:tcPr>
            <w:tcW w:w="2690" w:type="dxa"/>
            <w:vMerge w:val="restart"/>
            <w:tcBorders>
              <w:top w:val="single" w:color="000000" w:sz="4" w:space="0"/>
              <w:left w:val="single" w:color="000000" w:sz="4" w:space="0"/>
              <w:right w:val="single" w:color="000000" w:sz="4" w:space="0"/>
            </w:tcBorders>
            <w:shd w:val="clear" w:color="auto" w:fill="auto"/>
            <w:vAlign w:val="center"/>
          </w:tcPr>
          <w:p w14:paraId="2C24D1C7">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D0D0D"/>
                <w:kern w:val="2"/>
                <w:sz w:val="21"/>
                <w:szCs w:val="24"/>
                <w:lang w:val="en-US" w:eastAsia="zh-CN" w:bidi="ar-SA"/>
              </w:rPr>
              <w:t>每月考核得分≥90分视为当月考核合格：</w:t>
            </w:r>
            <w:r>
              <w:rPr>
                <w:rFonts w:hint="eastAsia" w:ascii="仿宋" w:hAnsi="仿宋" w:eastAsia="仿宋" w:cs="仿宋"/>
                <w:color w:val="000000"/>
                <w:kern w:val="0"/>
                <w:sz w:val="20"/>
                <w:szCs w:val="20"/>
                <w:lang w:val="en-US" w:eastAsia="zh-CN" w:bidi="ar"/>
              </w:rPr>
              <w:t>每</w:t>
            </w:r>
            <w:r>
              <w:rPr>
                <w:rFonts w:hint="eastAsia" w:ascii="仿宋" w:hAnsi="仿宋" w:eastAsia="仿宋" w:cs="仿宋"/>
                <w:color w:val="000000"/>
                <w:kern w:val="0"/>
                <w:sz w:val="20"/>
                <w:szCs w:val="20"/>
                <w:lang w:bidi="ar"/>
              </w:rPr>
              <w:t>期合同服务期第10个月完成月度考核后，累计考核次数不低于8次，平均考核分数≥90分视为服务期考核合格。</w:t>
            </w:r>
          </w:p>
        </w:tc>
      </w:tr>
      <w:tr w14:paraId="72965550">
        <w:tblPrEx>
          <w:tblCellMar>
            <w:top w:w="0" w:type="dxa"/>
            <w:left w:w="108" w:type="dxa"/>
            <w:bottom w:w="0" w:type="dxa"/>
            <w:right w:w="108" w:type="dxa"/>
          </w:tblCellMar>
        </w:tblPrEx>
        <w:trPr>
          <w:trHeight w:val="312" w:hRule="atLeast"/>
          <w:jc w:val="center"/>
        </w:trPr>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6217">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75分≥得分＞90分</w:t>
            </w:r>
          </w:p>
        </w:tc>
        <w:tc>
          <w:tcPr>
            <w:tcW w:w="3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DF58C">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按比例扣减，以90分为基准，每低1分，扣减当月费用的1%。</w:t>
            </w:r>
          </w:p>
        </w:tc>
        <w:tc>
          <w:tcPr>
            <w:tcW w:w="2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34D54">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(例如：85分，扣5%，支付95%)</w:t>
            </w:r>
          </w:p>
        </w:tc>
        <w:tc>
          <w:tcPr>
            <w:tcW w:w="2690" w:type="dxa"/>
            <w:vMerge w:val="continue"/>
            <w:tcBorders>
              <w:left w:val="single" w:color="000000" w:sz="4" w:space="0"/>
              <w:right w:val="single" w:color="000000" w:sz="4" w:space="0"/>
            </w:tcBorders>
            <w:shd w:val="clear" w:color="auto" w:fill="auto"/>
            <w:vAlign w:val="center"/>
          </w:tcPr>
          <w:p w14:paraId="69C05B92">
            <w:pPr>
              <w:widowControl/>
              <w:jc w:val="left"/>
              <w:textAlignment w:val="center"/>
              <w:rPr>
                <w:rFonts w:hint="eastAsia" w:ascii="仿宋" w:hAnsi="仿宋" w:eastAsia="仿宋" w:cs="仿宋"/>
                <w:color w:val="000000"/>
                <w:kern w:val="0"/>
                <w:sz w:val="20"/>
                <w:szCs w:val="20"/>
                <w:lang w:bidi="ar"/>
              </w:rPr>
            </w:pPr>
          </w:p>
        </w:tc>
      </w:tr>
      <w:tr w14:paraId="49C3F326">
        <w:tblPrEx>
          <w:tblCellMar>
            <w:top w:w="0" w:type="dxa"/>
            <w:left w:w="108" w:type="dxa"/>
            <w:bottom w:w="0" w:type="dxa"/>
            <w:right w:w="108" w:type="dxa"/>
          </w:tblCellMar>
        </w:tblPrEx>
        <w:trPr>
          <w:jc w:val="center"/>
        </w:trPr>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35F98">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75分以下</w:t>
            </w:r>
          </w:p>
        </w:tc>
        <w:tc>
          <w:tcPr>
            <w:tcW w:w="3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06A66">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0%</w:t>
            </w:r>
          </w:p>
        </w:tc>
        <w:tc>
          <w:tcPr>
            <w:tcW w:w="2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56104">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当月费用不予支付，采购人有权单方面解除合同。</w:t>
            </w:r>
          </w:p>
        </w:tc>
        <w:tc>
          <w:tcPr>
            <w:tcW w:w="2690" w:type="dxa"/>
            <w:vMerge w:val="continue"/>
            <w:tcBorders>
              <w:left w:val="single" w:color="000000" w:sz="4" w:space="0"/>
              <w:bottom w:val="single" w:color="000000" w:sz="4" w:space="0"/>
              <w:right w:val="single" w:color="000000" w:sz="4" w:space="0"/>
            </w:tcBorders>
            <w:shd w:val="clear" w:color="auto" w:fill="auto"/>
            <w:vAlign w:val="center"/>
          </w:tcPr>
          <w:p w14:paraId="5E11BB51">
            <w:pPr>
              <w:widowControl/>
              <w:jc w:val="left"/>
              <w:textAlignment w:val="center"/>
              <w:rPr>
                <w:rFonts w:hint="eastAsia" w:ascii="仿宋" w:hAnsi="仿宋" w:eastAsia="仿宋" w:cs="仿宋"/>
                <w:color w:val="000000"/>
                <w:kern w:val="0"/>
                <w:sz w:val="20"/>
                <w:szCs w:val="20"/>
                <w:lang w:bidi="ar"/>
              </w:rPr>
            </w:pPr>
          </w:p>
        </w:tc>
      </w:tr>
    </w:tbl>
    <w:p w14:paraId="44FCCEA7">
      <w:pPr>
        <w:pStyle w:val="16"/>
        <w:spacing w:line="560" w:lineRule="exact"/>
        <w:ind w:firstLine="0"/>
        <w:rPr>
          <w:rFonts w:hint="eastAsia" w:ascii="Times New Roman" w:hAnsi="Times New Roman" w:eastAsia="仿宋" w:cs="Times New Roman"/>
          <w:sz w:val="24"/>
          <w:szCs w:val="24"/>
          <w:lang w:eastAsia="zh-CN"/>
        </w:rPr>
      </w:pPr>
    </w:p>
    <w:p w14:paraId="4A6A2942">
      <w:pPr>
        <w:pStyle w:val="16"/>
        <w:spacing w:line="560" w:lineRule="exact"/>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59B9E871">
      <w:pPr>
        <w:pStyle w:val="16"/>
        <w:spacing w:line="560" w:lineRule="exact"/>
        <w:ind w:firstLine="0"/>
        <w:rPr>
          <w:rFonts w:ascii="Times New Roman" w:hAnsi="Times New Roman" w:eastAsia="仿宋" w:cs="Times New Roman"/>
          <w:sz w:val="24"/>
          <w:szCs w:val="24"/>
        </w:rPr>
      </w:pPr>
    </w:p>
    <w:p w14:paraId="65BDB4CC">
      <w:pPr>
        <w:spacing w:line="560" w:lineRule="exact"/>
        <w:jc w:val="left"/>
        <w:rPr>
          <w:rFonts w:ascii="Times New Roman" w:hAnsi="Times New Roman" w:eastAsia="宋体" w:cs="Times New Roman"/>
          <w:sz w:val="24"/>
          <w:szCs w:val="24"/>
        </w:rPr>
      </w:pPr>
    </w:p>
    <w:p w14:paraId="39CDDE8F">
      <w:pPr>
        <w:spacing w:line="560" w:lineRule="exact"/>
        <w:rPr>
          <w:rFonts w:ascii="Times New Roman" w:hAnsi="Times New Roman" w:cs="Times New Roman"/>
        </w:rPr>
      </w:pPr>
      <w:r>
        <w:rPr>
          <w:rFonts w:ascii="Times New Roman" w:hAnsi="Times New Roman" w:cs="Times New Roman"/>
        </w:rPr>
        <w:br w:type="page"/>
      </w:r>
    </w:p>
    <w:p w14:paraId="29DFF5BB">
      <w:pPr>
        <w:pStyle w:val="2"/>
        <w:spacing w:line="560" w:lineRule="exact"/>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0FE2E259">
      <w:pPr>
        <w:spacing w:line="560" w:lineRule="exact"/>
        <w:rPr>
          <w:lang w:val="zh-CN"/>
        </w:rPr>
      </w:pPr>
    </w:p>
    <w:p w14:paraId="1E53B04C">
      <w:pPr>
        <w:spacing w:line="560" w:lineRule="exact"/>
        <w:rPr>
          <w:rFonts w:ascii="Times New Roman" w:hAnsi="Times New Roman" w:cs="Times New Roman"/>
        </w:rPr>
      </w:pPr>
      <w:r>
        <w:rPr>
          <w:rFonts w:hint="eastAsia" w:ascii="Times New Roman" w:hAnsi="Times New Roman" w:eastAsia="仿宋" w:cs="Times New Roman"/>
          <w:kern w:val="2"/>
          <w:sz w:val="24"/>
          <w:szCs w:val="24"/>
          <w:lang w:val="en-US" w:eastAsia="zh-CN" w:bidi="ar-SA"/>
        </w:rPr>
        <w:t>本项目为最低价评分法，不涉及。</w:t>
      </w:r>
      <w:bookmarkStart w:id="104" w:name="_GoBack"/>
      <w:bookmarkEnd w:id="104"/>
      <w:r>
        <w:rPr>
          <w:rFonts w:ascii="Times New Roman" w:hAnsi="Times New Roman" w:cs="Times New Roman"/>
        </w:rPr>
        <w:br w:type="page"/>
      </w:r>
    </w:p>
    <w:p w14:paraId="0B9F1C4B">
      <w:pPr>
        <w:pStyle w:val="2"/>
        <w:spacing w:line="560" w:lineRule="exact"/>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720D2410">
      <w:pPr>
        <w:spacing w:line="560" w:lineRule="exact"/>
        <w:rPr>
          <w:rFonts w:ascii="Times New Roman" w:hAnsi="Times New Roman" w:eastAsia="仿宋" w:cs="Times New Roman"/>
          <w:b/>
          <w:bCs/>
          <w:sz w:val="32"/>
          <w:szCs w:val="32"/>
        </w:rPr>
      </w:pPr>
    </w:p>
    <w:p w14:paraId="7D2D6A34">
      <w:pPr>
        <w:spacing w:line="560" w:lineRule="exact"/>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2503869">
      <w:pPr>
        <w:spacing w:line="560" w:lineRule="exact"/>
        <w:rPr>
          <w:rFonts w:ascii="Times New Roman" w:hAnsi="Times New Roman" w:eastAsia="仿宋" w:cs="Times New Roman"/>
          <w:sz w:val="28"/>
          <w:szCs w:val="28"/>
        </w:rPr>
      </w:pPr>
    </w:p>
    <w:p w14:paraId="6A910728">
      <w:pPr>
        <w:spacing w:line="560" w:lineRule="exact"/>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spacing w:line="560" w:lineRule="exact"/>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38C16EFF">
      <w:pPr>
        <w:spacing w:line="560" w:lineRule="exact"/>
        <w:rPr>
          <w:rFonts w:ascii="Times New Roman" w:hAnsi="Times New Roman" w:eastAsia="仿宋" w:cs="Times New Roman"/>
        </w:rPr>
      </w:pPr>
    </w:p>
    <w:p w14:paraId="6FCC05A6">
      <w:pPr>
        <w:spacing w:line="560" w:lineRule="exact"/>
        <w:rPr>
          <w:rFonts w:ascii="Times New Roman" w:hAnsi="Times New Roman" w:eastAsia="仿宋" w:cs="Times New Roman"/>
        </w:rPr>
      </w:pPr>
    </w:p>
    <w:p w14:paraId="0101A96B">
      <w:pPr>
        <w:spacing w:line="560" w:lineRule="exact"/>
        <w:rPr>
          <w:rFonts w:ascii="Times New Roman" w:hAnsi="Times New Roman" w:eastAsia="仿宋" w:cs="Times New Roman"/>
        </w:rPr>
      </w:pPr>
    </w:p>
    <w:p w14:paraId="37CD27F1">
      <w:pPr>
        <w:spacing w:line="560" w:lineRule="exact"/>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spacing w:line="560" w:lineRule="exact"/>
        <w:jc w:val="center"/>
        <w:rPr>
          <w:rFonts w:ascii="Times New Roman" w:hAnsi="Times New Roman" w:eastAsia="仿宋" w:cs="Times New Roman"/>
          <w:sz w:val="96"/>
          <w:szCs w:val="24"/>
        </w:rPr>
      </w:pPr>
      <w:r>
        <w:rPr>
          <w:rFonts w:ascii="Times New Roman" w:hAnsi="Times New Roman" w:eastAsia="仿宋" w:cs="Times New Roman"/>
          <w:sz w:val="56"/>
          <w:szCs w:val="56"/>
        </w:rPr>
        <w:t>响应文件</w:t>
      </w:r>
    </w:p>
    <w:p w14:paraId="1E1DE299">
      <w:pPr>
        <w:spacing w:line="560" w:lineRule="exact"/>
        <w:rPr>
          <w:rFonts w:ascii="Times New Roman" w:hAnsi="Times New Roman" w:eastAsia="仿宋" w:cs="Times New Roman"/>
        </w:rPr>
      </w:pPr>
    </w:p>
    <w:p w14:paraId="7B8AC864">
      <w:pPr>
        <w:spacing w:line="560" w:lineRule="exact"/>
        <w:rPr>
          <w:rFonts w:ascii="Times New Roman" w:hAnsi="Times New Roman" w:eastAsia="仿宋" w:cs="Times New Roman"/>
        </w:rPr>
      </w:pPr>
    </w:p>
    <w:p w14:paraId="1636A91B">
      <w:pPr>
        <w:spacing w:line="560" w:lineRule="exact"/>
        <w:rPr>
          <w:rFonts w:ascii="Times New Roman" w:hAnsi="Times New Roman" w:eastAsia="仿宋" w:cs="Times New Roman"/>
        </w:rPr>
      </w:pPr>
    </w:p>
    <w:p w14:paraId="4A021F30">
      <w:pPr>
        <w:spacing w:line="560" w:lineRule="exact"/>
        <w:rPr>
          <w:rFonts w:ascii="Times New Roman" w:hAnsi="Times New Roman" w:eastAsia="仿宋" w:cs="Times New Roman"/>
        </w:rPr>
      </w:pPr>
    </w:p>
    <w:p w14:paraId="4E735EFC">
      <w:pPr>
        <w:spacing w:line="560" w:lineRule="exact"/>
        <w:rPr>
          <w:rFonts w:ascii="Times New Roman" w:hAnsi="Times New Roman" w:eastAsia="仿宋" w:cs="Times New Roman"/>
        </w:rPr>
      </w:pPr>
    </w:p>
    <w:p w14:paraId="3B0FCEA0">
      <w:pPr>
        <w:spacing w:line="560" w:lineRule="exact"/>
        <w:rPr>
          <w:rFonts w:ascii="Times New Roman" w:hAnsi="Times New Roman" w:eastAsia="仿宋" w:cs="Times New Roman"/>
        </w:rPr>
      </w:pPr>
    </w:p>
    <w:p w14:paraId="6876AB3C">
      <w:pPr>
        <w:spacing w:line="560" w:lineRule="exact"/>
        <w:jc w:val="left"/>
        <w:rPr>
          <w:rFonts w:ascii="Times New Roman" w:hAnsi="Times New Roman" w:eastAsia="仿宋" w:cs="Times New Roman"/>
          <w:sz w:val="28"/>
          <w:szCs w:val="24"/>
        </w:rPr>
      </w:pPr>
      <w:bookmarkStart w:id="32" w:name="_Toc1690"/>
      <w:bookmarkStart w:id="33" w:name="_Toc17163"/>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spacing w:line="560" w:lineRule="exact"/>
        <w:jc w:val="left"/>
        <w:rPr>
          <w:rFonts w:ascii="Times New Roman" w:hAnsi="Times New Roman" w:eastAsia="仿宋" w:cs="Times New Roman"/>
          <w:sz w:val="28"/>
          <w:szCs w:val="24"/>
        </w:rPr>
      </w:pPr>
      <w:bookmarkStart w:id="36" w:name="_Toc6803"/>
      <w:bookmarkStart w:id="37" w:name="_Toc17905"/>
      <w:bookmarkStart w:id="38" w:name="_Toc3558"/>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spacing w:line="560" w:lineRule="exact"/>
        <w:jc w:val="left"/>
        <w:rPr>
          <w:rFonts w:ascii="Times New Roman" w:hAnsi="Times New Roman" w:eastAsia="仿宋" w:cs="Times New Roman"/>
          <w:sz w:val="28"/>
          <w:szCs w:val="24"/>
        </w:rPr>
      </w:pPr>
      <w:bookmarkStart w:id="40" w:name="_Toc5996"/>
      <w:bookmarkStart w:id="41" w:name="_Toc2752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spacing w:line="560" w:lineRule="exact"/>
        <w:jc w:val="left"/>
        <w:rPr>
          <w:rFonts w:ascii="Times New Roman" w:hAnsi="Times New Roman" w:eastAsia="仿宋" w:cs="Times New Roman"/>
          <w:sz w:val="28"/>
          <w:szCs w:val="24"/>
        </w:rPr>
      </w:pPr>
      <w:bookmarkStart w:id="44" w:name="_Toc19987"/>
      <w:bookmarkStart w:id="45" w:name="_Toc2031"/>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spacing w:line="560" w:lineRule="exact"/>
        <w:jc w:val="center"/>
        <w:rPr>
          <w:rFonts w:ascii="Times New Roman" w:hAnsi="Times New Roman" w:eastAsia="仿宋" w:cs="Times New Roman"/>
          <w:sz w:val="32"/>
          <w:szCs w:val="40"/>
        </w:rPr>
      </w:pPr>
      <w:bookmarkStart w:id="48" w:name="_Toc6482"/>
      <w:bookmarkStart w:id="49" w:name="_Toc16029"/>
      <w:bookmarkStart w:id="50" w:name="_Toc3023"/>
      <w:bookmarkStart w:id="51" w:name="_Toc21519"/>
      <w:bookmarkStart w:id="52" w:name="_Toc11352"/>
      <w:bookmarkStart w:id="53" w:name="_Toc14829"/>
    </w:p>
    <w:p w14:paraId="43B80407">
      <w:pPr>
        <w:spacing w:line="560" w:lineRule="exact"/>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spacing w:line="560" w:lineRule="exact"/>
        <w:ind w:firstLine="0"/>
      </w:pPr>
      <w:r>
        <w:t>承诺函</w:t>
      </w:r>
      <w:bookmarkEnd w:id="48"/>
      <w:bookmarkEnd w:id="49"/>
      <w:bookmarkEnd w:id="50"/>
      <w:bookmarkEnd w:id="51"/>
      <w:bookmarkEnd w:id="52"/>
      <w:bookmarkEnd w:id="53"/>
    </w:p>
    <w:p w14:paraId="023F6D54">
      <w:pPr>
        <w:pStyle w:val="7"/>
        <w:spacing w:line="560" w:lineRule="exact"/>
        <w:rPr>
          <w:rFonts w:ascii="Times New Roman" w:hAnsi="Times New Roman" w:eastAsia="仿宋" w:cs="Times New Roman"/>
        </w:rPr>
      </w:pPr>
    </w:p>
    <w:p w14:paraId="5651E4CA">
      <w:pPr>
        <w:spacing w:line="560" w:lineRule="exact"/>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56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56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560" w:lineRule="exact"/>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1E33E78">
      <w:pPr>
        <w:adjustRightInd w:val="0"/>
        <w:spacing w:line="560" w:lineRule="exact"/>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spacing w:line="560" w:lineRule="exact"/>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spacing w:line="560" w:lineRule="exact"/>
        <w:rPr>
          <w:rFonts w:ascii="Times New Roman" w:hAnsi="Times New Roman" w:cs="Times New Roman"/>
        </w:rPr>
      </w:pPr>
      <w:bookmarkStart w:id="54" w:name="_Toc17857"/>
      <w:bookmarkStart w:id="55" w:name="_Toc31838"/>
      <w:bookmarkStart w:id="56" w:name="_Toc22676"/>
      <w:bookmarkStart w:id="57" w:name="_Toc30971"/>
      <w:bookmarkStart w:id="58" w:name="_Toc4305"/>
      <w:r>
        <w:rPr>
          <w:rFonts w:ascii="Times New Roman" w:hAnsi="Times New Roman" w:cs="Times New Roman"/>
        </w:rPr>
        <w:br w:type="page"/>
      </w:r>
    </w:p>
    <w:p w14:paraId="72845348">
      <w:pPr>
        <w:pStyle w:val="3"/>
        <w:spacing w:line="560" w:lineRule="exact"/>
        <w:ind w:firstLine="0"/>
      </w:pPr>
      <w:r>
        <w:t>具有独立承担民事责任的能力</w:t>
      </w:r>
      <w:bookmarkEnd w:id="54"/>
      <w:bookmarkEnd w:id="55"/>
      <w:bookmarkEnd w:id="56"/>
      <w:bookmarkEnd w:id="57"/>
      <w:bookmarkEnd w:id="58"/>
    </w:p>
    <w:p w14:paraId="597BE704">
      <w:pPr>
        <w:pStyle w:val="7"/>
        <w:spacing w:line="560" w:lineRule="exact"/>
        <w:jc w:val="center"/>
        <w:rPr>
          <w:rFonts w:ascii="Times New Roman" w:hAnsi="Times New Roman" w:eastAsia="仿宋" w:cs="Times New Roman"/>
          <w:b/>
          <w:bCs/>
        </w:rPr>
      </w:pPr>
    </w:p>
    <w:p w14:paraId="015A7A05">
      <w:pPr>
        <w:spacing w:line="560" w:lineRule="exact"/>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spacing w:line="560" w:lineRule="exact"/>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spacing w:line="560" w:lineRule="exact"/>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spacing w:line="560" w:lineRule="exact"/>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spacing w:line="560" w:lineRule="exact"/>
        <w:jc w:val="center"/>
        <w:rPr>
          <w:rFonts w:ascii="Times New Roman" w:hAnsi="Times New Roman" w:eastAsia="仿宋" w:cs="Times New Roman"/>
        </w:rPr>
      </w:pPr>
      <w:r>
        <w:rPr>
          <w:rFonts w:hint="eastAsia" w:ascii="Times New Roman" w:hAnsi="Times New Roman" w:eastAsia="仿宋" w:cs="Times New Roma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rPr>
        <w:t>）</w:t>
      </w:r>
    </w:p>
    <w:p w14:paraId="6044F60C">
      <w:pPr>
        <w:pStyle w:val="31"/>
        <w:spacing w:line="560" w:lineRule="exact"/>
        <w:ind w:left="420" w:leftChars="200"/>
        <w:jc w:val="both"/>
        <w:rPr>
          <w:rFonts w:ascii="Times New Roman" w:hAnsi="Times New Roman" w:eastAsia="仿宋" w:cs="Times New Roman"/>
          <w:color w:val="auto"/>
        </w:rPr>
      </w:pPr>
    </w:p>
    <w:p w14:paraId="50A012A9">
      <w:pPr>
        <w:pStyle w:val="31"/>
        <w:spacing w:line="560" w:lineRule="exact"/>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spacing w:line="560" w:lineRule="exact"/>
        <w:ind w:firstLine="0"/>
        <w:rPr>
          <w:szCs w:val="32"/>
        </w:rPr>
      </w:pPr>
      <w:r>
        <w:rPr>
          <w:szCs w:val="32"/>
        </w:rPr>
        <w:br w:type="page"/>
      </w:r>
      <w:bookmarkStart w:id="67" w:name="_Toc27661"/>
      <w:bookmarkStart w:id="68" w:name="_Toc20589"/>
      <w:bookmarkStart w:id="69" w:name="_Toc11351"/>
      <w:bookmarkStart w:id="70" w:name="_Toc25638"/>
      <w:bookmarkStart w:id="71" w:name="_Toc12015"/>
      <w:bookmarkStart w:id="72" w:name="_Toc15526"/>
      <w:r>
        <w:rPr>
          <w:rStyle w:val="40"/>
          <w:b/>
        </w:rPr>
        <w:t>法定代表人身份证明书</w:t>
      </w:r>
      <w:bookmarkEnd w:id="67"/>
      <w:bookmarkEnd w:id="68"/>
      <w:bookmarkEnd w:id="69"/>
      <w:bookmarkEnd w:id="70"/>
      <w:bookmarkEnd w:id="71"/>
      <w:bookmarkEnd w:id="72"/>
    </w:p>
    <w:p w14:paraId="0AB454D2">
      <w:pPr>
        <w:pStyle w:val="31"/>
        <w:spacing w:line="560" w:lineRule="exact"/>
        <w:jc w:val="center"/>
        <w:rPr>
          <w:rFonts w:ascii="Times New Roman" w:hAnsi="Times New Roman" w:eastAsia="仿宋" w:cs="Times New Roman"/>
          <w:color w:val="auto"/>
        </w:rPr>
      </w:pPr>
    </w:p>
    <w:p w14:paraId="43269FBB">
      <w:pPr>
        <w:pStyle w:val="31"/>
        <w:spacing w:line="560" w:lineRule="exact"/>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spacing w:line="560" w:lineRule="exact"/>
        <w:jc w:val="center"/>
        <w:rPr>
          <w:rFonts w:ascii="Times New Roman" w:hAnsi="Times New Roman" w:eastAsia="仿宋" w:cs="Times New Roman"/>
          <w:color w:val="auto"/>
        </w:rPr>
      </w:pPr>
    </w:p>
    <w:p w14:paraId="6757BD29">
      <w:pPr>
        <w:pStyle w:val="31"/>
        <w:spacing w:line="560" w:lineRule="exact"/>
        <w:jc w:val="center"/>
        <w:rPr>
          <w:rFonts w:ascii="Times New Roman" w:hAnsi="Times New Roman" w:eastAsia="仿宋" w:cs="Times New Roman"/>
          <w:color w:val="auto"/>
        </w:rPr>
      </w:pPr>
    </w:p>
    <w:p w14:paraId="2C00BF0A">
      <w:pPr>
        <w:pStyle w:val="31"/>
        <w:spacing w:line="560" w:lineRule="exact"/>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rPr>
        <w:t>，</w:t>
      </w:r>
      <w:r>
        <w:rPr>
          <w:rFonts w:ascii="Times New Roman" w:hAnsi="Times New Roman" w:eastAsia="仿宋" w:cs="Times New Roman"/>
          <w:color w:val="auto"/>
        </w:rPr>
        <w:t>电话：_________________）。</w:t>
      </w:r>
    </w:p>
    <w:p w14:paraId="33ADA0C0">
      <w:pPr>
        <w:pStyle w:val="31"/>
        <w:spacing w:line="560" w:lineRule="exact"/>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spacing w:line="560" w:lineRule="exact"/>
        <w:jc w:val="both"/>
        <w:rPr>
          <w:rFonts w:ascii="Times New Roman" w:hAnsi="Times New Roman" w:eastAsia="仿宋" w:cs="Times New Roman"/>
          <w:color w:val="auto"/>
        </w:rPr>
      </w:pPr>
    </w:p>
    <w:p w14:paraId="46E4D155">
      <w:pPr>
        <w:pStyle w:val="31"/>
        <w:spacing w:line="560" w:lineRule="exact"/>
        <w:jc w:val="both"/>
        <w:rPr>
          <w:rFonts w:ascii="Times New Roman" w:hAnsi="Times New Roman" w:eastAsia="仿宋" w:cs="Times New Roman"/>
          <w:color w:val="auto"/>
        </w:rPr>
      </w:pPr>
    </w:p>
    <w:p w14:paraId="533F86F0">
      <w:pPr>
        <w:adjustRightInd w:val="0"/>
        <w:spacing w:line="560" w:lineRule="exact"/>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spacing w:line="560" w:lineRule="exact"/>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spacing w:line="560" w:lineRule="exact"/>
        <w:jc w:val="center"/>
        <w:rPr>
          <w:rFonts w:ascii="Times New Roman" w:hAnsi="Times New Roman" w:eastAsia="仿宋" w:cs="Times New Roman"/>
          <w:color w:val="auto"/>
        </w:rPr>
      </w:pPr>
    </w:p>
    <w:p w14:paraId="53CC06E9">
      <w:pPr>
        <w:pStyle w:val="31"/>
        <w:spacing w:line="560" w:lineRule="exact"/>
        <w:jc w:val="center"/>
        <w:rPr>
          <w:rFonts w:ascii="Times New Roman" w:hAnsi="Times New Roman" w:eastAsia="仿宋" w:cs="Times New Roman"/>
          <w:color w:val="auto"/>
        </w:rPr>
      </w:pPr>
    </w:p>
    <w:p w14:paraId="55320CDB">
      <w:pPr>
        <w:pStyle w:val="31"/>
        <w:spacing w:line="560" w:lineRule="exact"/>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spacing w:line="560" w:lineRule="exact"/>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spacing w:line="560" w:lineRule="exact"/>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spacing w:line="560" w:lineRule="exact"/>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spacing w:line="560" w:lineRule="exact"/>
        <w:jc w:val="both"/>
        <w:rPr>
          <w:rFonts w:ascii="Times New Roman" w:hAnsi="Times New Roman" w:eastAsia="仿宋" w:cs="Times New Roman"/>
          <w:color w:val="auto"/>
          <w:sz w:val="32"/>
          <w:szCs w:val="32"/>
        </w:rPr>
      </w:pPr>
    </w:p>
    <w:p w14:paraId="31D6EAC3">
      <w:pPr>
        <w:pStyle w:val="31"/>
        <w:spacing w:line="560" w:lineRule="exact"/>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spacing w:line="560" w:lineRule="exact"/>
        <w:jc w:val="center"/>
        <w:rPr>
          <w:rFonts w:ascii="Times New Roman" w:hAnsi="Times New Roman" w:eastAsia="仿宋" w:cs="Times New Roman"/>
          <w:b/>
          <w:bCs/>
          <w:color w:val="auto"/>
        </w:rPr>
      </w:pPr>
    </w:p>
    <w:p w14:paraId="170BF1E2">
      <w:pPr>
        <w:pStyle w:val="31"/>
        <w:spacing w:line="560" w:lineRule="exact"/>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spacing w:line="560" w:lineRule="exact"/>
        <w:jc w:val="center"/>
        <w:rPr>
          <w:rFonts w:ascii="Times New Roman" w:hAnsi="Times New Roman" w:eastAsia="仿宋" w:cs="Times New Roman"/>
          <w:color w:val="auto"/>
        </w:rPr>
      </w:pPr>
    </w:p>
    <w:p w14:paraId="1D1D42B9">
      <w:pPr>
        <w:pStyle w:val="7"/>
        <w:snapToGrid w:val="0"/>
        <w:spacing w:after="0" w:line="560" w:lineRule="exact"/>
        <w:ind w:firstLine="480" w:firstLineChars="200"/>
        <w:rPr>
          <w:rFonts w:ascii="Times New Roman" w:hAnsi="Times New Roman" w:eastAsia="仿宋" w:cs="Times New Roman"/>
          <w:sz w:val="24"/>
        </w:rPr>
      </w:pPr>
    </w:p>
    <w:p w14:paraId="069582C9">
      <w:pPr>
        <w:pStyle w:val="7"/>
        <w:snapToGrid w:val="0"/>
        <w:spacing w:after="0"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6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rPr>
        <w:t>（</w:t>
      </w:r>
      <w:r>
        <w:rPr>
          <w:rFonts w:ascii="Times New Roman" w:hAnsi="Times New Roman" w:eastAsia="仿宋" w:cs="Times New Roman"/>
          <w:sz w:val="24"/>
        </w:rPr>
        <w:t>法定代表人</w:t>
      </w:r>
      <w:r>
        <w:rPr>
          <w:rFonts w:hint="eastAsia" w:ascii="Times New Roman" w:hAnsi="Times New Roman" w:eastAsia="仿宋" w:cs="Times New Roman"/>
          <w:sz w:val="24"/>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spacing w:line="560" w:lineRule="exact"/>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spacing w:line="560" w:lineRule="exact"/>
        <w:ind w:firstLine="0"/>
        <w:rPr>
          <w:szCs w:val="32"/>
        </w:rPr>
      </w:pPr>
      <w:r>
        <w:rPr>
          <w:szCs w:val="32"/>
        </w:rPr>
        <w:br w:type="page"/>
      </w:r>
      <w:bookmarkStart w:id="73" w:name="_Toc26969"/>
      <w:bookmarkStart w:id="74" w:name="_Toc23967"/>
      <w:bookmarkStart w:id="75" w:name="_Toc1074"/>
      <w:bookmarkStart w:id="76" w:name="_Toc2041"/>
      <w:bookmarkStart w:id="77" w:name="_Toc16435"/>
      <w:bookmarkStart w:id="78" w:name="_Toc12967"/>
      <w:r>
        <w:rPr>
          <w:rStyle w:val="40"/>
          <w:b/>
        </w:rPr>
        <w:t>采购需求偏离表</w:t>
      </w:r>
      <w:bookmarkEnd w:id="73"/>
      <w:bookmarkEnd w:id="74"/>
      <w:bookmarkEnd w:id="75"/>
      <w:bookmarkEnd w:id="76"/>
      <w:bookmarkEnd w:id="77"/>
      <w:bookmarkEnd w:id="78"/>
    </w:p>
    <w:p w14:paraId="5B84959E">
      <w:pPr>
        <w:pStyle w:val="7"/>
        <w:spacing w:line="560" w:lineRule="exac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spacing w:line="560" w:lineRule="exact"/>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spacing w:line="560" w:lineRule="exact"/>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spacing w:line="560" w:lineRule="exact"/>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spacing w:line="560" w:lineRule="exact"/>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spacing w:line="560" w:lineRule="exact"/>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spacing w:line="560" w:lineRule="exact"/>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spacing w:line="560" w:lineRule="exact"/>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spacing w:line="560" w:lineRule="exac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spacing w:line="560" w:lineRule="exact"/>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spacing w:line="560" w:lineRule="exact"/>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spacing w:line="560" w:lineRule="exact"/>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spacing w:line="560" w:lineRule="exac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spacing w:line="560" w:lineRule="exac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spacing w:line="560" w:lineRule="exact"/>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spacing w:line="560" w:lineRule="exact"/>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spacing w:line="560" w:lineRule="exact"/>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spacing w:line="560" w:lineRule="exac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spacing w:line="560" w:lineRule="exact"/>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spacing w:line="560" w:lineRule="exact"/>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spacing w:line="560" w:lineRule="exact"/>
              <w:rPr>
                <w:rFonts w:ascii="Times New Roman" w:hAnsi="Times New Roman" w:eastAsia="仿宋" w:cs="Times New Roman"/>
                <w:sz w:val="24"/>
              </w:rPr>
            </w:pPr>
          </w:p>
        </w:tc>
      </w:tr>
    </w:tbl>
    <w:p w14:paraId="3A147839">
      <w:pPr>
        <w:spacing w:line="560" w:lineRule="exact"/>
        <w:jc w:val="left"/>
        <w:rPr>
          <w:rFonts w:ascii="Times New Roman" w:hAnsi="Times New Roman" w:eastAsia="仿宋" w:cs="Times New Roman"/>
          <w:bCs/>
          <w:sz w:val="24"/>
        </w:rPr>
      </w:pPr>
    </w:p>
    <w:p w14:paraId="3E54F355">
      <w:pPr>
        <w:spacing w:line="560" w:lineRule="exact"/>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spacing w:line="560" w:lineRule="exact"/>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spacing w:line="560" w:lineRule="exact"/>
        <w:jc w:val="center"/>
        <w:rPr>
          <w:rFonts w:ascii="Times New Roman" w:hAnsi="Times New Roman" w:eastAsia="仿宋" w:cs="Times New Roman"/>
          <w:color w:val="auto"/>
          <w:sz w:val="32"/>
          <w:szCs w:val="32"/>
        </w:rPr>
      </w:pPr>
    </w:p>
    <w:p w14:paraId="65866D1F">
      <w:pPr>
        <w:pStyle w:val="3"/>
        <w:spacing w:line="560" w:lineRule="exact"/>
        <w:ind w:firstLine="0"/>
        <w:rPr>
          <w:bCs/>
          <w:szCs w:val="32"/>
        </w:rPr>
      </w:pPr>
      <w:r>
        <w:rPr>
          <w:szCs w:val="32"/>
        </w:rPr>
        <w:br w:type="page"/>
      </w:r>
      <w:bookmarkStart w:id="79" w:name="_Toc26839"/>
      <w:bookmarkStart w:id="80" w:name="_Toc28634"/>
      <w:bookmarkStart w:id="81" w:name="_Toc24806"/>
      <w:bookmarkStart w:id="82" w:name="_Toc21082"/>
      <w:bookmarkStart w:id="83" w:name="_Toc1369"/>
      <w:bookmarkStart w:id="84" w:name="_Toc31686"/>
      <w:r>
        <w:rPr>
          <w:rStyle w:val="40"/>
          <w:b/>
        </w:rPr>
        <w:t>评分需要提供的证明材料</w:t>
      </w:r>
      <w:bookmarkEnd w:id="79"/>
      <w:bookmarkEnd w:id="80"/>
      <w:bookmarkEnd w:id="81"/>
      <w:bookmarkEnd w:id="82"/>
      <w:bookmarkEnd w:id="83"/>
      <w:bookmarkEnd w:id="84"/>
    </w:p>
    <w:p w14:paraId="71151EFE">
      <w:pPr>
        <w:pStyle w:val="31"/>
        <w:spacing w:line="560" w:lineRule="exact"/>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spacing w:line="560" w:lineRule="exact"/>
        <w:jc w:val="center"/>
        <w:rPr>
          <w:rFonts w:ascii="Times New Roman" w:hAnsi="Times New Roman" w:eastAsia="仿宋" w:cs="Times New Roman"/>
          <w:b/>
          <w:bCs/>
          <w:color w:val="auto"/>
        </w:rPr>
      </w:pPr>
    </w:p>
    <w:p w14:paraId="50E3B93A">
      <w:pPr>
        <w:spacing w:line="560" w:lineRule="exact"/>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spacing w:line="560" w:lineRule="exact"/>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514CD7DF">
      <w:pPr>
        <w:spacing w:line="560" w:lineRule="exact"/>
        <w:rPr>
          <w:rFonts w:ascii="Times New Roman" w:hAnsi="Times New Roman" w:eastAsia="仿宋" w:cs="Times New Roman"/>
          <w:sz w:val="24"/>
          <w:szCs w:val="24"/>
        </w:rPr>
      </w:pPr>
    </w:p>
    <w:p w14:paraId="0C026879">
      <w:pPr>
        <w:spacing w:line="560" w:lineRule="exact"/>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spacing w:line="560" w:lineRule="exact"/>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53BD5277">
      <w:pPr>
        <w:spacing w:line="560" w:lineRule="exact"/>
        <w:rPr>
          <w:rFonts w:ascii="Times New Roman" w:hAnsi="Times New Roman" w:eastAsia="仿宋" w:cs="Times New Roman"/>
          <w:sz w:val="24"/>
          <w:szCs w:val="24"/>
        </w:rPr>
      </w:pPr>
    </w:p>
    <w:p w14:paraId="2111722E">
      <w:pPr>
        <w:spacing w:line="560" w:lineRule="exact"/>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spacing w:line="560" w:lineRule="exact"/>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400ED811">
      <w:pPr>
        <w:spacing w:line="56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1483D64D">
      <w:pPr>
        <w:pStyle w:val="3"/>
        <w:spacing w:line="560" w:lineRule="exact"/>
        <w:ind w:firstLine="0"/>
      </w:pPr>
      <w:bookmarkStart w:id="88" w:name="_Toc15065"/>
      <w:r>
        <w:t>报价单</w:t>
      </w:r>
      <w:bookmarkEnd w:id="88"/>
    </w:p>
    <w:p w14:paraId="20C0FE73">
      <w:pPr>
        <w:spacing w:line="560" w:lineRule="exact"/>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spacing w:line="560" w:lineRule="exact"/>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661984F4">
      <w:pPr>
        <w:pStyle w:val="7"/>
        <w:spacing w:line="560" w:lineRule="exact"/>
        <w:rPr>
          <w:rFonts w:ascii="宋体" w:hAnsi="宋体" w:eastAsia="宋体" w:cs="Times New Roman"/>
          <w:b/>
          <w:bCs/>
          <w:szCs w:val="21"/>
          <w:lang w:val="zh-TW"/>
        </w:rPr>
      </w:pPr>
      <w:r>
        <w:rPr>
          <w:rFonts w:hint="eastAsia" w:ascii="宋体" w:hAnsi="宋体" w:eastAsia="宋体" w:cs="Times New Roman"/>
          <w:b/>
          <w:bCs/>
          <w:szCs w:val="21"/>
        </w:rPr>
        <w:t>1</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53D1A6BA">
      <w:pPr>
        <w:pStyle w:val="7"/>
        <w:spacing w:line="56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85"/>
        <w:gridCol w:w="1843"/>
        <w:gridCol w:w="1985"/>
        <w:gridCol w:w="1417"/>
        <w:gridCol w:w="1418"/>
        <w:gridCol w:w="1891"/>
      </w:tblGrid>
      <w:tr w14:paraId="75004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1085" w:type="dxa"/>
            <w:vAlign w:val="center"/>
          </w:tcPr>
          <w:p w14:paraId="2CF60CA8">
            <w:pPr>
              <w:spacing w:line="56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1843" w:type="dxa"/>
            <w:vAlign w:val="center"/>
          </w:tcPr>
          <w:p w14:paraId="76504FC3">
            <w:pPr>
              <w:spacing w:line="56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采购标的名称</w:t>
            </w:r>
          </w:p>
        </w:tc>
        <w:tc>
          <w:tcPr>
            <w:tcW w:w="1985" w:type="dxa"/>
            <w:vAlign w:val="center"/>
          </w:tcPr>
          <w:p w14:paraId="0210D7AA">
            <w:pPr>
              <w:spacing w:line="56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响应产品名称</w:t>
            </w:r>
          </w:p>
        </w:tc>
        <w:tc>
          <w:tcPr>
            <w:tcW w:w="1417" w:type="dxa"/>
            <w:vAlign w:val="center"/>
          </w:tcPr>
          <w:p w14:paraId="5B2E56EB">
            <w:pPr>
              <w:spacing w:line="56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生产厂家</w:t>
            </w:r>
          </w:p>
        </w:tc>
        <w:tc>
          <w:tcPr>
            <w:tcW w:w="1418" w:type="dxa"/>
            <w:vAlign w:val="center"/>
          </w:tcPr>
          <w:p w14:paraId="1BC95E20">
            <w:pPr>
              <w:spacing w:line="56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规格型号</w:t>
            </w:r>
          </w:p>
        </w:tc>
        <w:tc>
          <w:tcPr>
            <w:tcW w:w="1891" w:type="dxa"/>
            <w:vAlign w:val="center"/>
          </w:tcPr>
          <w:p w14:paraId="74C821EC">
            <w:pPr>
              <w:spacing w:line="560" w:lineRule="exact"/>
              <w:jc w:val="center"/>
              <w:rPr>
                <w:rFonts w:ascii="Times New Roman" w:hAnsi="Times New Roman" w:eastAsia="仿宋" w:cs="Times New Roman"/>
                <w:kern w:val="0"/>
                <w:szCs w:val="21"/>
              </w:rPr>
            </w:pPr>
            <w:r>
              <w:rPr>
                <w:rFonts w:hint="eastAsia" w:ascii="Times New Roman" w:hAnsi="Times New Roman" w:eastAsia="仿宋" w:cs="Times New Roman"/>
                <w:kern w:val="0"/>
                <w:szCs w:val="21"/>
                <w:lang w:val="zh-TW" w:eastAsia="zh-TW"/>
              </w:rPr>
              <w:t>下浮率（%）</w:t>
            </w:r>
          </w:p>
        </w:tc>
      </w:tr>
      <w:tr w14:paraId="2AE3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085" w:type="dxa"/>
            <w:vAlign w:val="center"/>
          </w:tcPr>
          <w:p w14:paraId="33FA3AA9">
            <w:pPr>
              <w:pStyle w:val="7"/>
              <w:spacing w:line="560" w:lineRule="exact"/>
              <w:jc w:val="center"/>
              <w:rPr>
                <w:rFonts w:ascii="Times New Roman" w:hAnsi="Times New Roman" w:eastAsia="仿宋" w:cs="Times New Roman"/>
                <w:szCs w:val="21"/>
              </w:rPr>
            </w:pPr>
            <w:r>
              <w:rPr>
                <w:rFonts w:ascii="Times New Roman" w:hAnsi="Times New Roman" w:eastAsia="仿宋" w:cs="Times New Roman"/>
                <w:szCs w:val="21"/>
              </w:rPr>
              <w:t>1</w:t>
            </w:r>
          </w:p>
        </w:tc>
        <w:tc>
          <w:tcPr>
            <w:tcW w:w="1843" w:type="dxa"/>
            <w:vMerge w:val="restart"/>
            <w:vAlign w:val="center"/>
          </w:tcPr>
          <w:p w14:paraId="21A93F89">
            <w:pPr>
              <w:pStyle w:val="7"/>
              <w:spacing w:line="560" w:lineRule="exact"/>
              <w:jc w:val="center"/>
              <w:rPr>
                <w:rFonts w:ascii="Times New Roman" w:hAnsi="Times New Roman" w:eastAsia="仿宋" w:cs="Times New Roman"/>
                <w:szCs w:val="21"/>
              </w:rPr>
            </w:pPr>
            <w:r>
              <w:rPr>
                <w:rFonts w:hint="eastAsia" w:ascii="Times New Roman" w:hAnsi="Times New Roman" w:eastAsia="仿宋" w:cs="Times New Roman"/>
                <w:sz w:val="22"/>
              </w:rPr>
              <w:t>四川省人民医院开水器租赁服务采购项目</w:t>
            </w:r>
          </w:p>
        </w:tc>
        <w:tc>
          <w:tcPr>
            <w:tcW w:w="1985" w:type="dxa"/>
          </w:tcPr>
          <w:p w14:paraId="74F731F3">
            <w:pPr>
              <w:pStyle w:val="14"/>
              <w:widowControl/>
              <w:jc w:val="center"/>
              <w:rPr>
                <w:rFonts w:ascii="Times New Roman" w:hAnsi="Times New Roman" w:eastAsia="仿宋"/>
                <w:kern w:val="2"/>
                <w:sz w:val="22"/>
              </w:rPr>
            </w:pPr>
            <w:r>
              <w:rPr>
                <w:rFonts w:hint="eastAsia" w:ascii="Times New Roman" w:hAnsi="Times New Roman" w:eastAsia="仿宋"/>
                <w:kern w:val="2"/>
                <w:sz w:val="22"/>
              </w:rPr>
              <w:t>机器一</w:t>
            </w:r>
          </w:p>
        </w:tc>
        <w:tc>
          <w:tcPr>
            <w:tcW w:w="1417" w:type="dxa"/>
            <w:vAlign w:val="center"/>
          </w:tcPr>
          <w:p w14:paraId="4A44268C">
            <w:pPr>
              <w:pStyle w:val="7"/>
              <w:spacing w:line="560" w:lineRule="exact"/>
              <w:jc w:val="center"/>
              <w:rPr>
                <w:rFonts w:ascii="Times New Roman" w:hAnsi="Times New Roman" w:eastAsia="仿宋" w:cs="Times New Roman"/>
                <w:szCs w:val="21"/>
              </w:rPr>
            </w:pPr>
          </w:p>
        </w:tc>
        <w:tc>
          <w:tcPr>
            <w:tcW w:w="1418" w:type="dxa"/>
            <w:vAlign w:val="center"/>
          </w:tcPr>
          <w:p w14:paraId="338798A9">
            <w:pPr>
              <w:pStyle w:val="7"/>
              <w:spacing w:line="560" w:lineRule="exact"/>
              <w:jc w:val="center"/>
              <w:rPr>
                <w:rFonts w:ascii="Times New Roman" w:hAnsi="Times New Roman" w:eastAsia="仿宋" w:cs="Times New Roman"/>
                <w:szCs w:val="21"/>
              </w:rPr>
            </w:pPr>
          </w:p>
        </w:tc>
        <w:tc>
          <w:tcPr>
            <w:tcW w:w="1891" w:type="dxa"/>
            <w:vMerge w:val="restart"/>
            <w:vAlign w:val="center"/>
          </w:tcPr>
          <w:p w14:paraId="131EEB25">
            <w:pPr>
              <w:pStyle w:val="7"/>
              <w:spacing w:line="560" w:lineRule="exact"/>
              <w:jc w:val="center"/>
              <w:rPr>
                <w:rFonts w:ascii="Times New Roman" w:hAnsi="Times New Roman" w:eastAsia="仿宋" w:cs="Times New Roman"/>
                <w:szCs w:val="21"/>
              </w:rPr>
            </w:pPr>
          </w:p>
        </w:tc>
      </w:tr>
      <w:tr w14:paraId="299C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085" w:type="dxa"/>
            <w:vAlign w:val="center"/>
          </w:tcPr>
          <w:p w14:paraId="3ED26D26">
            <w:pPr>
              <w:pStyle w:val="7"/>
              <w:spacing w:line="560" w:lineRule="exact"/>
              <w:jc w:val="center"/>
              <w:rPr>
                <w:rFonts w:ascii="Times New Roman" w:hAnsi="Times New Roman" w:eastAsia="仿宋" w:cs="Times New Roman"/>
                <w:szCs w:val="21"/>
              </w:rPr>
            </w:pPr>
            <w:r>
              <w:rPr>
                <w:rFonts w:ascii="Times New Roman" w:hAnsi="Times New Roman" w:eastAsia="仿宋" w:cs="Times New Roman"/>
                <w:szCs w:val="21"/>
              </w:rPr>
              <w:t>2</w:t>
            </w:r>
          </w:p>
        </w:tc>
        <w:tc>
          <w:tcPr>
            <w:tcW w:w="1843" w:type="dxa"/>
            <w:vMerge w:val="continue"/>
            <w:vAlign w:val="center"/>
          </w:tcPr>
          <w:p w14:paraId="29B2173C">
            <w:pPr>
              <w:pStyle w:val="7"/>
              <w:spacing w:line="560" w:lineRule="exact"/>
              <w:jc w:val="center"/>
              <w:rPr>
                <w:rFonts w:ascii="Times New Roman" w:hAnsi="Times New Roman" w:eastAsia="仿宋" w:cs="Times New Roman"/>
                <w:szCs w:val="21"/>
              </w:rPr>
            </w:pPr>
          </w:p>
        </w:tc>
        <w:tc>
          <w:tcPr>
            <w:tcW w:w="1985" w:type="dxa"/>
          </w:tcPr>
          <w:p w14:paraId="303216C4">
            <w:pPr>
              <w:pStyle w:val="14"/>
              <w:widowControl/>
              <w:jc w:val="center"/>
              <w:rPr>
                <w:rFonts w:ascii="Times New Roman" w:hAnsi="Times New Roman" w:eastAsia="仿宋"/>
                <w:kern w:val="2"/>
                <w:sz w:val="22"/>
              </w:rPr>
            </w:pPr>
            <w:r>
              <w:rPr>
                <w:rFonts w:hint="eastAsia" w:ascii="Times New Roman" w:hAnsi="Times New Roman" w:eastAsia="仿宋"/>
                <w:kern w:val="2"/>
                <w:sz w:val="22"/>
              </w:rPr>
              <w:t>机器二</w:t>
            </w:r>
          </w:p>
        </w:tc>
        <w:tc>
          <w:tcPr>
            <w:tcW w:w="1417" w:type="dxa"/>
            <w:vAlign w:val="center"/>
          </w:tcPr>
          <w:p w14:paraId="0CA01900">
            <w:pPr>
              <w:pStyle w:val="7"/>
              <w:spacing w:line="560" w:lineRule="exact"/>
              <w:jc w:val="center"/>
              <w:rPr>
                <w:rFonts w:ascii="Times New Roman" w:hAnsi="Times New Roman" w:eastAsia="仿宋" w:cs="Times New Roman"/>
                <w:szCs w:val="21"/>
              </w:rPr>
            </w:pPr>
          </w:p>
        </w:tc>
        <w:tc>
          <w:tcPr>
            <w:tcW w:w="1418" w:type="dxa"/>
            <w:vAlign w:val="center"/>
          </w:tcPr>
          <w:p w14:paraId="74EBC686">
            <w:pPr>
              <w:pStyle w:val="7"/>
              <w:spacing w:line="560" w:lineRule="exact"/>
              <w:jc w:val="center"/>
              <w:rPr>
                <w:rFonts w:ascii="Times New Roman" w:hAnsi="Times New Roman" w:eastAsia="仿宋" w:cs="Times New Roman"/>
                <w:szCs w:val="21"/>
              </w:rPr>
            </w:pPr>
          </w:p>
        </w:tc>
        <w:tc>
          <w:tcPr>
            <w:tcW w:w="1891" w:type="dxa"/>
            <w:vMerge w:val="continue"/>
            <w:vAlign w:val="center"/>
          </w:tcPr>
          <w:p w14:paraId="20615228">
            <w:pPr>
              <w:pStyle w:val="7"/>
              <w:spacing w:line="560" w:lineRule="exact"/>
              <w:jc w:val="center"/>
              <w:rPr>
                <w:rFonts w:ascii="Times New Roman" w:hAnsi="Times New Roman" w:eastAsia="仿宋" w:cs="Times New Roman"/>
                <w:szCs w:val="21"/>
              </w:rPr>
            </w:pPr>
          </w:p>
        </w:tc>
      </w:tr>
      <w:tr w14:paraId="7804A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085" w:type="dxa"/>
            <w:vAlign w:val="center"/>
          </w:tcPr>
          <w:p w14:paraId="25675A76">
            <w:pPr>
              <w:pStyle w:val="7"/>
              <w:spacing w:line="560" w:lineRule="exact"/>
              <w:jc w:val="center"/>
              <w:rPr>
                <w:rFonts w:ascii="Times New Roman" w:hAnsi="Times New Roman" w:eastAsia="仿宋" w:cs="Times New Roman"/>
                <w:szCs w:val="21"/>
              </w:rPr>
            </w:pPr>
            <w:r>
              <w:rPr>
                <w:rFonts w:ascii="Times New Roman" w:hAnsi="Times New Roman" w:eastAsia="仿宋" w:cs="Times New Roman"/>
                <w:szCs w:val="21"/>
              </w:rPr>
              <w:t>3</w:t>
            </w:r>
          </w:p>
        </w:tc>
        <w:tc>
          <w:tcPr>
            <w:tcW w:w="1843" w:type="dxa"/>
            <w:vMerge w:val="continue"/>
            <w:vAlign w:val="center"/>
          </w:tcPr>
          <w:p w14:paraId="09061805">
            <w:pPr>
              <w:pStyle w:val="7"/>
              <w:spacing w:line="560" w:lineRule="exact"/>
              <w:jc w:val="center"/>
              <w:rPr>
                <w:rFonts w:ascii="Times New Roman" w:hAnsi="Times New Roman" w:eastAsia="仿宋" w:cs="Times New Roman"/>
                <w:szCs w:val="21"/>
              </w:rPr>
            </w:pPr>
          </w:p>
        </w:tc>
        <w:tc>
          <w:tcPr>
            <w:tcW w:w="1985" w:type="dxa"/>
          </w:tcPr>
          <w:p w14:paraId="49D4364E">
            <w:pPr>
              <w:pStyle w:val="14"/>
              <w:widowControl/>
              <w:jc w:val="center"/>
              <w:rPr>
                <w:rFonts w:ascii="Times New Roman" w:hAnsi="Times New Roman" w:eastAsia="仿宋"/>
                <w:kern w:val="2"/>
                <w:sz w:val="22"/>
              </w:rPr>
            </w:pPr>
            <w:r>
              <w:rPr>
                <w:rFonts w:hint="eastAsia" w:ascii="Times New Roman" w:hAnsi="Times New Roman" w:eastAsia="仿宋"/>
                <w:kern w:val="2"/>
                <w:sz w:val="22"/>
              </w:rPr>
              <w:t>机器三</w:t>
            </w:r>
          </w:p>
        </w:tc>
        <w:tc>
          <w:tcPr>
            <w:tcW w:w="1417" w:type="dxa"/>
            <w:vAlign w:val="center"/>
          </w:tcPr>
          <w:p w14:paraId="6D343AE8">
            <w:pPr>
              <w:pStyle w:val="7"/>
              <w:spacing w:line="560" w:lineRule="exact"/>
              <w:jc w:val="center"/>
              <w:rPr>
                <w:rFonts w:ascii="Times New Roman" w:hAnsi="Times New Roman" w:eastAsia="仿宋" w:cs="Times New Roman"/>
                <w:szCs w:val="21"/>
              </w:rPr>
            </w:pPr>
          </w:p>
        </w:tc>
        <w:tc>
          <w:tcPr>
            <w:tcW w:w="1418" w:type="dxa"/>
            <w:vAlign w:val="center"/>
          </w:tcPr>
          <w:p w14:paraId="07C4B7B1">
            <w:pPr>
              <w:pStyle w:val="7"/>
              <w:spacing w:line="560" w:lineRule="exact"/>
              <w:jc w:val="center"/>
              <w:rPr>
                <w:rFonts w:ascii="Times New Roman" w:hAnsi="Times New Roman" w:eastAsia="仿宋" w:cs="Times New Roman"/>
                <w:szCs w:val="21"/>
              </w:rPr>
            </w:pPr>
          </w:p>
        </w:tc>
        <w:tc>
          <w:tcPr>
            <w:tcW w:w="1891" w:type="dxa"/>
            <w:vMerge w:val="continue"/>
            <w:vAlign w:val="center"/>
          </w:tcPr>
          <w:p w14:paraId="5C6ED0C0">
            <w:pPr>
              <w:pStyle w:val="7"/>
              <w:spacing w:line="560" w:lineRule="exact"/>
              <w:jc w:val="center"/>
              <w:rPr>
                <w:rFonts w:ascii="Times New Roman" w:hAnsi="Times New Roman" w:eastAsia="仿宋" w:cs="Times New Roman"/>
                <w:szCs w:val="21"/>
              </w:rPr>
            </w:pPr>
          </w:p>
        </w:tc>
      </w:tr>
      <w:tr w14:paraId="0074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085" w:type="dxa"/>
            <w:vAlign w:val="center"/>
          </w:tcPr>
          <w:p w14:paraId="24342B42">
            <w:pPr>
              <w:pStyle w:val="7"/>
              <w:spacing w:line="560" w:lineRule="exact"/>
              <w:jc w:val="center"/>
              <w:rPr>
                <w:rFonts w:ascii="Times New Roman" w:hAnsi="Times New Roman" w:eastAsia="仿宋" w:cs="Times New Roman"/>
                <w:szCs w:val="21"/>
              </w:rPr>
            </w:pPr>
            <w:r>
              <w:rPr>
                <w:rFonts w:hint="eastAsia" w:ascii="Times New Roman" w:hAnsi="Times New Roman" w:eastAsia="仿宋" w:cs="Times New Roman"/>
                <w:szCs w:val="21"/>
              </w:rPr>
              <w:t>4</w:t>
            </w:r>
          </w:p>
        </w:tc>
        <w:tc>
          <w:tcPr>
            <w:tcW w:w="1843" w:type="dxa"/>
            <w:vMerge w:val="continue"/>
            <w:vAlign w:val="center"/>
          </w:tcPr>
          <w:p w14:paraId="006C3AE1">
            <w:pPr>
              <w:pStyle w:val="7"/>
              <w:spacing w:line="560" w:lineRule="exact"/>
              <w:jc w:val="center"/>
              <w:rPr>
                <w:rFonts w:ascii="Times New Roman" w:hAnsi="Times New Roman" w:eastAsia="仿宋" w:cs="Times New Roman"/>
                <w:szCs w:val="21"/>
              </w:rPr>
            </w:pPr>
          </w:p>
        </w:tc>
        <w:tc>
          <w:tcPr>
            <w:tcW w:w="1985" w:type="dxa"/>
          </w:tcPr>
          <w:p w14:paraId="531B6A2E">
            <w:pPr>
              <w:pStyle w:val="14"/>
              <w:widowControl/>
              <w:jc w:val="center"/>
              <w:rPr>
                <w:rFonts w:ascii="Times New Roman" w:hAnsi="Times New Roman" w:eastAsia="仿宋"/>
                <w:kern w:val="2"/>
                <w:sz w:val="22"/>
              </w:rPr>
            </w:pPr>
            <w:r>
              <w:rPr>
                <w:rFonts w:hint="eastAsia" w:ascii="Times New Roman" w:hAnsi="Times New Roman" w:eastAsia="仿宋"/>
                <w:kern w:val="2"/>
                <w:sz w:val="22"/>
              </w:rPr>
              <w:t>机器四</w:t>
            </w:r>
          </w:p>
        </w:tc>
        <w:tc>
          <w:tcPr>
            <w:tcW w:w="1417" w:type="dxa"/>
            <w:vAlign w:val="center"/>
          </w:tcPr>
          <w:p w14:paraId="5DC55980">
            <w:pPr>
              <w:pStyle w:val="7"/>
              <w:spacing w:line="560" w:lineRule="exact"/>
              <w:jc w:val="center"/>
              <w:rPr>
                <w:rFonts w:ascii="Times New Roman" w:hAnsi="Times New Roman" w:eastAsia="仿宋" w:cs="Times New Roman"/>
                <w:szCs w:val="21"/>
              </w:rPr>
            </w:pPr>
          </w:p>
        </w:tc>
        <w:tc>
          <w:tcPr>
            <w:tcW w:w="1418" w:type="dxa"/>
            <w:vAlign w:val="center"/>
          </w:tcPr>
          <w:p w14:paraId="7707734A">
            <w:pPr>
              <w:pStyle w:val="7"/>
              <w:spacing w:line="560" w:lineRule="exact"/>
              <w:jc w:val="center"/>
              <w:rPr>
                <w:rFonts w:ascii="Times New Roman" w:hAnsi="Times New Roman" w:eastAsia="仿宋" w:cs="Times New Roman"/>
                <w:szCs w:val="21"/>
              </w:rPr>
            </w:pPr>
          </w:p>
        </w:tc>
        <w:tc>
          <w:tcPr>
            <w:tcW w:w="1891" w:type="dxa"/>
            <w:vMerge w:val="continue"/>
            <w:vAlign w:val="center"/>
          </w:tcPr>
          <w:p w14:paraId="39EC1DF5">
            <w:pPr>
              <w:pStyle w:val="7"/>
              <w:spacing w:line="560" w:lineRule="exact"/>
              <w:jc w:val="center"/>
              <w:rPr>
                <w:rFonts w:ascii="Times New Roman" w:hAnsi="Times New Roman" w:eastAsia="仿宋" w:cs="Times New Roman"/>
                <w:szCs w:val="21"/>
              </w:rPr>
            </w:pPr>
          </w:p>
        </w:tc>
      </w:tr>
    </w:tbl>
    <w:p w14:paraId="5C4FA060">
      <w:pPr>
        <w:pStyle w:val="7"/>
        <w:widowControl/>
        <w:jc w:val="left"/>
        <w:rPr>
          <w:rFonts w:ascii="Times New Roman" w:hAnsi="Times New Roman" w:eastAsia="仿宋" w:cs="Times New Roman"/>
          <w:szCs w:val="21"/>
          <w:lang w:val="zh-TW"/>
        </w:rPr>
      </w:pPr>
      <w:r>
        <w:rPr>
          <w:rFonts w:hint="eastAsia" w:ascii="仿宋" w:hAnsi="仿宋" w:eastAsia="仿宋" w:cs="仿宋"/>
          <w:b/>
          <w:bCs/>
          <w:lang w:val="zh-TW" w:eastAsia="zh-TW"/>
        </w:rPr>
        <w:t>注</w:t>
      </w:r>
      <w:r>
        <w:rPr>
          <w:rFonts w:hint="eastAsia" w:ascii="仿宋" w:hAnsi="仿宋" w:eastAsia="仿宋" w:cs="仿宋"/>
          <w:b/>
          <w:bCs/>
          <w:lang w:val="zh-TW"/>
        </w:rPr>
        <w:t>：</w:t>
      </w:r>
      <w:r>
        <w:rPr>
          <w:rFonts w:hint="eastAsia" w:ascii="Times New Roman" w:hAnsi="Times New Roman" w:eastAsia="仿宋" w:cs="Times New Roman"/>
          <w:szCs w:val="21"/>
          <w:lang w:val="zh-TW"/>
        </w:rPr>
        <w:t>本项目按清单单价限价报统一下浮率，下浮率&lt;0或≥100%视为无效报价，其响应文件作无效处理;如下浮率20%，成交价格=限高单价*(1-20%)。（</w:t>
      </w:r>
      <w:r>
        <w:rPr>
          <w:rFonts w:hint="eastAsia" w:ascii="Times New Roman" w:hAnsi="Times New Roman" w:eastAsia="仿宋" w:cs="Times New Roman"/>
          <w:szCs w:val="21"/>
        </w:rPr>
        <w:t>保留小数点后两位</w:t>
      </w:r>
      <w:r>
        <w:rPr>
          <w:rFonts w:hint="eastAsia" w:ascii="Times New Roman" w:hAnsi="Times New Roman" w:eastAsia="仿宋" w:cs="Times New Roman"/>
          <w:szCs w:val="21"/>
          <w:lang w:val="zh-TW"/>
        </w:rPr>
        <w:t>）</w:t>
      </w:r>
    </w:p>
    <w:p w14:paraId="2785CA58">
      <w:pPr>
        <w:widowControl/>
        <w:spacing w:line="560" w:lineRule="exact"/>
        <w:jc w:val="left"/>
        <w:rPr>
          <w:rFonts w:ascii="Times New Roman" w:hAnsi="Times New Roman" w:eastAsia="仿宋" w:cs="Times New Roman"/>
          <w:szCs w:val="21"/>
          <w:lang w:val="zh-TW"/>
        </w:rPr>
      </w:pPr>
    </w:p>
    <w:p w14:paraId="183A882A">
      <w:pPr>
        <w:widowControl/>
        <w:spacing w:line="560" w:lineRule="exact"/>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7A396846">
      <w:pPr>
        <w:widowControl/>
        <w:spacing w:line="560" w:lineRule="exact"/>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rPr>
        <w:t>表人</w:t>
      </w:r>
      <w:r>
        <w:rPr>
          <w:rFonts w:ascii="Times New Roman" w:hAnsi="Times New Roman" w:eastAsia="仿宋" w:cs="Times New Roman"/>
          <w:szCs w:val="21"/>
          <w:lang w:val="zh-TW" w:eastAsia="zh-TW"/>
        </w:rPr>
        <w:t>（负责人）或授权代表人</w:t>
      </w:r>
    </w:p>
    <w:p w14:paraId="07622C4F">
      <w:pPr>
        <w:widowControl/>
        <w:spacing w:line="560" w:lineRule="exact"/>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spacing w:line="560" w:lineRule="exact"/>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344EE3E6">
      <w:pPr>
        <w:spacing w:line="560" w:lineRule="exact"/>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spacing w:line="560" w:lineRule="exact"/>
        <w:ind w:firstLine="0"/>
      </w:pPr>
      <w:r>
        <w:t>供应商认为需要提供的其他材料</w:t>
      </w:r>
      <w:bookmarkEnd w:id="85"/>
      <w:bookmarkEnd w:id="86"/>
      <w:bookmarkEnd w:id="87"/>
      <w:bookmarkEnd w:id="89"/>
      <w:bookmarkEnd w:id="90"/>
      <w:bookmarkEnd w:id="91"/>
    </w:p>
    <w:p w14:paraId="29C34B71">
      <w:pPr>
        <w:pStyle w:val="7"/>
        <w:spacing w:line="560" w:lineRule="exact"/>
        <w:jc w:val="center"/>
        <w:rPr>
          <w:rFonts w:ascii="Times New Roman" w:hAnsi="Times New Roman" w:eastAsia="仿宋" w:cs="Times New Roman"/>
        </w:rPr>
      </w:pPr>
    </w:p>
    <w:p w14:paraId="4431E4F9">
      <w:pPr>
        <w:pStyle w:val="7"/>
        <w:spacing w:line="560" w:lineRule="exact"/>
        <w:jc w:val="center"/>
        <w:rPr>
          <w:rFonts w:ascii="Times New Roman" w:hAnsi="Times New Roman" w:eastAsia="仿宋" w:cs="Times New Roman"/>
        </w:rPr>
      </w:pPr>
    </w:p>
    <w:p w14:paraId="492A03C4">
      <w:pPr>
        <w:pStyle w:val="7"/>
        <w:spacing w:line="560" w:lineRule="exact"/>
        <w:jc w:val="center"/>
        <w:rPr>
          <w:rFonts w:ascii="Times New Roman" w:hAnsi="Times New Roman" w:eastAsia="仿宋" w:cs="Times New Roman"/>
        </w:rPr>
      </w:pPr>
    </w:p>
    <w:p w14:paraId="6BDF51D7">
      <w:pPr>
        <w:pStyle w:val="7"/>
        <w:spacing w:line="560" w:lineRule="exact"/>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spacing w:line="560" w:lineRule="exact"/>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spacing w:line="560" w:lineRule="exact"/>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spacing w:line="560" w:lineRule="exact"/>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3"/>
        <w:rPr>
          <w:sz w:val="48"/>
          <w:szCs w:val="48"/>
          <w:highlight w:val="none"/>
        </w:rPr>
      </w:pPr>
      <w:r>
        <w:rPr>
          <w:rFonts w:hint="eastAsia"/>
          <w:sz w:val="48"/>
          <w:szCs w:val="48"/>
          <w:highlight w:val="none"/>
        </w:rPr>
        <w:t>*</w:t>
      </w:r>
      <w:r>
        <w:rPr>
          <w:sz w:val="48"/>
          <w:szCs w:val="48"/>
          <w:highlight w:val="none"/>
        </w:rPr>
        <w:t>**</w:t>
      </w:r>
      <w:r>
        <w:rPr>
          <w:rFonts w:hint="eastAsia"/>
          <w:sz w:val="48"/>
          <w:szCs w:val="48"/>
          <w:highlight w:val="none"/>
        </w:rPr>
        <w:t>服务项目</w:t>
      </w:r>
    </w:p>
    <w:p w14:paraId="622B975B">
      <w:pPr>
        <w:pStyle w:val="43"/>
        <w:rPr>
          <w:sz w:val="48"/>
          <w:szCs w:val="48"/>
          <w:highlight w:val="none"/>
        </w:rPr>
      </w:pPr>
      <w:r>
        <w:rPr>
          <w:rFonts w:hint="eastAsia"/>
          <w:sz w:val="48"/>
          <w:szCs w:val="48"/>
          <w:highlight w:val="none"/>
        </w:rPr>
        <w:t>采购</w:t>
      </w:r>
      <w:r>
        <w:rPr>
          <w:sz w:val="48"/>
          <w:szCs w:val="48"/>
          <w:highlight w:val="none"/>
        </w:rPr>
        <w:t>合同</w:t>
      </w:r>
    </w:p>
    <w:p w14:paraId="3987C57D">
      <w:pPr>
        <w:rPr>
          <w:sz w:val="24"/>
          <w:highlight w:val="none"/>
        </w:rPr>
        <w:sectPr>
          <w:headerReference r:id="rId6" w:type="default"/>
          <w:footerReference r:id="rId7" w:type="default"/>
          <w:footerReference r:id="rId8" w:type="even"/>
          <w:pgSz w:w="11906" w:h="16838"/>
          <w:pgMar w:top="1134" w:right="1134" w:bottom="1134" w:left="1134" w:header="850" w:footer="567" w:gutter="0"/>
          <w:pgNumType w:fmt="decimal"/>
          <w:cols w:space="425" w:num="1"/>
          <w:docGrid w:linePitch="312" w:charSpace="0"/>
        </w:sectPr>
      </w:pPr>
    </w:p>
    <w:p w14:paraId="51A81929">
      <w:pPr>
        <w:adjustRightInd w:val="0"/>
        <w:ind w:firstLine="420" w:firstLineChars="200"/>
        <w:contextualSpacing/>
        <w:jc w:val="left"/>
        <w:rPr>
          <w:color w:val="000000"/>
          <w:szCs w:val="21"/>
          <w:highlight w:val="none"/>
        </w:rPr>
      </w:pPr>
    </w:p>
    <w:p w14:paraId="38DA1C0D">
      <w:pPr>
        <w:adjustRightInd w:val="0"/>
        <w:ind w:firstLine="420" w:firstLineChars="200"/>
        <w:contextualSpacing/>
        <w:jc w:val="left"/>
        <w:rPr>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709"/>
        <w:gridCol w:w="4929"/>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highlight w:val="none"/>
              </w:rPr>
            </w:pPr>
            <w:r>
              <w:rPr>
                <w:b/>
                <w:bCs/>
                <w:color w:val="000000"/>
                <w:szCs w:val="21"/>
                <w:highlight w:val="none"/>
              </w:rPr>
              <w:t>合同编号</w:t>
            </w:r>
            <w:r>
              <w:rPr>
                <w:color w:val="000000"/>
                <w:szCs w:val="21"/>
                <w:highlight w:val="none"/>
              </w:rPr>
              <w:t>：CGZX-***</w:t>
            </w:r>
          </w:p>
          <w:p w14:paraId="2F6BC159">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highlight w:val="none"/>
              </w:rPr>
            </w:pPr>
            <w:r>
              <w:rPr>
                <w:b/>
                <w:bCs/>
                <w:szCs w:val="21"/>
                <w:highlight w:val="none"/>
              </w:rPr>
              <w:t>采购人（以下简称甲方）</w:t>
            </w:r>
            <w:r>
              <w:rPr>
                <w:szCs w:val="21"/>
                <w:highlight w:val="none"/>
              </w:rPr>
              <w:t>：四川省人民医院</w:t>
            </w:r>
          </w:p>
          <w:p w14:paraId="2FDD4CAB">
            <w:pPr>
              <w:rPr>
                <w:szCs w:val="21"/>
                <w:highlight w:val="none"/>
              </w:rPr>
            </w:pPr>
            <w:r>
              <w:rPr>
                <w:b/>
                <w:bCs/>
                <w:szCs w:val="21"/>
                <w:highlight w:val="none"/>
              </w:rPr>
              <w:t>地址</w:t>
            </w:r>
            <w:r>
              <w:rPr>
                <w:szCs w:val="21"/>
                <w:highlight w:val="none"/>
              </w:rPr>
              <w:t>：四川省成都市一环路西二段32号</w:t>
            </w:r>
          </w:p>
          <w:p w14:paraId="0C626314">
            <w:pPr>
              <w:rPr>
                <w:szCs w:val="21"/>
                <w:highlight w:val="none"/>
              </w:rPr>
            </w:pPr>
            <w:r>
              <w:rPr>
                <w:b/>
                <w:bCs/>
                <w:szCs w:val="21"/>
                <w:highlight w:val="none"/>
              </w:rPr>
              <w:t>项目联系人：</w:t>
            </w:r>
            <w:r>
              <w:rPr>
                <w:rFonts w:hint="eastAsia"/>
                <w:szCs w:val="21"/>
                <w:highlight w:val="none"/>
                <w:lang w:val="en-US" w:eastAsia="zh-CN"/>
              </w:rPr>
              <w:t>费老师</w:t>
            </w:r>
            <w:r>
              <w:rPr>
                <w:szCs w:val="21"/>
                <w:highlight w:val="none"/>
              </w:rPr>
              <w:t xml:space="preserve"> </w:t>
            </w:r>
          </w:p>
          <w:p w14:paraId="55B6CA4B">
            <w:pPr>
              <w:rPr>
                <w:highlight w:val="none"/>
              </w:rPr>
            </w:pPr>
            <w:r>
              <w:rPr>
                <w:b/>
                <w:bCs/>
                <w:szCs w:val="21"/>
                <w:highlight w:val="none"/>
              </w:rPr>
              <w:t>电话：</w:t>
            </w:r>
            <w:r>
              <w:rPr>
                <w:szCs w:val="21"/>
                <w:highlight w:val="none"/>
              </w:rPr>
              <w:t>028-</w:t>
            </w:r>
            <w:r>
              <w:rPr>
                <w:rFonts w:hint="eastAsia"/>
                <w:szCs w:val="21"/>
                <w:highlight w:val="none"/>
                <w:lang w:val="en-US" w:eastAsia="zh-CN"/>
              </w:rPr>
              <w:t>87394783</w:t>
            </w:r>
          </w:p>
        </w:tc>
        <w:tc>
          <w:tcPr>
            <w:tcW w:w="5242" w:type="dxa"/>
          </w:tcPr>
          <w:p w14:paraId="607B7137">
            <w:pPr>
              <w:rPr>
                <w:b/>
                <w:bCs/>
                <w:szCs w:val="21"/>
                <w:highlight w:val="none"/>
              </w:rPr>
            </w:pPr>
            <w:r>
              <w:rPr>
                <w:b/>
                <w:bCs/>
                <w:szCs w:val="21"/>
                <w:highlight w:val="none"/>
              </w:rPr>
              <w:t>供应商（以下简称乙方）：***</w:t>
            </w:r>
          </w:p>
          <w:p w14:paraId="7AB3403D">
            <w:pPr>
              <w:rPr>
                <w:b/>
                <w:bCs/>
                <w:szCs w:val="21"/>
                <w:highlight w:val="none"/>
              </w:rPr>
            </w:pPr>
            <w:r>
              <w:rPr>
                <w:b/>
                <w:bCs/>
                <w:szCs w:val="21"/>
                <w:highlight w:val="none"/>
              </w:rPr>
              <w:t>地址：***</w:t>
            </w:r>
          </w:p>
          <w:p w14:paraId="49B46EA1">
            <w:pPr>
              <w:rPr>
                <w:b/>
                <w:bCs/>
                <w:szCs w:val="21"/>
                <w:highlight w:val="none"/>
              </w:rPr>
            </w:pPr>
            <w:r>
              <w:rPr>
                <w:b/>
                <w:bCs/>
                <w:szCs w:val="21"/>
                <w:highlight w:val="none"/>
              </w:rPr>
              <w:t>移动电话：***</w:t>
            </w:r>
          </w:p>
          <w:p w14:paraId="2A04E3BE">
            <w:pPr>
              <w:contextualSpacing/>
              <w:rPr>
                <w:b/>
                <w:bCs/>
                <w:szCs w:val="21"/>
                <w:highlight w:val="none"/>
              </w:rPr>
            </w:pPr>
            <w:r>
              <w:rPr>
                <w:b/>
                <w:bCs/>
                <w:szCs w:val="21"/>
                <w:highlight w:val="none"/>
              </w:rPr>
              <w:t>联系人：***</w:t>
            </w:r>
          </w:p>
          <w:p w14:paraId="18A1ADEB">
            <w:pP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F2EEB2D">
      <w:pPr>
        <w:ind w:firstLine="420" w:firstLineChars="200"/>
        <w:contextualSpacing/>
        <w:jc w:val="left"/>
        <w:rPr>
          <w:color w:val="000000"/>
          <w:szCs w:val="21"/>
          <w:highlight w:val="none"/>
        </w:rPr>
      </w:pPr>
    </w:p>
    <w:p w14:paraId="2600F949">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83A7E">
      <w:pPr>
        <w:contextualSpacing/>
        <w:jc w:val="left"/>
        <w:rPr>
          <w:b/>
          <w:szCs w:val="21"/>
          <w:highlight w:val="none"/>
        </w:rPr>
      </w:pPr>
    </w:p>
    <w:p w14:paraId="4F98A680">
      <w:pPr>
        <w:pStyle w:val="29"/>
        <w:numPr>
          <w:ilvl w:val="0"/>
          <w:numId w:val="15"/>
        </w:numPr>
        <w:ind w:left="0" w:firstLine="0" w:firstLineChars="0"/>
        <w:contextualSpacing/>
        <w:jc w:val="left"/>
        <w:rPr>
          <w:b/>
          <w:szCs w:val="21"/>
          <w:highlight w:val="none"/>
        </w:rPr>
      </w:pPr>
      <w:r>
        <w:rPr>
          <w:b/>
          <w:szCs w:val="21"/>
          <w:highlight w:val="none"/>
        </w:rPr>
        <w:t>合同标的</w:t>
      </w:r>
    </w:p>
    <w:p w14:paraId="2E385537">
      <w:pPr>
        <w:pStyle w:val="9"/>
        <w:numPr>
          <w:ilvl w:val="0"/>
          <w:numId w:val="16"/>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229FB38">
      <w:pPr>
        <w:pStyle w:val="9"/>
        <w:numPr>
          <w:ilvl w:val="0"/>
          <w:numId w:val="16"/>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5F975DD2">
      <w:pPr>
        <w:pStyle w:val="9"/>
        <w:numPr>
          <w:ilvl w:val="0"/>
          <w:numId w:val="16"/>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vAlign w:val="center"/>
          </w:tcPr>
          <w:p w14:paraId="4CF73042">
            <w:pPr>
              <w:pStyle w:val="29"/>
              <w:ind w:firstLine="0" w:firstLineChars="0"/>
              <w:jc w:val="center"/>
              <w:rPr>
                <w:color w:val="000000"/>
                <w:szCs w:val="21"/>
                <w:highlight w:val="none"/>
              </w:rPr>
            </w:pPr>
            <w:r>
              <w:rPr>
                <w:color w:val="000000"/>
                <w:szCs w:val="21"/>
                <w:highlight w:val="none"/>
              </w:rPr>
              <w:t>序号</w:t>
            </w:r>
          </w:p>
        </w:tc>
        <w:tc>
          <w:tcPr>
            <w:tcW w:w="2977" w:type="dxa"/>
            <w:vAlign w:val="center"/>
          </w:tcPr>
          <w:p w14:paraId="42032E31">
            <w:pPr>
              <w:pStyle w:val="29"/>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0F0FDBF4">
            <w:pPr>
              <w:pStyle w:val="29"/>
              <w:ind w:firstLine="0" w:firstLineChars="0"/>
              <w:jc w:val="center"/>
              <w:rPr>
                <w:color w:val="000000"/>
                <w:szCs w:val="21"/>
                <w:highlight w:val="none"/>
              </w:rPr>
            </w:pPr>
            <w:r>
              <w:rPr>
                <w:color w:val="000000"/>
                <w:szCs w:val="21"/>
                <w:highlight w:val="none"/>
              </w:rPr>
              <w:t>具体内容</w:t>
            </w:r>
          </w:p>
        </w:tc>
        <w:tc>
          <w:tcPr>
            <w:tcW w:w="963" w:type="dxa"/>
            <w:vAlign w:val="center"/>
          </w:tcPr>
          <w:p w14:paraId="6E75E46C">
            <w:pPr>
              <w:pStyle w:val="29"/>
              <w:ind w:firstLine="0" w:firstLineChars="0"/>
              <w:jc w:val="center"/>
              <w:rPr>
                <w:color w:val="000000"/>
                <w:szCs w:val="21"/>
                <w:highlight w:val="none"/>
              </w:rPr>
            </w:pPr>
            <w:r>
              <w:rPr>
                <w:color w:val="000000"/>
                <w:szCs w:val="21"/>
                <w:highlight w:val="none"/>
              </w:rPr>
              <w:t>分项价格（万元）</w:t>
            </w:r>
          </w:p>
        </w:tc>
        <w:tc>
          <w:tcPr>
            <w:tcW w:w="2016" w:type="dxa"/>
          </w:tcPr>
          <w:p w14:paraId="3BC8F9B2">
            <w:pPr>
              <w:pStyle w:val="29"/>
              <w:ind w:firstLine="0" w:firstLineChars="0"/>
              <w:jc w:val="center"/>
              <w:rPr>
                <w:color w:val="000000"/>
                <w:szCs w:val="21"/>
                <w:highlight w:val="none"/>
              </w:rPr>
            </w:pPr>
            <w:r>
              <w:rPr>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29F7C51">
            <w:pPr>
              <w:pStyle w:val="29"/>
              <w:ind w:firstLine="0" w:firstLineChars="0"/>
              <w:rPr>
                <w:color w:val="000000"/>
                <w:szCs w:val="21"/>
                <w:highlight w:val="none"/>
              </w:rPr>
            </w:pPr>
          </w:p>
        </w:tc>
        <w:tc>
          <w:tcPr>
            <w:tcW w:w="3686" w:type="dxa"/>
            <w:vAlign w:val="center"/>
          </w:tcPr>
          <w:p w14:paraId="1B711F72">
            <w:pPr>
              <w:pStyle w:val="29"/>
              <w:ind w:firstLine="0" w:firstLineChars="0"/>
              <w:rPr>
                <w:color w:val="000000"/>
                <w:szCs w:val="21"/>
                <w:highlight w:val="none"/>
              </w:rPr>
            </w:pPr>
          </w:p>
        </w:tc>
        <w:tc>
          <w:tcPr>
            <w:tcW w:w="963" w:type="dxa"/>
            <w:vAlign w:val="center"/>
          </w:tcPr>
          <w:p w14:paraId="5DD02118">
            <w:pPr>
              <w:pStyle w:val="29"/>
              <w:ind w:firstLine="0" w:firstLineChars="0"/>
              <w:jc w:val="center"/>
              <w:rPr>
                <w:color w:val="000000"/>
                <w:szCs w:val="21"/>
                <w:highlight w:val="none"/>
              </w:rPr>
            </w:pPr>
          </w:p>
        </w:tc>
        <w:tc>
          <w:tcPr>
            <w:tcW w:w="2016" w:type="dxa"/>
          </w:tcPr>
          <w:p w14:paraId="149276E7">
            <w:pPr>
              <w:pStyle w:val="29"/>
              <w:ind w:firstLine="0" w:firstLineChars="0"/>
              <w:rPr>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0E44D544">
            <w:pPr>
              <w:pStyle w:val="29"/>
              <w:ind w:firstLine="0" w:firstLineChars="0"/>
              <w:rPr>
                <w:color w:val="000000"/>
                <w:szCs w:val="21"/>
                <w:highlight w:val="none"/>
              </w:rPr>
            </w:pPr>
          </w:p>
        </w:tc>
        <w:tc>
          <w:tcPr>
            <w:tcW w:w="3686" w:type="dxa"/>
            <w:vAlign w:val="center"/>
          </w:tcPr>
          <w:p w14:paraId="01B65D9C">
            <w:pPr>
              <w:pStyle w:val="29"/>
              <w:ind w:firstLine="0" w:firstLineChars="0"/>
              <w:rPr>
                <w:color w:val="000000"/>
                <w:szCs w:val="21"/>
                <w:highlight w:val="none"/>
              </w:rPr>
            </w:pPr>
          </w:p>
        </w:tc>
        <w:tc>
          <w:tcPr>
            <w:tcW w:w="963" w:type="dxa"/>
            <w:vAlign w:val="center"/>
          </w:tcPr>
          <w:p w14:paraId="4C31DD39">
            <w:pPr>
              <w:pStyle w:val="29"/>
              <w:ind w:firstLine="0" w:firstLineChars="0"/>
              <w:jc w:val="center"/>
              <w:rPr>
                <w:color w:val="000000"/>
                <w:szCs w:val="21"/>
                <w:highlight w:val="none"/>
              </w:rPr>
            </w:pPr>
          </w:p>
        </w:tc>
        <w:tc>
          <w:tcPr>
            <w:tcW w:w="2016" w:type="dxa"/>
          </w:tcPr>
          <w:p w14:paraId="3000AC5A">
            <w:pPr>
              <w:pStyle w:val="29"/>
              <w:ind w:firstLine="0" w:firstLineChars="0"/>
              <w:rPr>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71D5F885">
            <w:pPr>
              <w:pStyle w:val="29"/>
              <w:ind w:firstLine="0" w:firstLineChars="0"/>
              <w:rPr>
                <w:color w:val="000000"/>
                <w:szCs w:val="21"/>
                <w:highlight w:val="none"/>
              </w:rPr>
            </w:pPr>
          </w:p>
        </w:tc>
        <w:tc>
          <w:tcPr>
            <w:tcW w:w="3686" w:type="dxa"/>
            <w:vAlign w:val="center"/>
          </w:tcPr>
          <w:p w14:paraId="38AC0A57">
            <w:pPr>
              <w:pStyle w:val="29"/>
              <w:ind w:firstLine="0" w:firstLineChars="0"/>
              <w:rPr>
                <w:color w:val="000000"/>
                <w:szCs w:val="21"/>
                <w:highlight w:val="none"/>
              </w:rPr>
            </w:pPr>
          </w:p>
        </w:tc>
        <w:tc>
          <w:tcPr>
            <w:tcW w:w="963" w:type="dxa"/>
            <w:vAlign w:val="center"/>
          </w:tcPr>
          <w:p w14:paraId="3B158765">
            <w:pPr>
              <w:pStyle w:val="29"/>
              <w:ind w:firstLine="0" w:firstLineChars="0"/>
              <w:jc w:val="center"/>
              <w:rPr>
                <w:color w:val="000000"/>
                <w:szCs w:val="21"/>
                <w:highlight w:val="none"/>
              </w:rPr>
            </w:pPr>
          </w:p>
        </w:tc>
        <w:tc>
          <w:tcPr>
            <w:tcW w:w="2016" w:type="dxa"/>
          </w:tcPr>
          <w:p w14:paraId="43F7F4B9">
            <w:pPr>
              <w:pStyle w:val="29"/>
              <w:ind w:firstLine="0" w:firstLineChars="0"/>
              <w:rPr>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highlight w:val="none"/>
              </w:rPr>
            </w:pPr>
            <w:r>
              <w:rPr>
                <w:color w:val="000000"/>
                <w:szCs w:val="21"/>
                <w:highlight w:val="none"/>
              </w:rPr>
              <w:t>…</w:t>
            </w:r>
          </w:p>
        </w:tc>
        <w:tc>
          <w:tcPr>
            <w:tcW w:w="2977" w:type="dxa"/>
            <w:vAlign w:val="center"/>
          </w:tcPr>
          <w:p w14:paraId="492CFE5D">
            <w:pPr>
              <w:pStyle w:val="29"/>
              <w:ind w:firstLine="0" w:firstLineChars="0"/>
              <w:rPr>
                <w:color w:val="000000"/>
                <w:szCs w:val="21"/>
                <w:highlight w:val="none"/>
              </w:rPr>
            </w:pPr>
          </w:p>
        </w:tc>
        <w:tc>
          <w:tcPr>
            <w:tcW w:w="3686" w:type="dxa"/>
            <w:vAlign w:val="center"/>
          </w:tcPr>
          <w:p w14:paraId="5E27032F">
            <w:pPr>
              <w:pStyle w:val="29"/>
              <w:ind w:firstLine="0" w:firstLineChars="0"/>
              <w:rPr>
                <w:color w:val="000000"/>
                <w:szCs w:val="21"/>
                <w:highlight w:val="none"/>
              </w:rPr>
            </w:pPr>
          </w:p>
        </w:tc>
        <w:tc>
          <w:tcPr>
            <w:tcW w:w="963" w:type="dxa"/>
            <w:vAlign w:val="center"/>
          </w:tcPr>
          <w:p w14:paraId="19B21445">
            <w:pPr>
              <w:pStyle w:val="29"/>
              <w:ind w:firstLine="0" w:firstLineChars="0"/>
              <w:jc w:val="center"/>
              <w:rPr>
                <w:color w:val="000000"/>
                <w:szCs w:val="21"/>
                <w:highlight w:val="none"/>
              </w:rPr>
            </w:pPr>
          </w:p>
        </w:tc>
        <w:tc>
          <w:tcPr>
            <w:tcW w:w="2016" w:type="dxa"/>
          </w:tcPr>
          <w:p w14:paraId="5FC047A6">
            <w:pPr>
              <w:pStyle w:val="29"/>
              <w:ind w:firstLine="0" w:firstLineChars="0"/>
              <w:rPr>
                <w:color w:val="000000"/>
                <w:szCs w:val="21"/>
                <w:highlight w:val="none"/>
              </w:rPr>
            </w:pPr>
          </w:p>
        </w:tc>
      </w:tr>
    </w:tbl>
    <w:p w14:paraId="2D35C912">
      <w:pPr>
        <w:pStyle w:val="29"/>
        <w:numPr>
          <w:ilvl w:val="0"/>
          <w:numId w:val="15"/>
        </w:numPr>
        <w:ind w:firstLineChars="0"/>
        <w:jc w:val="left"/>
        <w:rPr>
          <w:b/>
          <w:szCs w:val="21"/>
          <w:highlight w:val="none"/>
        </w:rPr>
      </w:pPr>
      <w:r>
        <w:rPr>
          <w:b/>
          <w:szCs w:val="21"/>
          <w:highlight w:val="none"/>
        </w:rPr>
        <w:t>合同</w:t>
      </w:r>
      <w:r>
        <w:rPr>
          <w:rFonts w:hint="eastAsia"/>
          <w:b/>
          <w:szCs w:val="21"/>
          <w:highlight w:val="none"/>
        </w:rPr>
        <w:t>价款</w:t>
      </w:r>
    </w:p>
    <w:p w14:paraId="036F89BD">
      <w:pPr>
        <w:ind w:firstLine="480"/>
        <w:contextualSpacing/>
        <w:jc w:val="left"/>
        <w:rPr>
          <w:szCs w:val="21"/>
          <w:highlight w:val="none"/>
        </w:rPr>
      </w:pPr>
      <w:bookmarkStart w:id="95" w:name="OLE_LINK1"/>
      <w:bookmarkStart w:id="96" w:name="OLE_LINK2"/>
      <w:r>
        <w:rPr>
          <w:color w:val="000000"/>
          <w:szCs w:val="21"/>
          <w:highlight w:val="none"/>
        </w:rPr>
        <w:sym w:font="Wingdings 2" w:char="F052"/>
      </w:r>
      <w:r>
        <w:rPr>
          <w:rFonts w:hint="eastAsia"/>
          <w:szCs w:val="21"/>
          <w:highlight w:val="none"/>
        </w:rPr>
        <w:t>全包服务</w:t>
      </w:r>
    </w:p>
    <w:p w14:paraId="6903D519">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3131E2F">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1F79E5D1">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7" w:name="OLE_LINK28"/>
      <w:r>
        <w:rPr>
          <w:szCs w:val="21"/>
          <w:highlight w:val="none"/>
        </w:rPr>
        <w:t>人民币大写：*** 圆整，即RMB *** 元</w:t>
      </w:r>
      <w:bookmarkEnd w:id="97"/>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22723641">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2981F5A">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70F77AF6">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5"/>
    <w:bookmarkEnd w:id="96"/>
    <w:p w14:paraId="61352334">
      <w:pPr>
        <w:pStyle w:val="29"/>
        <w:numPr>
          <w:ilvl w:val="0"/>
          <w:numId w:val="15"/>
        </w:numP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4E947B0D">
      <w:pPr>
        <w:pStyle w:val="29"/>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3141708C">
      <w:pPr>
        <w:pStyle w:val="29"/>
        <w:jc w:val="left"/>
        <w:rPr>
          <w:bCs/>
          <w:szCs w:val="21"/>
          <w:highlight w:val="none"/>
        </w:rPr>
      </w:pPr>
    </w:p>
    <w:p w14:paraId="368787FF">
      <w:pPr>
        <w:pStyle w:val="29"/>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08791303">
      <w:pPr>
        <w:pStyle w:val="29"/>
        <w:jc w:val="left"/>
        <w:rPr>
          <w:bCs/>
          <w:szCs w:val="21"/>
          <w:highlight w:val="none"/>
        </w:rPr>
      </w:pPr>
    </w:p>
    <w:p w14:paraId="27DB179C">
      <w:pPr>
        <w:pStyle w:val="29"/>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8"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8"/>
      <w:r>
        <w:rPr>
          <w:bCs/>
          <w:szCs w:val="21"/>
          <w:highlight w:val="none"/>
        </w:rPr>
        <w:t>。</w:t>
      </w:r>
    </w:p>
    <w:p w14:paraId="1B257405">
      <w:pPr>
        <w:pStyle w:val="29"/>
        <w:numPr>
          <w:ilvl w:val="0"/>
          <w:numId w:val="15"/>
        </w:numP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06E0AE13">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482C29A">
      <w:pPr>
        <w:pStyle w:val="29"/>
        <w:numPr>
          <w:ilvl w:val="0"/>
          <w:numId w:val="15"/>
        </w:numPr>
        <w:ind w:left="0" w:firstLine="0" w:firstLineChars="0"/>
        <w:contextualSpacing/>
        <w:jc w:val="left"/>
        <w:rPr>
          <w:b/>
          <w:szCs w:val="21"/>
          <w:highlight w:val="none"/>
        </w:rPr>
      </w:pPr>
      <w:r>
        <w:rPr>
          <w:b/>
          <w:szCs w:val="21"/>
          <w:highlight w:val="none"/>
        </w:rPr>
        <w:t>验收</w:t>
      </w:r>
    </w:p>
    <w:p w14:paraId="57707485">
      <w:pPr>
        <w:pStyle w:val="29"/>
        <w:numPr>
          <w:ilvl w:val="0"/>
          <w:numId w:val="17"/>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103305C9">
      <w:pPr>
        <w:pStyle w:val="29"/>
        <w:numPr>
          <w:ilvl w:val="0"/>
          <w:numId w:val="17"/>
        </w:numPr>
        <w:ind w:left="0" w:firstLine="0" w:firstLineChars="0"/>
        <w:contextualSpacing/>
        <w:rPr>
          <w:szCs w:val="21"/>
          <w:highlight w:val="none"/>
        </w:rPr>
      </w:pPr>
      <w:r>
        <w:rPr>
          <w:szCs w:val="21"/>
          <w:highlight w:val="none"/>
        </w:rPr>
        <w:t>验收方案：</w:t>
      </w:r>
    </w:p>
    <w:p w14:paraId="10719FFA">
      <w:pPr>
        <w:pStyle w:val="29"/>
        <w:numPr>
          <w:ilvl w:val="0"/>
          <w:numId w:val="18"/>
        </w:numPr>
        <w:ind w:firstLineChars="0"/>
        <w:contextualSpacing/>
        <w:rPr>
          <w:color w:val="000000"/>
          <w:szCs w:val="21"/>
          <w:highlight w:val="none"/>
        </w:rPr>
      </w:pPr>
      <w:r>
        <w:rPr>
          <w:rFonts w:hint="eastAsia"/>
          <w:color w:val="000000"/>
          <w:szCs w:val="21"/>
          <w:highlight w:val="none"/>
        </w:rPr>
        <w:t>验收主体：甲方</w:t>
      </w:r>
    </w:p>
    <w:p w14:paraId="7212F6E2">
      <w:pPr>
        <w:pStyle w:val="29"/>
        <w:numPr>
          <w:ilvl w:val="0"/>
          <w:numId w:val="18"/>
        </w:numPr>
        <w:ind w:firstLineChars="0"/>
        <w:contextualSpacing/>
        <w:rPr>
          <w:color w:val="000000"/>
          <w:szCs w:val="21"/>
          <w:highlight w:val="none"/>
        </w:rPr>
      </w:pPr>
      <w:r>
        <w:rPr>
          <w:rFonts w:hint="eastAsia"/>
          <w:color w:val="000000"/>
          <w:szCs w:val="21"/>
          <w:highlight w:val="none"/>
        </w:rPr>
        <w:t>验收组织方式：自行验收</w:t>
      </w:r>
    </w:p>
    <w:p w14:paraId="5C963DBA">
      <w:pPr>
        <w:pStyle w:val="29"/>
        <w:numPr>
          <w:ilvl w:val="0"/>
          <w:numId w:val="18"/>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0ACAEB8E">
      <w:pPr>
        <w:pStyle w:val="29"/>
        <w:numPr>
          <w:ilvl w:val="0"/>
          <w:numId w:val="18"/>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25BB580A">
      <w:pPr>
        <w:pStyle w:val="29"/>
        <w:numPr>
          <w:ilvl w:val="0"/>
          <w:numId w:val="18"/>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1F2D4CFA">
      <w:pPr>
        <w:pStyle w:val="29"/>
        <w:numPr>
          <w:ilvl w:val="0"/>
          <w:numId w:val="18"/>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7EEE864">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3560871">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668E8ECC">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06090759">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A943DA8">
      <w:pPr>
        <w:pStyle w:val="29"/>
        <w:numPr>
          <w:ilvl w:val="0"/>
          <w:numId w:val="18"/>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40E083B">
      <w:pPr>
        <w:pStyle w:val="29"/>
        <w:numPr>
          <w:ilvl w:val="0"/>
          <w:numId w:val="18"/>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95EB419">
      <w:pPr>
        <w:pStyle w:val="29"/>
        <w:numPr>
          <w:ilvl w:val="0"/>
          <w:numId w:val="18"/>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12FF5E1">
      <w:pPr>
        <w:pStyle w:val="29"/>
        <w:numPr>
          <w:ilvl w:val="0"/>
          <w:numId w:val="18"/>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7F88790">
      <w:pPr>
        <w:pStyle w:val="29"/>
        <w:numPr>
          <w:ilvl w:val="0"/>
          <w:numId w:val="18"/>
        </w:numPr>
        <w:ind w:firstLineChars="0"/>
        <w:contextualSpacing/>
        <w:rPr>
          <w:szCs w:val="21"/>
          <w:highlight w:val="none"/>
        </w:rPr>
      </w:pPr>
      <w:r>
        <w:rPr>
          <w:szCs w:val="21"/>
          <w:highlight w:val="none"/>
        </w:rPr>
        <w:t>验收标准：</w:t>
      </w:r>
    </w:p>
    <w:p w14:paraId="24757C73">
      <w:pPr>
        <w:pStyle w:val="16"/>
        <w:numPr>
          <w:ilvl w:val="0"/>
          <w:numId w:val="19"/>
        </w:numPr>
        <w:spacing w:after="0"/>
        <w:ind w:firstLineChars="0"/>
        <w:contextualSpacing/>
        <w:rPr>
          <w:rFonts w:ascii="Times New Roman" w:hAnsi="Times New Roman"/>
          <w:szCs w:val="21"/>
          <w:highlight w:val="none"/>
        </w:rPr>
      </w:pPr>
      <w:bookmarkStart w:id="99" w:name="OLE_LINK4"/>
      <w:r>
        <w:rPr>
          <w:rFonts w:ascii="Times New Roman" w:hAnsi="Times New Roman"/>
          <w:szCs w:val="21"/>
          <w:highlight w:val="none"/>
          <w:shd w:val="clear" w:color="auto" w:fill="FFFFFF"/>
        </w:rPr>
        <w:t>国家相关法律法规、行业标准、技术规范。</w:t>
      </w:r>
    </w:p>
    <w:p w14:paraId="4A341926">
      <w:pPr>
        <w:pStyle w:val="16"/>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BB5AAAF">
      <w:pPr>
        <w:pStyle w:val="16"/>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99"/>
    <w:p w14:paraId="2BFFECC6">
      <w:pPr>
        <w:pStyle w:val="16"/>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2B41FF">
      <w:pPr>
        <w:pStyle w:val="16"/>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5A8F93D9">
      <w:pPr>
        <w:pStyle w:val="16"/>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FCD4D1B">
      <w:pPr>
        <w:pStyle w:val="29"/>
        <w:numPr>
          <w:ilvl w:val="0"/>
          <w:numId w:val="18"/>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6213DBF3">
      <w:pPr>
        <w:pStyle w:val="29"/>
        <w:numPr>
          <w:ilvl w:val="0"/>
          <w:numId w:val="17"/>
        </w:numP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EE9DCA2">
      <w:pPr>
        <w:pStyle w:val="29"/>
        <w:numPr>
          <w:ilvl w:val="0"/>
          <w:numId w:val="15"/>
        </w:numPr>
        <w:ind w:left="0" w:firstLine="0" w:firstLineChars="0"/>
        <w:contextualSpacing/>
        <w:jc w:val="left"/>
        <w:rPr>
          <w:b/>
          <w:szCs w:val="21"/>
          <w:highlight w:val="none"/>
        </w:rPr>
      </w:pPr>
      <w:r>
        <w:rPr>
          <w:b/>
          <w:szCs w:val="21"/>
          <w:highlight w:val="none"/>
        </w:rPr>
        <w:t>付款方式</w:t>
      </w:r>
    </w:p>
    <w:p w14:paraId="1A98FD8C">
      <w:pPr>
        <w:pStyle w:val="9"/>
        <w:numPr>
          <w:ilvl w:val="0"/>
          <w:numId w:val="20"/>
        </w:numPr>
        <w:spacing w:after="0" w:line="240" w:lineRule="auto"/>
        <w:ind w:left="227" w:leftChars="0" w:hanging="227"/>
        <w:contextualSpacing/>
        <w:jc w:val="left"/>
        <w:rPr>
          <w:rFonts w:ascii="Times New Roman" w:hAnsi="Times New Roman"/>
          <w:color w:val="000000"/>
          <w:szCs w:val="21"/>
          <w:highlight w:val="none"/>
        </w:rPr>
      </w:pPr>
      <w:r>
        <w:rPr>
          <w:szCs w:val="21"/>
          <w:highlight w:val="none"/>
        </w:rPr>
        <w:t>履约保证金：</w:t>
      </w:r>
    </w:p>
    <w:p w14:paraId="49FD9F1E">
      <w:pPr>
        <w:pStyle w:val="16"/>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①</w:t>
      </w:r>
      <w:r>
        <w:rPr>
          <w:rFonts w:hint="eastAsia" w:ascii="仿宋" w:hAnsi="仿宋" w:eastAsia="仿宋" w:cs="仿宋"/>
          <w:color w:val="000000"/>
          <w:sz w:val="21"/>
          <w:szCs w:val="21"/>
          <w:highlight w:val="none"/>
        </w:rPr>
        <w:t>乙方在合同签订生效之日起的</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个工作日内，按合同总价</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%支付履约保证金；本合同服务期满且验收合格后，甲方接到乙方付款申请后</w:t>
      </w:r>
      <w:r>
        <w:rPr>
          <w:rFonts w:hint="eastAsia" w:ascii="仿宋" w:hAnsi="仿宋" w:eastAsia="仿宋" w:cs="仿宋"/>
          <w:color w:val="000000"/>
          <w:sz w:val="21"/>
          <w:szCs w:val="21"/>
          <w:highlight w:val="none"/>
          <w:u w:val="single"/>
        </w:rPr>
        <w:t>30</w:t>
      </w:r>
      <w:r>
        <w:rPr>
          <w:rFonts w:hint="eastAsia" w:ascii="仿宋" w:hAnsi="仿宋" w:eastAsia="仿宋" w:cs="仿宋"/>
          <w:color w:val="000000"/>
          <w:sz w:val="21"/>
          <w:szCs w:val="21"/>
          <w:highlight w:val="none"/>
        </w:rPr>
        <w:t>个工作日内，甲方一次性无息退还乙方的履约保证金；经验收后乙方履约不合格的，履约保证金不予退还。</w:t>
      </w:r>
    </w:p>
    <w:p w14:paraId="348CDE95">
      <w:pPr>
        <w:pStyle w:val="16"/>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②收款单位:四川省人民医院</w:t>
      </w:r>
    </w:p>
    <w:p w14:paraId="24903D2C">
      <w:pPr>
        <w:pStyle w:val="16"/>
        <w:keepNext w:val="0"/>
        <w:keepLines w:val="0"/>
        <w:pageBreakBefore w:val="0"/>
        <w:widowControl w:val="0"/>
        <w:kinsoku/>
        <w:wordWrap/>
        <w:overflowPunct/>
        <w:topLinePunct w:val="0"/>
        <w:autoSpaceDE/>
        <w:autoSpaceDN/>
        <w:bidi w:val="0"/>
        <w:spacing w:after="0" w:line="360" w:lineRule="auto"/>
        <w:ind w:left="0" w:leftChars="0" w:firstLine="420" w:firstLineChars="2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开户行:建设银行成都青羊支行</w:t>
      </w:r>
    </w:p>
    <w:p w14:paraId="2CF6E7EA">
      <w:pPr>
        <w:pStyle w:val="16"/>
        <w:spacing w:after="0"/>
        <w:ind w:left="420" w:leftChars="200" w:firstLine="0" w:firstLineChars="0"/>
        <w:contextualSpacing/>
        <w:rPr>
          <w:rFonts w:ascii="Times New Roman" w:hAnsi="Times New Roman"/>
          <w:color w:val="000000"/>
          <w:szCs w:val="21"/>
          <w:highlight w:val="none"/>
        </w:rPr>
      </w:pPr>
      <w:r>
        <w:rPr>
          <w:rFonts w:hint="eastAsia" w:ascii="仿宋" w:hAnsi="仿宋" w:eastAsia="仿宋" w:cs="仿宋"/>
          <w:color w:val="000000"/>
          <w:sz w:val="21"/>
          <w:szCs w:val="21"/>
          <w:highlight w:val="none"/>
          <w:lang w:eastAsia="zh-CN"/>
        </w:rPr>
        <w:t>银行账号:5100 1446 4360 50374282</w:t>
      </w:r>
    </w:p>
    <w:p w14:paraId="7A4394E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DB5940E">
      <w:pPr>
        <w:pStyle w:val="9"/>
        <w:numPr>
          <w:ilvl w:val="0"/>
          <w:numId w:val="20"/>
        </w:numP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09FDA0E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1259CA">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750B8A19">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56BDDA9D">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100" w:name="OLE_LINK30"/>
      <w:r>
        <w:rPr>
          <w:rFonts w:hint="eastAsia"/>
          <w:szCs w:val="21"/>
          <w:highlight w:val="none"/>
        </w:rPr>
        <w:t>固定部分价款</w:t>
      </w:r>
      <w:bookmarkEnd w:id="100"/>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4C3983EC">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5586C7FB">
      <w:pPr>
        <w:pStyle w:val="9"/>
        <w:numPr>
          <w:ilvl w:val="0"/>
          <w:numId w:val="20"/>
        </w:numP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2EB2BA75">
      <w:pPr>
        <w:pStyle w:val="9"/>
        <w:numPr>
          <w:ilvl w:val="0"/>
          <w:numId w:val="20"/>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19A7DEEB">
      <w:pPr>
        <w:pStyle w:val="29"/>
        <w:numPr>
          <w:ilvl w:val="0"/>
          <w:numId w:val="15"/>
        </w:numPr>
        <w:ind w:left="0" w:firstLine="0" w:firstLineChars="0"/>
        <w:contextualSpacing/>
        <w:jc w:val="left"/>
        <w:rPr>
          <w:b/>
          <w:szCs w:val="21"/>
          <w:highlight w:val="none"/>
        </w:rPr>
      </w:pPr>
      <w:r>
        <w:rPr>
          <w:b/>
          <w:szCs w:val="21"/>
          <w:highlight w:val="none"/>
        </w:rPr>
        <w:t>双方权利与义务</w:t>
      </w:r>
    </w:p>
    <w:p w14:paraId="581F8AA0">
      <w:pPr>
        <w:pStyle w:val="9"/>
        <w:numPr>
          <w:ilvl w:val="0"/>
          <w:numId w:val="21"/>
        </w:numPr>
        <w:spacing w:after="0" w:line="240" w:lineRule="auto"/>
        <w:ind w:left="227" w:leftChars="0" w:hanging="227"/>
        <w:contextualSpacing/>
        <w:jc w:val="left"/>
        <w:rPr>
          <w:szCs w:val="21"/>
          <w:highlight w:val="none"/>
        </w:rPr>
      </w:pPr>
      <w:r>
        <w:rPr>
          <w:szCs w:val="21"/>
          <w:highlight w:val="none"/>
        </w:rPr>
        <w:t>甲方权利与义务</w:t>
      </w:r>
    </w:p>
    <w:p w14:paraId="4D16113D">
      <w:pPr>
        <w:pStyle w:val="29"/>
        <w:numPr>
          <w:ilvl w:val="0"/>
          <w:numId w:val="22"/>
        </w:numPr>
        <w:adjustRightInd w:val="0"/>
        <w:ind w:left="525" w:hanging="525" w:hangingChars="250"/>
        <w:contextualSpacing/>
        <w:jc w:val="left"/>
        <w:rPr>
          <w:szCs w:val="21"/>
          <w:highlight w:val="none"/>
        </w:rPr>
      </w:pPr>
      <w:r>
        <w:rPr>
          <w:szCs w:val="21"/>
          <w:highlight w:val="none"/>
        </w:rPr>
        <w:t>按合同约定向乙方支付费用。</w:t>
      </w:r>
    </w:p>
    <w:p w14:paraId="62A02753">
      <w:pPr>
        <w:pStyle w:val="29"/>
        <w:numPr>
          <w:ilvl w:val="0"/>
          <w:numId w:val="22"/>
        </w:numP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35119703">
      <w:pPr>
        <w:pStyle w:val="29"/>
        <w:numPr>
          <w:ilvl w:val="0"/>
          <w:numId w:val="22"/>
        </w:numP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7EDB0B3A">
      <w:pPr>
        <w:pStyle w:val="29"/>
        <w:numPr>
          <w:ilvl w:val="0"/>
          <w:numId w:val="22"/>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344AB8AA">
      <w:pPr>
        <w:pStyle w:val="9"/>
        <w:numPr>
          <w:ilvl w:val="0"/>
          <w:numId w:val="21"/>
        </w:numPr>
        <w:spacing w:after="0" w:line="240" w:lineRule="auto"/>
        <w:ind w:left="227" w:leftChars="0" w:hanging="227"/>
        <w:contextualSpacing/>
        <w:jc w:val="left"/>
        <w:rPr>
          <w:szCs w:val="21"/>
          <w:highlight w:val="none"/>
        </w:rPr>
      </w:pPr>
      <w:r>
        <w:rPr>
          <w:szCs w:val="21"/>
          <w:highlight w:val="none"/>
        </w:rPr>
        <w:t>乙方权利与义务</w:t>
      </w:r>
    </w:p>
    <w:p w14:paraId="319B30B1">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29A7D576">
      <w:pPr>
        <w:pStyle w:val="9"/>
        <w:numPr>
          <w:ilvl w:val="0"/>
          <w:numId w:val="23"/>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26B4DD92">
      <w:pPr>
        <w:pStyle w:val="9"/>
        <w:numPr>
          <w:ilvl w:val="0"/>
          <w:numId w:val="23"/>
        </w:numP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03A4EB61">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68E6AAB3">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742F7349">
      <w:pPr>
        <w:pStyle w:val="29"/>
        <w:numPr>
          <w:ilvl w:val="0"/>
          <w:numId w:val="15"/>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5B66A4B0">
      <w:pPr>
        <w:pStyle w:val="9"/>
        <w:numPr>
          <w:ilvl w:val="0"/>
          <w:numId w:val="24"/>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rFonts w:hint="eastAsia"/>
          <w:szCs w:val="21"/>
          <w:highlight w:val="none"/>
          <w:u w:val="single"/>
          <w:lang w:val="en-US" w:eastAsia="zh-CN"/>
        </w:rPr>
        <w:t xml:space="preserve">  </w:t>
      </w:r>
      <w:r>
        <w:rPr>
          <w:szCs w:val="21"/>
          <w:highlight w:val="none"/>
          <w:u w:val="single"/>
        </w:rPr>
        <w:t>%</w:t>
      </w:r>
      <w:r>
        <w:rPr>
          <w:rFonts w:hint="eastAsia"/>
          <w:szCs w:val="21"/>
          <w:highlight w:val="none"/>
        </w:rPr>
        <w:t>作为</w:t>
      </w:r>
      <w:r>
        <w:rPr>
          <w:szCs w:val="21"/>
          <w:highlight w:val="none"/>
        </w:rPr>
        <w:t>违约金。</w:t>
      </w:r>
    </w:p>
    <w:p w14:paraId="0BC8E6CE">
      <w:pPr>
        <w:pStyle w:val="29"/>
        <w:numPr>
          <w:ilvl w:val="0"/>
          <w:numId w:val="24"/>
        </w:numPr>
        <w:ind w:left="0" w:firstLine="0" w:firstLineChars="0"/>
        <w:rPr>
          <w:szCs w:val="21"/>
          <w:highlight w:val="none"/>
        </w:rPr>
      </w:pPr>
      <w:r>
        <w:rPr>
          <w:szCs w:val="21"/>
          <w:highlight w:val="none"/>
        </w:rPr>
        <w:t>乙方违约责任：</w:t>
      </w:r>
    </w:p>
    <w:p w14:paraId="354B31C5">
      <w:pPr>
        <w:pStyle w:val="9"/>
        <w:numPr>
          <w:ilvl w:val="0"/>
          <w:numId w:val="25"/>
        </w:numPr>
        <w:spacing w:after="0" w:line="240" w:lineRule="auto"/>
        <w:ind w:left="525" w:leftChars="0" w:hanging="525" w:hangingChars="250"/>
        <w:contextualSpacing/>
        <w:jc w:val="left"/>
        <w:rPr>
          <w:szCs w:val="21"/>
          <w:highlight w:val="none"/>
        </w:rPr>
      </w:pPr>
      <w:bookmarkStart w:id="101" w:name="OLE_LINK18"/>
      <w:bookmarkStart w:id="102" w:name="OLE_LINK17"/>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ascii="宋体" w:hAnsi="宋体" w:eastAsia="宋体" w:cs="宋体"/>
          <w:szCs w:val="21"/>
          <w:highlight w:val="none"/>
        </w:rPr>
        <w:t>乙方应赔偿由此给甲方造成的实际损失并向甲方支付合同总额10%的违约金。</w:t>
      </w:r>
    </w:p>
    <w:p w14:paraId="20C1309B">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r>
        <w:rPr>
          <w:rFonts w:hint="eastAsia" w:ascii="宋体" w:hAnsi="宋体" w:eastAsia="宋体" w:cs="宋体"/>
          <w:szCs w:val="21"/>
          <w:highlight w:val="none"/>
        </w:rPr>
        <w:t>乙方应赔偿由此给甲方造成的实际损失并向甲方支付合同总额10%的违约金。</w:t>
      </w:r>
    </w:p>
    <w:p w14:paraId="2E725C36">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r>
        <w:rPr>
          <w:rFonts w:hint="eastAsia" w:ascii="宋体" w:hAnsi="宋体" w:eastAsia="宋体" w:cs="宋体"/>
          <w:szCs w:val="21"/>
          <w:highlight w:val="none"/>
        </w:rPr>
        <w:t>乙方应赔偿由此给甲方造成的实际损失并向甲方支付合同总额10%的违约金。</w:t>
      </w:r>
    </w:p>
    <w:p w14:paraId="74485C68">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170DE4FD">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支付</w:t>
      </w:r>
      <w:r>
        <w:rPr>
          <w:szCs w:val="21"/>
          <w:highlight w:val="none"/>
        </w:rPr>
        <w:t>违约金。</w:t>
      </w:r>
    </w:p>
    <w:p w14:paraId="0B168445">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作为</w:t>
      </w:r>
      <w:r>
        <w:rPr>
          <w:szCs w:val="21"/>
          <w:highlight w:val="none"/>
        </w:rPr>
        <w:t>违约金。</w:t>
      </w:r>
    </w:p>
    <w:bookmarkEnd w:id="101"/>
    <w:bookmarkEnd w:id="102"/>
    <w:p w14:paraId="79DD140B">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3156E70D">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5"/>
        </w:numP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54D0209">
      <w:pPr>
        <w:pStyle w:val="29"/>
        <w:numPr>
          <w:ilvl w:val="0"/>
          <w:numId w:val="15"/>
        </w:numPr>
        <w:ind w:left="0" w:firstLine="0" w:firstLineChars="0"/>
        <w:contextualSpacing/>
        <w:jc w:val="left"/>
        <w:rPr>
          <w:b/>
          <w:szCs w:val="21"/>
          <w:highlight w:val="none"/>
        </w:rPr>
      </w:pPr>
      <w:r>
        <w:rPr>
          <w:b/>
          <w:szCs w:val="21"/>
          <w:highlight w:val="none"/>
        </w:rPr>
        <w:t>不可抗力</w:t>
      </w:r>
    </w:p>
    <w:p w14:paraId="26541785">
      <w:pPr>
        <w:pStyle w:val="29"/>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031713B9">
      <w:pPr>
        <w:pStyle w:val="29"/>
        <w:numPr>
          <w:ilvl w:val="0"/>
          <w:numId w:val="15"/>
        </w:numPr>
        <w:ind w:left="0" w:firstLine="0" w:firstLineChars="0"/>
        <w:contextualSpacing/>
        <w:jc w:val="left"/>
        <w:rPr>
          <w:b/>
          <w:szCs w:val="21"/>
          <w:highlight w:val="none"/>
        </w:rPr>
      </w:pPr>
      <w:r>
        <w:rPr>
          <w:b/>
          <w:szCs w:val="21"/>
          <w:highlight w:val="none"/>
        </w:rPr>
        <w:t>合同终止及解除</w:t>
      </w:r>
    </w:p>
    <w:p w14:paraId="275C61D9">
      <w:pPr>
        <w:pStyle w:val="29"/>
        <w:numPr>
          <w:ilvl w:val="0"/>
          <w:numId w:val="26"/>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6"/>
        </w:numPr>
        <w:ind w:left="0" w:firstLine="0" w:firstLineChars="0"/>
        <w:rPr>
          <w:szCs w:val="21"/>
          <w:highlight w:val="none"/>
        </w:rPr>
      </w:pPr>
      <w:r>
        <w:rPr>
          <w:szCs w:val="21"/>
          <w:highlight w:val="none"/>
        </w:rPr>
        <w:t>在甲、乙任何一方有严重违约行为时，另一方有权单方解除合同。</w:t>
      </w:r>
    </w:p>
    <w:p w14:paraId="2BA7B89E">
      <w:pPr>
        <w:pStyle w:val="29"/>
        <w:numPr>
          <w:ilvl w:val="0"/>
          <w:numId w:val="15"/>
        </w:numPr>
        <w:ind w:left="0" w:firstLine="0" w:firstLineChars="0"/>
        <w:contextualSpacing/>
        <w:jc w:val="left"/>
        <w:rPr>
          <w:b/>
          <w:szCs w:val="21"/>
          <w:highlight w:val="none"/>
        </w:rPr>
      </w:pPr>
      <w:r>
        <w:rPr>
          <w:b/>
          <w:szCs w:val="21"/>
          <w:highlight w:val="none"/>
        </w:rPr>
        <w:t>争议解决办法</w:t>
      </w:r>
    </w:p>
    <w:p w14:paraId="5C6244A3">
      <w:pPr>
        <w:pStyle w:val="29"/>
        <w:numPr>
          <w:ilvl w:val="0"/>
          <w:numId w:val="27"/>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7"/>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533F8595">
      <w:pPr>
        <w:pStyle w:val="29"/>
        <w:numPr>
          <w:ilvl w:val="0"/>
          <w:numId w:val="15"/>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46F487CF">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E0AF282">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750624B0">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5"/>
        </w:numPr>
        <w:ind w:left="0" w:firstLine="0" w:firstLineChars="0"/>
        <w:contextualSpacing/>
        <w:jc w:val="left"/>
        <w:rPr>
          <w:b/>
          <w:szCs w:val="21"/>
          <w:highlight w:val="none"/>
        </w:rPr>
      </w:pPr>
      <w:r>
        <w:rPr>
          <w:b/>
          <w:szCs w:val="21"/>
          <w:highlight w:val="none"/>
        </w:rPr>
        <w:t>其他</w:t>
      </w:r>
    </w:p>
    <w:p w14:paraId="162904B6">
      <w:pPr>
        <w:pStyle w:val="29"/>
        <w:numPr>
          <w:ilvl w:val="0"/>
          <w:numId w:val="29"/>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EA6778F">
      <w:pPr>
        <w:pStyle w:val="29"/>
        <w:numPr>
          <w:ilvl w:val="0"/>
          <w:numId w:val="29"/>
        </w:numP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134580B1">
      <w:pPr>
        <w:pStyle w:val="29"/>
        <w:numPr>
          <w:ilvl w:val="0"/>
          <w:numId w:val="15"/>
        </w:numPr>
        <w:ind w:left="0" w:firstLine="0" w:firstLineChars="0"/>
        <w:contextualSpacing/>
        <w:jc w:val="left"/>
        <w:rPr>
          <w:b/>
          <w:szCs w:val="21"/>
          <w:highlight w:val="none"/>
        </w:rPr>
      </w:pPr>
      <w:r>
        <w:rPr>
          <w:b/>
          <w:szCs w:val="21"/>
          <w:highlight w:val="none"/>
        </w:rPr>
        <w:t>合同附件</w:t>
      </w:r>
    </w:p>
    <w:p w14:paraId="6C66D4AC">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FF9CA8A">
      <w:pPr>
        <w:jc w:val="left"/>
        <w:outlineLvl w:val="0"/>
        <w:rPr>
          <w:szCs w:val="21"/>
          <w:highlight w:val="none"/>
        </w:rPr>
      </w:pPr>
      <w:r>
        <w:rPr>
          <w:rFonts w:hint="eastAsia"/>
          <w:szCs w:val="21"/>
          <w:highlight w:val="none"/>
        </w:rPr>
        <w:t>附件1《</w:t>
      </w:r>
      <w:bookmarkStart w:id="103" w:name="OLE_LINK32"/>
      <w:r>
        <w:rPr>
          <w:rFonts w:hint="eastAsia"/>
          <w:szCs w:val="21"/>
          <w:highlight w:val="none"/>
        </w:rPr>
        <w:t>结算单价清单</w:t>
      </w:r>
      <w:bookmarkEnd w:id="103"/>
      <w:r>
        <w:rPr>
          <w:rFonts w:hint="eastAsia"/>
          <w:szCs w:val="21"/>
          <w:highlight w:val="none"/>
        </w:rPr>
        <w:t>》</w:t>
      </w:r>
    </w:p>
    <w:p w14:paraId="6CDBD3F1">
      <w:pPr>
        <w:jc w:val="left"/>
        <w:outlineLvl w:val="0"/>
        <w:rPr>
          <w:szCs w:val="21"/>
          <w:highlight w:val="none"/>
        </w:rPr>
      </w:pPr>
      <w:r>
        <w:rPr>
          <w:rFonts w:hint="eastAsia"/>
          <w:szCs w:val="21"/>
          <w:highlight w:val="none"/>
        </w:rPr>
        <w:t>附件2《考核标准》</w:t>
      </w:r>
    </w:p>
    <w:p w14:paraId="485EAD27">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73257A85">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highlight w:val="none"/>
              </w:rPr>
            </w:pPr>
            <w:r>
              <w:rPr>
                <w:szCs w:val="21"/>
                <w:highlight w:val="none"/>
              </w:rPr>
              <w:t>签订时间：</w:t>
            </w:r>
            <w:r>
              <w:rPr>
                <w:highlight w:val="none"/>
              </w:rPr>
              <w:t>202*</w:t>
            </w:r>
            <w:r>
              <w:rPr>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highlight w:val="none"/>
              </w:rPr>
            </w:pPr>
            <w:r>
              <w:rPr>
                <w:szCs w:val="21"/>
                <w:highlight w:val="none"/>
              </w:rPr>
              <w:t>甲方：四川省人民医院（盖章）</w:t>
            </w:r>
          </w:p>
          <w:p w14:paraId="1BF2641A">
            <w:pPr>
              <w:rPr>
                <w:szCs w:val="21"/>
                <w:highlight w:val="none"/>
              </w:rPr>
            </w:pPr>
            <w:r>
              <w:rPr>
                <w:szCs w:val="21"/>
                <w:highlight w:val="none"/>
              </w:rPr>
              <w:t>法定代表人（授权代表签字）：</w:t>
            </w:r>
          </w:p>
          <w:p w14:paraId="3CF6E833">
            <w:pPr>
              <w:rPr>
                <w:szCs w:val="21"/>
                <w:highlight w:val="none"/>
              </w:rPr>
            </w:pPr>
            <w:r>
              <w:rPr>
                <w:szCs w:val="21"/>
                <w:highlight w:val="none"/>
              </w:rPr>
              <w:t>地    址：四川省成都市一环路西二段32号</w:t>
            </w:r>
          </w:p>
          <w:p w14:paraId="6736D38D">
            <w:pPr>
              <w:rPr>
                <w:szCs w:val="21"/>
                <w:highlight w:val="none"/>
              </w:rPr>
            </w:pPr>
            <w:r>
              <w:rPr>
                <w:szCs w:val="21"/>
                <w:highlight w:val="none"/>
              </w:rPr>
              <w:t>开户银行：建设银行成都青羊支行</w:t>
            </w:r>
          </w:p>
          <w:p w14:paraId="3D5EBF0F">
            <w:pPr>
              <w:rPr>
                <w:szCs w:val="21"/>
                <w:highlight w:val="none"/>
              </w:rPr>
            </w:pPr>
            <w:r>
              <w:rPr>
                <w:szCs w:val="21"/>
                <w:highlight w:val="none"/>
              </w:rPr>
              <w:t>账号：5100 1446 4360 5037 4282</w:t>
            </w:r>
          </w:p>
        </w:tc>
        <w:tc>
          <w:tcPr>
            <w:tcW w:w="5247" w:type="dxa"/>
          </w:tcPr>
          <w:p w14:paraId="76D47F6F">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5129AF1F">
            <w:pPr>
              <w:rPr>
                <w:szCs w:val="21"/>
                <w:highlight w:val="none"/>
              </w:rPr>
            </w:pPr>
            <w:r>
              <w:rPr>
                <w:szCs w:val="21"/>
                <w:highlight w:val="none"/>
              </w:rPr>
              <w:t>法定代表人（授权代表签字）：</w:t>
            </w:r>
          </w:p>
          <w:p w14:paraId="47302462">
            <w:pPr>
              <w:rPr>
                <w:szCs w:val="21"/>
                <w:highlight w:val="none"/>
              </w:rPr>
            </w:pPr>
            <w:r>
              <w:rPr>
                <w:szCs w:val="21"/>
                <w:highlight w:val="none"/>
              </w:rPr>
              <w:t>地址：</w:t>
            </w:r>
            <w:permStart w:id="3" w:edGrp="everyone"/>
            <w:r>
              <w:rPr>
                <w:szCs w:val="21"/>
                <w:highlight w:val="none"/>
              </w:rPr>
              <w:t>***</w:t>
            </w:r>
            <w:permEnd w:id="3"/>
          </w:p>
          <w:p w14:paraId="1CF0A190">
            <w:pPr>
              <w:rPr>
                <w:szCs w:val="21"/>
                <w:highlight w:val="none"/>
              </w:rPr>
            </w:pPr>
            <w:r>
              <w:rPr>
                <w:szCs w:val="21"/>
                <w:highlight w:val="none"/>
              </w:rPr>
              <w:t>开户银行：</w:t>
            </w:r>
            <w:permStart w:id="4" w:edGrp="everyone"/>
            <w:r>
              <w:rPr>
                <w:szCs w:val="21"/>
                <w:highlight w:val="none"/>
              </w:rPr>
              <w:t>***</w:t>
            </w:r>
          </w:p>
          <w:permEnd w:id="4"/>
          <w:p w14:paraId="5672E29C">
            <w:pPr>
              <w:widowControl/>
              <w:jc w:val="left"/>
              <w:rPr>
                <w:highlight w:val="none"/>
              </w:rPr>
            </w:pPr>
            <w:r>
              <w:rPr>
                <w:szCs w:val="21"/>
                <w:highlight w:val="none"/>
              </w:rPr>
              <w:t>账号：</w:t>
            </w:r>
            <w:permStart w:id="5" w:edGrp="everyone"/>
            <w:r>
              <w:rPr>
                <w:szCs w:val="21"/>
                <w:highlight w:val="none"/>
              </w:rPr>
              <w:t>***</w:t>
            </w:r>
            <w:permEnd w:id="5"/>
          </w:p>
        </w:tc>
      </w:tr>
    </w:tbl>
    <w:p w14:paraId="1A128CAE">
      <w:pPr>
        <w:widowControl/>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7B4B943E">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D831279">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highlight w:val="none"/>
              </w:rPr>
            </w:pPr>
            <w:r>
              <w:rPr>
                <w:rFonts w:hint="eastAsia"/>
                <w:b/>
                <w:bCs/>
                <w:szCs w:val="21"/>
                <w:highlight w:val="none"/>
              </w:rPr>
              <w:t>序号</w:t>
            </w:r>
          </w:p>
        </w:tc>
        <w:tc>
          <w:tcPr>
            <w:tcW w:w="3686" w:type="dxa"/>
            <w:vAlign w:val="center"/>
          </w:tcPr>
          <w:p w14:paraId="6C23FD50">
            <w:pPr>
              <w:widowControl/>
              <w:jc w:val="center"/>
              <w:rPr>
                <w:b/>
                <w:bCs/>
                <w:szCs w:val="21"/>
                <w:highlight w:val="none"/>
              </w:rPr>
            </w:pPr>
            <w:r>
              <w:rPr>
                <w:rFonts w:hint="eastAsia"/>
                <w:b/>
                <w:bCs/>
                <w:szCs w:val="21"/>
                <w:highlight w:val="none"/>
              </w:rPr>
              <w:t>结算项目名称</w:t>
            </w:r>
          </w:p>
        </w:tc>
        <w:tc>
          <w:tcPr>
            <w:tcW w:w="3402" w:type="dxa"/>
            <w:vAlign w:val="center"/>
          </w:tcPr>
          <w:p w14:paraId="3BB9E943">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66368B4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5589F7C3">
            <w:pPr>
              <w:widowControl/>
              <w:jc w:val="center"/>
              <w:rPr>
                <w:b/>
                <w:bCs/>
                <w:szCs w:val="21"/>
                <w:highlight w:val="none"/>
              </w:rPr>
            </w:pPr>
            <w:r>
              <w:rPr>
                <w:rFonts w:hint="eastAsia"/>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highlight w:val="none"/>
              </w:rPr>
            </w:pPr>
            <w:r>
              <w:rPr>
                <w:rFonts w:hint="eastAsia"/>
                <w:szCs w:val="21"/>
                <w:highlight w:val="none"/>
              </w:rPr>
              <w:t>1</w:t>
            </w:r>
          </w:p>
        </w:tc>
        <w:tc>
          <w:tcPr>
            <w:tcW w:w="3686" w:type="dxa"/>
            <w:vAlign w:val="center"/>
          </w:tcPr>
          <w:p w14:paraId="4A635D96">
            <w:pPr>
              <w:widowControl/>
              <w:jc w:val="left"/>
              <w:rPr>
                <w:szCs w:val="21"/>
                <w:highlight w:val="none"/>
              </w:rPr>
            </w:pPr>
          </w:p>
        </w:tc>
        <w:tc>
          <w:tcPr>
            <w:tcW w:w="3402" w:type="dxa"/>
            <w:vAlign w:val="center"/>
          </w:tcPr>
          <w:p w14:paraId="610A0DF8">
            <w:pPr>
              <w:widowControl/>
              <w:jc w:val="left"/>
              <w:rPr>
                <w:szCs w:val="21"/>
                <w:highlight w:val="none"/>
              </w:rPr>
            </w:pPr>
          </w:p>
        </w:tc>
        <w:tc>
          <w:tcPr>
            <w:tcW w:w="992" w:type="dxa"/>
            <w:vAlign w:val="center"/>
          </w:tcPr>
          <w:p w14:paraId="59C6D210">
            <w:pPr>
              <w:widowControl/>
              <w:jc w:val="center"/>
              <w:rPr>
                <w:szCs w:val="21"/>
                <w:highlight w:val="none"/>
              </w:rPr>
            </w:pPr>
          </w:p>
        </w:tc>
        <w:tc>
          <w:tcPr>
            <w:tcW w:w="986" w:type="dxa"/>
            <w:vAlign w:val="center"/>
          </w:tcPr>
          <w:p w14:paraId="3B758A07">
            <w:pPr>
              <w:widowControl/>
              <w:jc w:val="center"/>
              <w:rPr>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highlight w:val="none"/>
              </w:rPr>
            </w:pPr>
            <w:r>
              <w:rPr>
                <w:rFonts w:hint="eastAsia"/>
                <w:szCs w:val="21"/>
                <w:highlight w:val="none"/>
              </w:rPr>
              <w:t>2</w:t>
            </w:r>
          </w:p>
        </w:tc>
        <w:tc>
          <w:tcPr>
            <w:tcW w:w="3686" w:type="dxa"/>
            <w:vAlign w:val="center"/>
          </w:tcPr>
          <w:p w14:paraId="2C25F4E1">
            <w:pPr>
              <w:widowControl/>
              <w:jc w:val="left"/>
              <w:rPr>
                <w:szCs w:val="21"/>
                <w:highlight w:val="none"/>
              </w:rPr>
            </w:pPr>
          </w:p>
        </w:tc>
        <w:tc>
          <w:tcPr>
            <w:tcW w:w="3402" w:type="dxa"/>
            <w:vAlign w:val="center"/>
          </w:tcPr>
          <w:p w14:paraId="473015E2">
            <w:pPr>
              <w:widowControl/>
              <w:jc w:val="left"/>
              <w:rPr>
                <w:szCs w:val="21"/>
                <w:highlight w:val="none"/>
              </w:rPr>
            </w:pPr>
          </w:p>
        </w:tc>
        <w:tc>
          <w:tcPr>
            <w:tcW w:w="992" w:type="dxa"/>
            <w:vAlign w:val="center"/>
          </w:tcPr>
          <w:p w14:paraId="1AC45725">
            <w:pPr>
              <w:widowControl/>
              <w:jc w:val="center"/>
              <w:rPr>
                <w:szCs w:val="21"/>
                <w:highlight w:val="none"/>
              </w:rPr>
            </w:pPr>
          </w:p>
        </w:tc>
        <w:tc>
          <w:tcPr>
            <w:tcW w:w="986" w:type="dxa"/>
            <w:vAlign w:val="center"/>
          </w:tcPr>
          <w:p w14:paraId="794FEA53">
            <w:pPr>
              <w:widowControl/>
              <w:jc w:val="center"/>
              <w:rPr>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highlight w:val="none"/>
              </w:rPr>
            </w:pPr>
            <w:r>
              <w:rPr>
                <w:szCs w:val="21"/>
                <w:highlight w:val="none"/>
              </w:rPr>
              <w:t>…</w:t>
            </w:r>
          </w:p>
        </w:tc>
        <w:tc>
          <w:tcPr>
            <w:tcW w:w="3686" w:type="dxa"/>
            <w:vAlign w:val="center"/>
          </w:tcPr>
          <w:p w14:paraId="09F89178">
            <w:pPr>
              <w:widowControl/>
              <w:jc w:val="left"/>
              <w:rPr>
                <w:szCs w:val="21"/>
                <w:highlight w:val="none"/>
              </w:rPr>
            </w:pPr>
          </w:p>
        </w:tc>
        <w:tc>
          <w:tcPr>
            <w:tcW w:w="3402" w:type="dxa"/>
            <w:vAlign w:val="center"/>
          </w:tcPr>
          <w:p w14:paraId="1FF16C42">
            <w:pPr>
              <w:widowControl/>
              <w:jc w:val="left"/>
              <w:rPr>
                <w:szCs w:val="21"/>
                <w:highlight w:val="none"/>
              </w:rPr>
            </w:pPr>
          </w:p>
        </w:tc>
        <w:tc>
          <w:tcPr>
            <w:tcW w:w="992" w:type="dxa"/>
            <w:vAlign w:val="center"/>
          </w:tcPr>
          <w:p w14:paraId="0BD2D448">
            <w:pPr>
              <w:widowControl/>
              <w:jc w:val="center"/>
              <w:rPr>
                <w:szCs w:val="21"/>
                <w:highlight w:val="none"/>
              </w:rPr>
            </w:pPr>
          </w:p>
        </w:tc>
        <w:tc>
          <w:tcPr>
            <w:tcW w:w="986" w:type="dxa"/>
            <w:vAlign w:val="center"/>
          </w:tcPr>
          <w:p w14:paraId="32267964">
            <w:pPr>
              <w:widowControl/>
              <w:jc w:val="center"/>
              <w:rPr>
                <w:szCs w:val="21"/>
                <w:highlight w:val="none"/>
              </w:rPr>
            </w:pPr>
          </w:p>
        </w:tc>
      </w:tr>
    </w:tbl>
    <w:p w14:paraId="799425E9">
      <w:pPr>
        <w:widowControl/>
        <w:jc w:val="left"/>
        <w:rPr>
          <w:szCs w:val="21"/>
          <w:highlight w:val="none"/>
        </w:rPr>
        <w:sectPr>
          <w:footerReference r:id="rId9" w:type="default"/>
          <w:pgSz w:w="11906" w:h="16838"/>
          <w:pgMar w:top="851" w:right="1134" w:bottom="851" w:left="1134" w:header="0" w:footer="567" w:gutter="0"/>
          <w:pgNumType w:fmt="decimal"/>
          <w:cols w:space="425" w:num="1"/>
          <w:docGrid w:linePitch="312" w:charSpace="0"/>
        </w:sectPr>
      </w:pPr>
    </w:p>
    <w:p w14:paraId="6BEFDD75">
      <w:pPr>
        <w:widowControl/>
        <w:jc w:val="left"/>
        <w:rPr>
          <w:rFonts w:ascii="宋体" w:hAnsi="宋体"/>
          <w:b/>
          <w:bCs/>
          <w:szCs w:val="21"/>
          <w:highlight w:val="none"/>
        </w:rPr>
      </w:pPr>
      <w:r>
        <w:rPr>
          <w:rFonts w:hint="eastAsia" w:ascii="宋体" w:hAnsi="宋体"/>
          <w:b/>
          <w:bCs/>
          <w:szCs w:val="21"/>
          <w:highlight w:val="none"/>
        </w:rPr>
        <w:t>附件2：考核标准</w:t>
      </w:r>
    </w:p>
    <w:p w14:paraId="6C0FC75D">
      <w:pPr>
        <w:rPr>
          <w:highlight w:val="none"/>
        </w:rPr>
      </w:pPr>
    </w:p>
    <w:p w14:paraId="5A024B68">
      <w:pPr>
        <w:rPr>
          <w:highlight w:val="none"/>
        </w:rPr>
        <w:sectPr>
          <w:footerReference r:id="rId10" w:type="default"/>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692BA005">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49A6C9EA">
      <w:pPr>
        <w:rPr>
          <w:highlight w:val="none"/>
        </w:rPr>
      </w:pPr>
    </w:p>
    <w:p w14:paraId="1E9CF7A4">
      <w:pPr>
        <w:rPr>
          <w:highlight w:val="none"/>
        </w:rPr>
      </w:pPr>
      <w:r>
        <w:rPr>
          <w:rFonts w:hint="eastAsia"/>
          <w:highlight w:val="none"/>
        </w:rPr>
        <w:t>*</w:t>
      </w:r>
      <w:r>
        <w:rPr>
          <w:highlight w:val="none"/>
        </w:rPr>
        <w:t>**</w:t>
      </w:r>
    </w:p>
    <w:p w14:paraId="0CA01D3C">
      <w:pPr>
        <w:spacing w:line="560" w:lineRule="exact"/>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spacing w:line="560" w:lineRule="exact"/>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spacing w:line="560" w:lineRule="exact"/>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spacing w:line="560" w:lineRule="exact"/>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spacing w:line="560" w:lineRule="exact"/>
        <w:ind w:firstLine="560" w:firstLineChars="200"/>
        <w:rPr>
          <w:rFonts w:ascii="Times New Roman" w:hAnsi="Times New Roman" w:eastAsia="仿宋" w:cs="Times New Roman"/>
          <w:sz w:val="28"/>
          <w:szCs w:val="28"/>
        </w:rPr>
      </w:pPr>
    </w:p>
    <w:p w14:paraId="0B7CEB3A">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rPr>
        <w:t>：</w:t>
      </w:r>
    </w:p>
    <w:p w14:paraId="5258CB7D">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rPr>
        <w:t>，</w:t>
      </w:r>
      <w:r>
        <w:rPr>
          <w:rFonts w:ascii="Times New Roman" w:hAnsi="Times New Roman" w:eastAsia="仿宋" w:cs="Times New Roman"/>
          <w:sz w:val="28"/>
          <w:szCs w:val="28"/>
        </w:rPr>
        <w:t>暗示、索要和收受供应商任何形式的财物、提成、回扣等一切不正当利益。</w:t>
      </w:r>
    </w:p>
    <w:p w14:paraId="338355D3">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rPr>
        <w:t>，</w:t>
      </w:r>
      <w:r>
        <w:rPr>
          <w:rFonts w:ascii="Times New Roman" w:hAnsi="Times New Roman" w:eastAsia="仿宋" w:cs="Times New Roman"/>
          <w:sz w:val="28"/>
          <w:szCs w:val="28"/>
        </w:rPr>
        <w:t>按有关规定严肃处理并追究相关人员责任。</w:t>
      </w:r>
    </w:p>
    <w:p w14:paraId="50804A35">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rPr>
        <w:t>，</w:t>
      </w:r>
      <w:r>
        <w:rPr>
          <w:rFonts w:ascii="Times New Roman" w:hAnsi="Times New Roman" w:eastAsia="仿宋" w:cs="Times New Roman"/>
          <w:sz w:val="28"/>
          <w:szCs w:val="28"/>
        </w:rPr>
        <w:t>归口管理部门、供应商、招标采购中心各执一份。</w:t>
      </w:r>
    </w:p>
    <w:p w14:paraId="22FF060B">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spacing w:line="560" w:lineRule="exact"/>
        <w:ind w:firstLine="560" w:firstLineChars="200"/>
        <w:rPr>
          <w:rFonts w:ascii="Times New Roman" w:hAnsi="Times New Roman" w:eastAsia="仿宋" w:cs="Times New Roman"/>
          <w:sz w:val="28"/>
          <w:szCs w:val="28"/>
        </w:rPr>
      </w:pPr>
    </w:p>
    <w:p w14:paraId="2E1FAC44">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rPr>
        <w:t>）</w:t>
      </w:r>
    </w:p>
    <w:p w14:paraId="10206FD8">
      <w:pPr>
        <w:spacing w:line="560" w:lineRule="exact"/>
        <w:ind w:firstLine="560" w:firstLineChars="200"/>
        <w:rPr>
          <w:rFonts w:ascii="Times New Roman" w:hAnsi="Times New Roman" w:eastAsia="仿宋" w:cs="Times New Roman"/>
          <w:sz w:val="28"/>
          <w:szCs w:val="28"/>
        </w:rPr>
      </w:pPr>
    </w:p>
    <w:p w14:paraId="476F5B5B">
      <w:pPr>
        <w:spacing w:line="560" w:lineRule="exact"/>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rPr>
        <w:t>：</w:t>
      </w:r>
    </w:p>
    <w:p w14:paraId="16107A24">
      <w:pPr>
        <w:spacing w:line="560" w:lineRule="exact"/>
        <w:ind w:firstLine="4200" w:firstLineChars="1500"/>
        <w:rPr>
          <w:rFonts w:ascii="Times New Roman" w:hAnsi="Times New Roman" w:eastAsia="仿宋" w:cs="Times New Roman"/>
          <w:sz w:val="28"/>
          <w:szCs w:val="28"/>
        </w:rPr>
      </w:pPr>
    </w:p>
    <w:p w14:paraId="112A86E1">
      <w:pPr>
        <w:spacing w:line="560" w:lineRule="exact"/>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spacing w:line="560" w:lineRule="exact"/>
        <w:rPr>
          <w:rFonts w:ascii="Times New Roman" w:hAnsi="Times New Roman"/>
        </w:rPr>
      </w:pPr>
    </w:p>
    <w:sectPr>
      <w:headerReference r:id="rId11" w:type="default"/>
      <w:footerReference r:id="rId12"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35C30CD-0F99-45C6-8984-C69A844A7CD5}"/>
  </w:font>
  <w:font w:name="Arial">
    <w:panose1 w:val="020B0604020202020204"/>
    <w:charset w:val="01"/>
    <w:family w:val="swiss"/>
    <w:pitch w:val="default"/>
    <w:sig w:usb0="E0002EFF" w:usb1="C000785B" w:usb2="00000009" w:usb3="00000000" w:csb0="400001FF" w:csb1="FFFF0000"/>
    <w:embedRegular r:id="rId2" w:fontKey="{E0CB7102-7426-478F-82FC-7AD81B633CDB}"/>
  </w:font>
  <w:font w:name="黑体">
    <w:panose1 w:val="02010609060101010101"/>
    <w:charset w:val="86"/>
    <w:family w:val="auto"/>
    <w:pitch w:val="default"/>
    <w:sig w:usb0="800002BF" w:usb1="38CF7CFA" w:usb2="00000016" w:usb3="00000000" w:csb0="00040001" w:csb1="00000000"/>
    <w:embedRegular r:id="rId3" w:fontKey="{49C7B388-704D-408C-9D74-68C371AEFDF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4" w:fontKey="{1C300FC0-4D23-4866-A080-F26EF3A537BF}"/>
  </w:font>
  <w:font w:name="仿宋_GB2312">
    <w:altName w:val="仿宋"/>
    <w:panose1 w:val="00000000000000000000"/>
    <w:charset w:val="86"/>
    <w:family w:val="modern"/>
    <w:pitch w:val="default"/>
    <w:sig w:usb0="00000000" w:usb1="00000000" w:usb2="0000001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Helvetica Neue">
    <w:altName w:val="Times New Roman"/>
    <w:panose1 w:val="00000000000000000000"/>
    <w:charset w:val="00"/>
    <w:family w:val="auto"/>
    <w:pitch w:val="default"/>
    <w:sig w:usb0="00000000" w:usb1="00000000" w:usb2="00000010" w:usb3="00000000" w:csb0="00000001" w:csb1="00000000"/>
  </w:font>
  <w:font w:name="Alibaba PuHuiTi 2.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roman"/>
    <w:pitch w:val="default"/>
    <w:sig w:usb0="E00006FF" w:usb1="420024FF" w:usb2="02000000" w:usb3="00000000" w:csb0="2000019F" w:csb1="00000000"/>
    <w:embedRegular r:id="rId5" w:fontKey="{05629A73-10BE-489E-A0C1-3A9EE0B61CE1}"/>
  </w:font>
  <w:font w:name="Segoe UI Symbol">
    <w:panose1 w:val="020B0502040204020203"/>
    <w:charset w:val="00"/>
    <w:family w:val="swiss"/>
    <w:pitch w:val="default"/>
    <w:sig w:usb0="800001E3" w:usb1="1200FFEF" w:usb2="00040000" w:usb3="04000000" w:csb0="00000001" w:csb1="40000000"/>
    <w:embedRegular r:id="rId6" w:fontKey="{2390BF42-388D-40C8-8E9D-FBBAB797C5A7}"/>
  </w:font>
  <w:font w:name="新宋体">
    <w:panose1 w:val="02010609030101010101"/>
    <w:charset w:val="86"/>
    <w:family w:val="modern"/>
    <w:pitch w:val="default"/>
    <w:sig w:usb0="00000203" w:usb1="288F0000" w:usb2="00000006" w:usb3="00000000" w:csb0="00040001" w:csb1="00000000"/>
    <w:embedRegular r:id="rId7" w:fontKey="{17F1A315-1ADE-435F-88FC-5E5747D7B3CB}"/>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swiss"/>
    <w:pitch w:val="default"/>
    <w:sig w:usb0="80000287" w:usb1="2ACF3C50" w:usb2="00000016" w:usb3="00000000" w:csb0="0004001F" w:csb1="00000000"/>
    <w:embedRegular r:id="rId8" w:fontKey="{6DCDF3DB-CD85-4EC5-B61B-80B3EDBAA3F6}"/>
  </w:font>
  <w:font w:name="Kingsoft UE">
    <w:panose1 w:val="02000100010000000000"/>
    <w:charset w:val="00"/>
    <w:family w:val="auto"/>
    <w:pitch w:val="default"/>
    <w:sig w:usb0="00000001" w:usb1="00004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33EBEC3C">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E3BA3">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27</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39</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27</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39</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661B4F4"/>
    <w:multiLevelType w:val="singleLevel"/>
    <w:tmpl w:val="A661B4F4"/>
    <w:lvl w:ilvl="0" w:tentative="0">
      <w:start w:val="1"/>
      <w:numFmt w:val="chineseCounting"/>
      <w:suff w:val="nothing"/>
      <w:lvlText w:val="%1、"/>
      <w:lvlJc w:val="left"/>
      <w:pPr>
        <w:ind w:left="-482"/>
      </w:pPr>
      <w:rPr>
        <w:rFonts w:hint="eastAsia"/>
        <w:b/>
        <w:bCs/>
      </w:rPr>
    </w:lvl>
  </w:abstractNum>
  <w:abstractNum w:abstractNumId="3">
    <w:nsid w:val="AC53E092"/>
    <w:multiLevelType w:val="singleLevel"/>
    <w:tmpl w:val="AC53E092"/>
    <w:lvl w:ilvl="0" w:tentative="0">
      <w:start w:val="12"/>
      <w:numFmt w:val="decimal"/>
      <w:suff w:val="nothing"/>
      <w:lvlText w:val="（%1）"/>
      <w:lvlJc w:val="left"/>
    </w:lvl>
  </w:abstractNum>
  <w:abstractNum w:abstractNumId="4">
    <w:nsid w:val="EC05737C"/>
    <w:multiLevelType w:val="singleLevel"/>
    <w:tmpl w:val="EC05737C"/>
    <w:lvl w:ilvl="0" w:tentative="0">
      <w:start w:val="1"/>
      <w:numFmt w:val="chineseCounting"/>
      <w:suff w:val="nothing"/>
      <w:lvlText w:val="（%1）"/>
      <w:lvlJc w:val="left"/>
      <w:pPr>
        <w:ind w:left="0" w:firstLine="420"/>
      </w:pPr>
      <w:rPr>
        <w:rFonts w:hint="eastAsia"/>
      </w:rPr>
    </w:lvl>
  </w:abstractNum>
  <w:abstractNum w:abstractNumId="5">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6">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7">
    <w:nsid w:val="FCA5E3A8"/>
    <w:multiLevelType w:val="singleLevel"/>
    <w:tmpl w:val="FCA5E3A8"/>
    <w:lvl w:ilvl="0" w:tentative="0">
      <w:start w:val="1"/>
      <w:numFmt w:val="decimal"/>
      <w:suff w:val="nothing"/>
      <w:lvlText w:val="（%1）"/>
      <w:lvlJc w:val="left"/>
      <w:pPr>
        <w:ind w:left="-210"/>
      </w:pPr>
    </w:lvl>
  </w:abstractNum>
  <w:abstractNum w:abstractNumId="8">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F712D09"/>
    <w:multiLevelType w:val="singleLevel"/>
    <w:tmpl w:val="1F712D09"/>
    <w:lvl w:ilvl="0" w:tentative="0">
      <w:start w:val="1"/>
      <w:numFmt w:val="decimal"/>
      <w:lvlText w:val="(%1)"/>
      <w:lvlJc w:val="left"/>
      <w:pPr>
        <w:ind w:left="218"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0">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7"/>
  </w:num>
  <w:num w:numId="2">
    <w:abstractNumId w:val="6"/>
  </w:num>
  <w:num w:numId="3">
    <w:abstractNumId w:val="19"/>
  </w:num>
  <w:num w:numId="4">
    <w:abstractNumId w:val="28"/>
  </w:num>
  <w:num w:numId="5">
    <w:abstractNumId w:val="15"/>
  </w:num>
  <w:num w:numId="6">
    <w:abstractNumId w:val="23"/>
  </w:num>
  <w:num w:numId="7">
    <w:abstractNumId w:val="18"/>
  </w:num>
  <w:num w:numId="8">
    <w:abstractNumId w:val="5"/>
  </w:num>
  <w:num w:numId="9">
    <w:abstractNumId w:val="1"/>
  </w:num>
  <w:num w:numId="10">
    <w:abstractNumId w:val="0"/>
  </w:num>
  <w:num w:numId="11">
    <w:abstractNumId w:val="7"/>
  </w:num>
  <w:num w:numId="12">
    <w:abstractNumId w:val="2"/>
  </w:num>
  <w:num w:numId="13">
    <w:abstractNumId w:val="4"/>
  </w:num>
  <w:num w:numId="14">
    <w:abstractNumId w:val="3"/>
  </w:num>
  <w:num w:numId="15">
    <w:abstractNumId w:val="14"/>
  </w:num>
  <w:num w:numId="16">
    <w:abstractNumId w:val="24"/>
  </w:num>
  <w:num w:numId="17">
    <w:abstractNumId w:val="27"/>
  </w:num>
  <w:num w:numId="18">
    <w:abstractNumId w:val="21"/>
  </w:num>
  <w:num w:numId="19">
    <w:abstractNumId w:val="11"/>
  </w:num>
  <w:num w:numId="20">
    <w:abstractNumId w:val="9"/>
  </w:num>
  <w:num w:numId="21">
    <w:abstractNumId w:val="25"/>
  </w:num>
  <w:num w:numId="22">
    <w:abstractNumId w:val="20"/>
  </w:num>
  <w:num w:numId="23">
    <w:abstractNumId w:val="10"/>
  </w:num>
  <w:num w:numId="24">
    <w:abstractNumId w:val="13"/>
  </w:num>
  <w:num w:numId="25">
    <w:abstractNumId w:val="26"/>
  </w:num>
  <w:num w:numId="26">
    <w:abstractNumId w:val="8"/>
  </w:num>
  <w:num w:numId="27">
    <w:abstractNumId w:val="22"/>
  </w:num>
  <w:num w:numId="28">
    <w:abstractNumId w:val="12"/>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4E35"/>
    <w:rsid w:val="00027447"/>
    <w:rsid w:val="000278AB"/>
    <w:rsid w:val="0003214C"/>
    <w:rsid w:val="00077AA7"/>
    <w:rsid w:val="000C337E"/>
    <w:rsid w:val="000E32BA"/>
    <w:rsid w:val="0010410C"/>
    <w:rsid w:val="00160E82"/>
    <w:rsid w:val="001F0E04"/>
    <w:rsid w:val="0022301C"/>
    <w:rsid w:val="00272032"/>
    <w:rsid w:val="00275FE7"/>
    <w:rsid w:val="002B5793"/>
    <w:rsid w:val="002B6CC6"/>
    <w:rsid w:val="003460DC"/>
    <w:rsid w:val="003579A5"/>
    <w:rsid w:val="003818A4"/>
    <w:rsid w:val="003831C0"/>
    <w:rsid w:val="00384FD3"/>
    <w:rsid w:val="003B4DAC"/>
    <w:rsid w:val="003C1BC0"/>
    <w:rsid w:val="003E4BF1"/>
    <w:rsid w:val="00427BF2"/>
    <w:rsid w:val="00437CA8"/>
    <w:rsid w:val="004549F4"/>
    <w:rsid w:val="00461368"/>
    <w:rsid w:val="004B7037"/>
    <w:rsid w:val="004F4DC4"/>
    <w:rsid w:val="00531D14"/>
    <w:rsid w:val="00547343"/>
    <w:rsid w:val="00554621"/>
    <w:rsid w:val="0057603A"/>
    <w:rsid w:val="005951BE"/>
    <w:rsid w:val="005A705A"/>
    <w:rsid w:val="005D169E"/>
    <w:rsid w:val="0061130C"/>
    <w:rsid w:val="0064444C"/>
    <w:rsid w:val="00677BCD"/>
    <w:rsid w:val="006B63B0"/>
    <w:rsid w:val="006F4109"/>
    <w:rsid w:val="006F6ACC"/>
    <w:rsid w:val="00710285"/>
    <w:rsid w:val="007365C1"/>
    <w:rsid w:val="00746494"/>
    <w:rsid w:val="0075510B"/>
    <w:rsid w:val="007760AF"/>
    <w:rsid w:val="00780419"/>
    <w:rsid w:val="007A2792"/>
    <w:rsid w:val="007C5836"/>
    <w:rsid w:val="007D5B90"/>
    <w:rsid w:val="007D6E11"/>
    <w:rsid w:val="00823167"/>
    <w:rsid w:val="008355FA"/>
    <w:rsid w:val="008439DA"/>
    <w:rsid w:val="008F14FA"/>
    <w:rsid w:val="008F26A3"/>
    <w:rsid w:val="00901427"/>
    <w:rsid w:val="0094161B"/>
    <w:rsid w:val="00954652"/>
    <w:rsid w:val="0096012B"/>
    <w:rsid w:val="009C452F"/>
    <w:rsid w:val="009D1014"/>
    <w:rsid w:val="00A12C4A"/>
    <w:rsid w:val="00A4099C"/>
    <w:rsid w:val="00A61F21"/>
    <w:rsid w:val="00A72CD1"/>
    <w:rsid w:val="00AD5068"/>
    <w:rsid w:val="00B16CD7"/>
    <w:rsid w:val="00B2440D"/>
    <w:rsid w:val="00B63B3D"/>
    <w:rsid w:val="00BC1C51"/>
    <w:rsid w:val="00BE12C0"/>
    <w:rsid w:val="00BF25B0"/>
    <w:rsid w:val="00C122E6"/>
    <w:rsid w:val="00C16D65"/>
    <w:rsid w:val="00C7491C"/>
    <w:rsid w:val="00C80DB0"/>
    <w:rsid w:val="00C866E7"/>
    <w:rsid w:val="00CC6ACA"/>
    <w:rsid w:val="00D40B0D"/>
    <w:rsid w:val="00D53AD1"/>
    <w:rsid w:val="00D540D3"/>
    <w:rsid w:val="00D61E8F"/>
    <w:rsid w:val="00D644BF"/>
    <w:rsid w:val="00D74E06"/>
    <w:rsid w:val="00DE5670"/>
    <w:rsid w:val="00DF3B6A"/>
    <w:rsid w:val="00E23DD0"/>
    <w:rsid w:val="00E2603E"/>
    <w:rsid w:val="00E535EF"/>
    <w:rsid w:val="00E71156"/>
    <w:rsid w:val="00E769CD"/>
    <w:rsid w:val="00EA700B"/>
    <w:rsid w:val="00EF1292"/>
    <w:rsid w:val="00F3202A"/>
    <w:rsid w:val="00F523A1"/>
    <w:rsid w:val="00F676AD"/>
    <w:rsid w:val="00F90C3B"/>
    <w:rsid w:val="00FF60E3"/>
    <w:rsid w:val="0247556A"/>
    <w:rsid w:val="053B4679"/>
    <w:rsid w:val="058C78B0"/>
    <w:rsid w:val="05E13064"/>
    <w:rsid w:val="078A573C"/>
    <w:rsid w:val="07CA6A21"/>
    <w:rsid w:val="093A3733"/>
    <w:rsid w:val="09564D38"/>
    <w:rsid w:val="096D4E25"/>
    <w:rsid w:val="09906519"/>
    <w:rsid w:val="0A0B6138"/>
    <w:rsid w:val="0A145B65"/>
    <w:rsid w:val="0AE93662"/>
    <w:rsid w:val="0AFB2620"/>
    <w:rsid w:val="0B4508AE"/>
    <w:rsid w:val="0CA3325A"/>
    <w:rsid w:val="0CF04E79"/>
    <w:rsid w:val="0CF161C9"/>
    <w:rsid w:val="0DF26CD2"/>
    <w:rsid w:val="0E0B7FF0"/>
    <w:rsid w:val="0F904004"/>
    <w:rsid w:val="10115555"/>
    <w:rsid w:val="112100EA"/>
    <w:rsid w:val="117A5014"/>
    <w:rsid w:val="118414C5"/>
    <w:rsid w:val="127F05A0"/>
    <w:rsid w:val="12A367ED"/>
    <w:rsid w:val="136D78F8"/>
    <w:rsid w:val="147623BD"/>
    <w:rsid w:val="157A1214"/>
    <w:rsid w:val="15CC4977"/>
    <w:rsid w:val="162A4F7D"/>
    <w:rsid w:val="16A82A66"/>
    <w:rsid w:val="187423BE"/>
    <w:rsid w:val="18981A0C"/>
    <w:rsid w:val="1994787E"/>
    <w:rsid w:val="1AC85E34"/>
    <w:rsid w:val="1B951DCE"/>
    <w:rsid w:val="1BCC54CD"/>
    <w:rsid w:val="1DD000AF"/>
    <w:rsid w:val="1E09745A"/>
    <w:rsid w:val="1E176351"/>
    <w:rsid w:val="2058178A"/>
    <w:rsid w:val="22935D1D"/>
    <w:rsid w:val="23D4489F"/>
    <w:rsid w:val="24DC16EA"/>
    <w:rsid w:val="25695674"/>
    <w:rsid w:val="262001B9"/>
    <w:rsid w:val="27B87AF9"/>
    <w:rsid w:val="27E80EA9"/>
    <w:rsid w:val="280414A1"/>
    <w:rsid w:val="28074CD0"/>
    <w:rsid w:val="28570368"/>
    <w:rsid w:val="29C5318E"/>
    <w:rsid w:val="2AD572F1"/>
    <w:rsid w:val="2AF40319"/>
    <w:rsid w:val="2B502F98"/>
    <w:rsid w:val="2C047EA4"/>
    <w:rsid w:val="2C9A0A9E"/>
    <w:rsid w:val="2DA70D65"/>
    <w:rsid w:val="2DE50725"/>
    <w:rsid w:val="2EA03103"/>
    <w:rsid w:val="2F1D72A2"/>
    <w:rsid w:val="2F9B28CE"/>
    <w:rsid w:val="33180DE1"/>
    <w:rsid w:val="3427766B"/>
    <w:rsid w:val="343706EB"/>
    <w:rsid w:val="35012702"/>
    <w:rsid w:val="351A08D0"/>
    <w:rsid w:val="36334CE5"/>
    <w:rsid w:val="36BA60A2"/>
    <w:rsid w:val="39BA7DF4"/>
    <w:rsid w:val="3A551407"/>
    <w:rsid w:val="3B033C36"/>
    <w:rsid w:val="3BEA6C39"/>
    <w:rsid w:val="3E5D4E8E"/>
    <w:rsid w:val="3F310E98"/>
    <w:rsid w:val="3F485A1E"/>
    <w:rsid w:val="3FE25336"/>
    <w:rsid w:val="41076015"/>
    <w:rsid w:val="42075FF8"/>
    <w:rsid w:val="42842020"/>
    <w:rsid w:val="42BA0E65"/>
    <w:rsid w:val="42FB54E2"/>
    <w:rsid w:val="449B0822"/>
    <w:rsid w:val="462F72F9"/>
    <w:rsid w:val="468567BB"/>
    <w:rsid w:val="46CD0C62"/>
    <w:rsid w:val="475047F2"/>
    <w:rsid w:val="4782487D"/>
    <w:rsid w:val="48AB197C"/>
    <w:rsid w:val="49935F6C"/>
    <w:rsid w:val="4AF8792A"/>
    <w:rsid w:val="4B31068E"/>
    <w:rsid w:val="4BA55220"/>
    <w:rsid w:val="4BAD0151"/>
    <w:rsid w:val="4C184E09"/>
    <w:rsid w:val="4C8F75A2"/>
    <w:rsid w:val="4CBA258C"/>
    <w:rsid w:val="4DAD4403"/>
    <w:rsid w:val="4E8C008E"/>
    <w:rsid w:val="4EFE2DB2"/>
    <w:rsid w:val="4FEF758C"/>
    <w:rsid w:val="50771A9C"/>
    <w:rsid w:val="510936E3"/>
    <w:rsid w:val="51C47F6D"/>
    <w:rsid w:val="51DB0B9F"/>
    <w:rsid w:val="53603363"/>
    <w:rsid w:val="5455382C"/>
    <w:rsid w:val="554B7A10"/>
    <w:rsid w:val="55F975FE"/>
    <w:rsid w:val="56A35797"/>
    <w:rsid w:val="587001A1"/>
    <w:rsid w:val="5AB87F28"/>
    <w:rsid w:val="5ACB677D"/>
    <w:rsid w:val="5D0A3490"/>
    <w:rsid w:val="5D7E0D39"/>
    <w:rsid w:val="5E9D3F29"/>
    <w:rsid w:val="60384CD1"/>
    <w:rsid w:val="60655808"/>
    <w:rsid w:val="60F86CEE"/>
    <w:rsid w:val="60FD39DD"/>
    <w:rsid w:val="633B16F7"/>
    <w:rsid w:val="63A9427A"/>
    <w:rsid w:val="63D462B1"/>
    <w:rsid w:val="641A3596"/>
    <w:rsid w:val="64D96647"/>
    <w:rsid w:val="655B51E5"/>
    <w:rsid w:val="65E40ADA"/>
    <w:rsid w:val="66330B86"/>
    <w:rsid w:val="668873A3"/>
    <w:rsid w:val="66E22203"/>
    <w:rsid w:val="68AA6162"/>
    <w:rsid w:val="68B812C9"/>
    <w:rsid w:val="69D50CF4"/>
    <w:rsid w:val="69D72179"/>
    <w:rsid w:val="69F06D97"/>
    <w:rsid w:val="6C123C46"/>
    <w:rsid w:val="6C487AFD"/>
    <w:rsid w:val="6CB24363"/>
    <w:rsid w:val="6EA93466"/>
    <w:rsid w:val="6FCF0795"/>
    <w:rsid w:val="6FDF37AC"/>
    <w:rsid w:val="6FFD4572"/>
    <w:rsid w:val="70576B42"/>
    <w:rsid w:val="71381023"/>
    <w:rsid w:val="71696852"/>
    <w:rsid w:val="71876A4E"/>
    <w:rsid w:val="73714961"/>
    <w:rsid w:val="754D1D92"/>
    <w:rsid w:val="7557416E"/>
    <w:rsid w:val="758350A9"/>
    <w:rsid w:val="793A002E"/>
    <w:rsid w:val="79687E1D"/>
    <w:rsid w:val="7AAF2356"/>
    <w:rsid w:val="7B560FD7"/>
    <w:rsid w:val="7B5F74F8"/>
    <w:rsid w:val="7B690630"/>
    <w:rsid w:val="7BD227A0"/>
    <w:rsid w:val="7C5123F4"/>
    <w:rsid w:val="7D040AB6"/>
    <w:rsid w:val="7D2012E9"/>
    <w:rsid w:val="7D4119E6"/>
    <w:rsid w:val="7DAF162B"/>
    <w:rsid w:val="7DC42B41"/>
    <w:rsid w:val="7E435B33"/>
    <w:rsid w:val="7E8301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仿宋_GB2312" w:hAnsi="仿宋_GB2312" w:eastAsia="仿宋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正文文本缩进 2 Char"/>
    <w:link w:val="9"/>
    <w:qFormat/>
    <w:uiPriority w:val="0"/>
    <w:rPr>
      <w:szCs w:val="20"/>
    </w:rPr>
  </w:style>
  <w:style w:type="character" w:customStyle="1" w:styleId="33">
    <w:name w:val="正文首行缩进 Char"/>
    <w:link w:val="16"/>
    <w:qFormat/>
    <w:uiPriority w:val="0"/>
    <w:rPr>
      <w:rFonts w:ascii="仿宋_GB2312" w:hAnsi="仿宋_GB2312" w:eastAsia="仿宋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正文首行缩进 2 Char"/>
    <w:link w:val="17"/>
    <w:qFormat/>
    <w:uiPriority w:val="99"/>
    <w:rPr>
      <w:rFonts w:ascii="宋体" w:hAnsi="Times New Roman"/>
      <w:kern w:val="0"/>
      <w:sz w:val="21"/>
      <w:szCs w:val="24"/>
    </w:rPr>
  </w:style>
  <w:style w:type="character" w:customStyle="1" w:styleId="37">
    <w:name w:val="批注文字 Char"/>
    <w:basedOn w:val="20"/>
    <w:link w:val="6"/>
    <w:qFormat/>
    <w:uiPriority w:val="0"/>
    <w:rPr>
      <w:kern w:val="2"/>
      <w:sz w:val="21"/>
      <w:szCs w:val="22"/>
    </w:rPr>
  </w:style>
  <w:style w:type="character" w:customStyle="1" w:styleId="38">
    <w:name w:val="批注主题 Char"/>
    <w:basedOn w:val="37"/>
    <w:link w:val="15"/>
    <w:qFormat/>
    <w:uiPriority w:val="0"/>
    <w:rPr>
      <w:b/>
      <w:bCs/>
      <w:kern w:val="2"/>
      <w:sz w:val="21"/>
      <w:szCs w:val="22"/>
    </w:rPr>
  </w:style>
  <w:style w:type="character" w:customStyle="1" w:styleId="39">
    <w:name w:val="批注框文本 Char"/>
    <w:basedOn w:val="20"/>
    <w:link w:val="10"/>
    <w:qFormat/>
    <w:uiPriority w:val="0"/>
    <w:rPr>
      <w:kern w:val="2"/>
      <w:sz w:val="18"/>
      <w:szCs w:val="18"/>
    </w:rPr>
  </w:style>
  <w:style w:type="character" w:customStyle="1" w:styleId="40">
    <w:name w:val="标题 2 Char"/>
    <w:link w:val="3"/>
    <w:qFormat/>
    <w:uiPriority w:val="0"/>
    <w:rPr>
      <w:rFonts w:ascii="Times New Roman" w:hAnsi="Times New Roman" w:eastAsia="仿宋" w:cs="Times New Roman"/>
      <w:b/>
      <w:sz w:val="32"/>
    </w:rPr>
  </w:style>
  <w:style w:type="character" w:customStyle="1" w:styleId="41">
    <w:name w:val="font51"/>
    <w:basedOn w:val="20"/>
    <w:qFormat/>
    <w:uiPriority w:val="0"/>
    <w:rPr>
      <w:rFonts w:hint="eastAsia" w:ascii="宋体" w:hAnsi="宋体" w:eastAsia="宋体" w:cs="宋体"/>
      <w:color w:val="000000"/>
      <w:sz w:val="20"/>
      <w:szCs w:val="20"/>
      <w:u w:val="none"/>
    </w:rPr>
  </w:style>
  <w:style w:type="character" w:customStyle="1" w:styleId="42">
    <w:name w:val="font31"/>
    <w:basedOn w:val="20"/>
    <w:qFormat/>
    <w:uiPriority w:val="0"/>
    <w:rPr>
      <w:rFonts w:hint="default" w:ascii="Alibaba PuHuiTi 2.0" w:hAnsi="Alibaba PuHuiTi 2.0" w:eastAsia="Alibaba PuHuiTi 2.0" w:cs="Alibaba PuHuiTi 2.0"/>
      <w:color w:val="000000"/>
      <w:sz w:val="20"/>
      <w:szCs w:val="20"/>
      <w:u w:val="none"/>
    </w:rPr>
  </w:style>
  <w:style w:type="paragraph" w:customStyle="1" w:styleId="43">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Template>
  <Pages>45</Pages>
  <Words>1347</Words>
  <Characters>1465</Characters>
  <Lines>101</Lines>
  <Paragraphs>28</Paragraphs>
  <TotalTime>0</TotalTime>
  <ScaleCrop>false</ScaleCrop>
  <LinksUpToDate>false</LinksUpToDate>
  <CharactersWithSpaces>1538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2026-08-25T02:12:55Z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F592B24CD73A4076AEFFA623AF24FF8C_13</vt:lpwstr>
  </property>
  <property fmtid="{D5CDD505-2E9C-101B-9397-08002B2CF9AE}" pid="4" name="KSOTemplateDocerSaveRecord">
    <vt:lpwstr>eyJoZGlkIjoiOTkyMTAwNWNkOWQxN2M2ZGU0YTllNDJiNjQ2ZjgyNjkiLCJ1c2VySWQiOiIzNjM4OTIzNDkifQ==</vt:lpwstr>
  </property>
</Properties>
</file>