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临床技能教学模具</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pPr>
        <w:pStyle w:val="15"/>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5"/>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5"/>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5"/>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5"/>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5"/>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5"/>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5"/>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5"/>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471310326"/>
      <w:bookmarkStart w:id="1" w:name="_Toc21919"/>
      <w:bookmarkStart w:id="2" w:name="_Toc20358"/>
      <w:bookmarkStart w:id="3" w:name="_Toc3240"/>
      <w:bookmarkStart w:id="4" w:name="_Toc62832406"/>
      <w:bookmarkStart w:id="5" w:name="_Toc1907"/>
      <w:r>
        <w:rPr>
          <w:rFonts w:ascii="Times New Roman" w:hAnsi="Times New Roman" w:cs="Times New Roman"/>
        </w:rPr>
        <w:t>谈判邀请</w:t>
      </w:r>
      <w:bookmarkEnd w:id="0"/>
      <w:bookmarkEnd w:id="1"/>
      <w:bookmarkEnd w:id="2"/>
      <w:bookmarkEnd w:id="3"/>
      <w:bookmarkEnd w:id="4"/>
      <w:bookmarkEnd w:id="5"/>
    </w:p>
    <w:tbl>
      <w:tblPr>
        <w:tblStyle w:val="19"/>
        <w:tblW w:w="5022"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3"/>
        <w:gridCol w:w="1998"/>
        <w:gridCol w:w="7694"/>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601"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8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66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临床技能教学模具采购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rPr>
              <w:t>JYP20261325</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286800.00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单项限价详见采购文件第四章★三、限高单价及数量清单。</w:t>
            </w: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660"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660"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A8"/>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spacing w:line="360" w:lineRule="auto"/>
              <w:jc w:val="center"/>
              <w:rPr>
                <w:rFonts w:ascii="Times New Roman" w:hAnsi="Times New Roman" w:eastAsia="仿宋" w:cs="Times New Roman"/>
                <w:kern w:val="0"/>
                <w:sz w:val="22"/>
              </w:rPr>
            </w:pPr>
          </w:p>
        </w:tc>
        <w:tc>
          <w:tcPr>
            <w:tcW w:w="7660" w:type="dxa"/>
            <w:tcBorders>
              <w:top w:val="single" w:color="auto" w:sz="4" w:space="0"/>
            </w:tcBorders>
            <w:vAlign w:val="center"/>
          </w:tcPr>
          <w:p>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660"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pStyle w:val="28"/>
              <w:spacing w:line="360" w:lineRule="auto"/>
              <w:jc w:val="center"/>
              <w:rPr>
                <w:rFonts w:ascii="Times New Roman" w:hAnsi="Times New Roman" w:eastAsia="仿宋" w:cs="Times New Roman"/>
                <w:sz w:val="22"/>
                <w:szCs w:val="22"/>
              </w:rPr>
            </w:pPr>
          </w:p>
        </w:tc>
        <w:tc>
          <w:tcPr>
            <w:tcW w:w="7660"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r>
              <w:rPr>
                <w:rFonts w:ascii="Times New Roman" w:hAnsi="Times New Roman" w:eastAsia="仿宋" w:cs="Times New Roman"/>
                <w:sz w:val="22"/>
                <w:u w:val="single"/>
              </w:rPr>
              <w:t xml:space="preserve"> </w:t>
            </w:r>
          </w:p>
          <w:p>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w:t>
            </w:r>
            <w:r>
              <w:rPr>
                <w:rFonts w:hint="eastAsia" w:ascii="Times New Roman" w:hAnsi="Times New Roman" w:eastAsia="仿宋" w:cs="Times New Roman"/>
                <w:sz w:val="22"/>
                <w:szCs w:val="22"/>
                <w:lang w:val="en-US" w:eastAsia="zh-CN"/>
              </w:rPr>
              <w:t>货物</w:t>
            </w:r>
            <w:r>
              <w:rPr>
                <w:rFonts w:hint="eastAsia" w:ascii="Times New Roman" w:hAnsi="Times New Roman" w:eastAsia="仿宋" w:cs="Times New Roman"/>
                <w:sz w:val="22"/>
                <w:szCs w:val="22"/>
                <w:lang w:val="zh-CN"/>
              </w:rPr>
              <w:t>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供应商拒绝履行与采购人订立的合同</w:t>
            </w:r>
            <w:r>
              <w:rPr>
                <w:rFonts w:ascii="Times New Roman" w:hAnsi="Times New Roman" w:eastAsia="仿宋" w:cs="Times New Roman"/>
                <w:sz w:val="22"/>
                <w:szCs w:val="22"/>
                <w:lang w:val="zh-CN"/>
              </w:rPr>
              <w:t>；</w:t>
            </w:r>
          </w:p>
          <w:p>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w:t>
            </w:r>
            <w:r>
              <w:rPr>
                <w:rFonts w:hint="eastAsia" w:ascii="Times New Roman" w:hAnsi="Times New Roman" w:eastAsia="仿宋" w:cs="Times New Roman"/>
                <w:sz w:val="22"/>
                <w:highlight w:val="none"/>
              </w:rPr>
              <w:t>相同则</w:t>
            </w:r>
            <w:r>
              <w:rPr>
                <w:rFonts w:hint="eastAsia" w:ascii="Times New Roman" w:hAnsi="Times New Roman" w:eastAsia="仿宋" w:cs="Times New Roman"/>
                <w:i/>
                <w:iCs/>
                <w:sz w:val="22"/>
                <w:highlight w:val="none"/>
              </w:rPr>
              <w:t>报价&lt;最低&gt;</w:t>
            </w:r>
            <w:r>
              <w:rPr>
                <w:rFonts w:hint="eastAsia" w:ascii="Times New Roman" w:hAnsi="Times New Roman" w:eastAsia="仿宋" w:cs="Times New Roman"/>
                <w:sz w:val="22"/>
                <w:highlight w:val="none"/>
              </w:rPr>
              <w:t>的为成交供</w:t>
            </w:r>
            <w:r>
              <w:rPr>
                <w:rFonts w:hint="eastAsia" w:ascii="Times New Roman" w:hAnsi="Times New Roman" w:eastAsia="仿宋" w:cs="Times New Roman"/>
                <w:sz w:val="22"/>
              </w:rPr>
              <w:t>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660"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（2）归口部门：教育培训部门</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87393414</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31"/>
        <w:gridCol w:w="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2846" w:type="pct"/>
            <w:vAlign w:val="center"/>
          </w:tcPr>
          <w:p>
            <w:pPr>
              <w:rPr>
                <w:rFonts w:ascii="Times New Roman" w:hAnsi="Times New Roman" w:eastAsia="仿宋" w:cs="Times New Roman"/>
                <w:sz w:val="22"/>
                <w:u w:val="single"/>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p>
        </w:tc>
      </w:tr>
    </w:tbl>
    <w:p>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本项目为四川省人民医院临床技能教学模具采购项目，拟确定一家供应商供应临床技能教学模具。</w:t>
      </w:r>
      <w:r>
        <w:rPr>
          <w:rFonts w:ascii="Times New Roman" w:hAnsi="Times New Roman" w:eastAsia="仿宋" w:cs="Times New Roman"/>
          <w:sz w:val="24"/>
          <w:szCs w:val="24"/>
        </w:rPr>
        <w:cr/>
      </w:r>
      <w:r>
        <w:rPr>
          <w:rFonts w:ascii="Times New Roman" w:hAnsi="Times New Roman" w:eastAsia="仿宋" w:cs="Times New Roman"/>
          <w:b/>
          <w:bCs/>
          <w:sz w:val="24"/>
          <w:szCs w:val="24"/>
        </w:rPr>
        <w:t>二、技术</w:t>
      </w:r>
      <w:r>
        <w:rPr>
          <w:rFonts w:hint="eastAsia" w:ascii="Times New Roman" w:hAnsi="Times New Roman" w:eastAsia="仿宋" w:cs="Times New Roman"/>
          <w:b/>
          <w:bCs/>
          <w:sz w:val="24"/>
          <w:szCs w:val="24"/>
          <w:lang w:val="en-US" w:eastAsia="zh-CN"/>
        </w:rPr>
        <w:t>参数</w:t>
      </w:r>
      <w:r>
        <w:rPr>
          <w:rFonts w:hint="eastAsia" w:ascii="Times New Roman" w:hAnsi="Times New Roman" w:eastAsia="仿宋" w:cs="Times New Roman"/>
          <w:b/>
          <w:bCs/>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（一）外科多功能技能训练模型</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1.可进行肠管的钳夹、切断和吻合训练</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2.可进行血管的钳夹、切断、结扎训练</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3.可进行狭小空间深部打结技术的训练</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4.可进行皮肤切开、缝合、打结、剪线、拆线等技术的训练。</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（二）心肺听诊训练模型（背心式）</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1.模型具有临床上常见的多种正常心肺音及病理性心肺音</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2.共≥42种心音、≥24种呼吸音、≥10个听诊区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3.可佩戴式设计，可穿戴在</w:t>
      </w:r>
      <w:bookmarkStart w:id="98" w:name="_GoBack"/>
      <w:r>
        <w:rPr>
          <w:rFonts w:hint="eastAsia" w:ascii="Times New Roman" w:hAnsi="Times New Roman" w:eastAsia="仿宋" w:cs="Times New Roman"/>
          <w:sz w:val="24"/>
          <w:szCs w:val="24"/>
        </w:rPr>
        <w:t>模型人或学员身上</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4.心肺音听诊外套的前胸、</w:t>
      </w:r>
      <w:bookmarkEnd w:id="98"/>
      <w:r>
        <w:rPr>
          <w:rFonts w:hint="eastAsia" w:ascii="Times New Roman" w:hAnsi="Times New Roman" w:eastAsia="仿宋" w:cs="Times New Roman"/>
          <w:sz w:val="24"/>
          <w:szCs w:val="24"/>
        </w:rPr>
        <w:t>背部、腋中线等设有多个心音和肺音的听诊点</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5.通过遥控器可选择多种不同的心音和不同的肺音，进行听诊练习</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6</w:t>
      </w:r>
      <w:r>
        <w:rPr>
          <w:rFonts w:hint="eastAsia" w:ascii="Times New Roman" w:hAnsi="Times New Roman" w:eastAsia="仿宋" w:cs="Times New Roman"/>
          <w:sz w:val="24"/>
          <w:szCs w:val="24"/>
        </w:rPr>
        <w:t>.音量调节：模拟电子听诊器有音量调节盒，可调节音量大小；亦可通过听诊控制器调节音量大小。</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（三）透明洗胃、胃肠减压仿真标准化病人</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1.具有完全仿真的头颈部，面部材质柔软</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2.具有逼真的口腔（牙齿、舌、悬雍垂），逼真的气道（会厌、声门、喉、杓状软骨、气管）和食道</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3.可显现透明的胃、仿真的肺；可体现仰卧位、左侧卧位、端坐位</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4.可进行各种洗胃法的操作：经鼻洗胃法；洗胃器洗胃法；电动吸引洗胃法；洗胃机洗胃法。</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（四）儿童综合穿刺训练模型</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1.该模拟人为5岁大儿童，全身皮肤柔韧，皮下与肌肉组织，手感真实、触有弹性</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模拟人体内为完整的全身骨骼仿生结构，体现各部位真实的骨性标志。可进行腹部移动性浊音叩诊及穿刺、双侧均可进行液胸穿刺训练、腰椎具有皮下脂肪、棘上韧带、棘间韧带、黄韧带、硬脊膜、蛛网膜，可进行腰椎穿刺、可进行骨髓穿刺操作，各类穿刺成功后可出模拟积液</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3.全身内部骨骼各部位关节灵活，可准确摆放儿童各类穿刺术所需体位</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（五）新生儿心肺复苏训练系统</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模型体内具有完整的全身骨骼，体表无缝包裹柔韧的仿真皮肤，外观逼真，材质柔软手感真实。支持手机扫描二维码一键连接模拟人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可摆放复苏体位，颈部活动度逼真</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具有逼真的口腔（舌、悬雍垂）等解剖结构。</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模型模拟窒息的新生儿，可表现呼吸暂停，心率下降。</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可对新生儿进行初步复苏，如保暖、摆正体位、清理呼吸道、擦干、刺激重新摆正体位。</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新生儿的脐部残留脐带外观形态逼真，可进行脐带护理训练。</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可进行模拟血氧测量教学。</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可进行正压通气，并检测正压通气不足、正压通气过量以及通气频率等。</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可进行气管插管训练并进行气管给药。</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可进行胸部按压操作，并可检测按压位置、按压深度、吹气时间、拍背位置、压胸位置等数据，可实时反馈给训练、考核系统。</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11.</w:t>
      </w:r>
      <w:r>
        <w:rPr>
          <w:rFonts w:hint="eastAsia" w:ascii="Times New Roman" w:hAnsi="Times New Roman" w:eastAsia="仿宋" w:cs="Times New Roman"/>
          <w:sz w:val="24"/>
          <w:szCs w:val="24"/>
        </w:rPr>
        <w:t>新生儿救活后可表现自主呼吸、心率上升，哭啼（可设置）。</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可自定义扣分设置并保存，可进行救活的标准设置、救活后哭声设置、按压提示音设置。</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新生儿可进行无线充电。</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软件系统具有丰富的教学内容，包括影响胎儿、新生儿气体交换的相关因素、临床表现、复苏流程图、复苏设备及复苏步骤等。可以三维动画形象展示心肺复苏急救法、胸外按压、开放气道等操作步骤。具有技能训练以及技能考核模式，可以选择病例进行训练或考核，可自定义扣分设置并保存，评分表及操作报告可详细显示每项得分及操作数据。</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w:t>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sz w:val="24"/>
          <w:szCs w:val="24"/>
        </w:rPr>
        <w:t>训练、考核结果可保存，支持成绩打印。</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（六）高级综合穿刺术与叩诊检查技能训练模拟人</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1.模拟人为仰卧、枕过伸位、头偏向左侧的年轻男子仿真人体</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2.骨性标志明显，锁骨、肋骨、肋间隙、脐、耻骨联合、髂前上棘、胸锁乳头肌、腹股沟韧带等与真正人体解剖位置一致，根据解剖知识可触及上述组织，正确寻找穿刺点</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3.自动颈动脉、股动脉搏动，触诊感觉真实</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4.可以叩诊气胸和液胸的部位和范围、可以叩诊心脏浊音界、诊肝浊音界、叩诊腹部移动性浊音</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5.肝穿刺抽脓术操作时，触诊肝区病人可发出呻吟声</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6.肝肾穿刺时，可以选择屏气提示以限定穿刺时间，在屏气时间内穿刺操作才正确</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7.骨髓穿刺的模块可以更换</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8.穿刺正确和错误时，有语音提示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9.骨髓穿刺的模块可以更换</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10.方便灵活的操作台</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11.操作台移动方便，并且固定简单、稳当</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12.根据操作的不同可以方便的改变模拟病人体位，仰卧位、坐位、半坐位、右侧卧位等都可以轻松实现</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13.控制面板选择按钮，配有人体轮廓，指示操作进针的部位</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14.逼真模拟操作过程，可以进行十余项操作和穿刺训练</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15.无菌操作术</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16.右侧颈内静脉穿刺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17.右侧锁骨下静脉穿刺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18.右侧股静脉穿刺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19.左侧气胸穿刺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20.左侧胸腔积液穿刺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21.肝穿刺抽脓</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22.腹腔穿刺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23.心包腔穿刺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24.心内注射</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25.髂前上棘骨髓穿刺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26.腹腔移动性浊音叩诊练习</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27.气胸、液胸叩诊练习</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28.控制面板功能</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29.在人体轮廓上圆点标志为模拟穿刺术操作的进针部位</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30.在人体轮廓两侧,矩形标志提供选择需要操作的穿刺术按钮，轻轻一按按钮可选择操作的穿刺术</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31.穿刺操作前有正确操作的语音讲解，操作正确后有相应的内容物流出，且操作正确/错误位置有提示音,并在控制面板上有正确/错误/过深LED灯提示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32.启动或关闭脉搏，指示灯亮为启动，指示灯灭为关闭</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33.选择训练模式与考核模式。训练模式下特有的语音提示讲解功能，考核模式下无语音提示讲解功能</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34.可关闭正在播放的语音。</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（七）全身心肺复苏模型人</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模拟人具有自建热点，可通过手机扫描二维码无线连接模拟人，手机不需要安装软件，IOS或Andriod平台不限。模拟人身侧配备了液晶显示窗，可清晰显示模拟人的编号，便于多台同时使用时，正确地找到对应模拟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2.模拟人自带锂电池，正常使用时间不小于8小时；模拟人可感应意识判断、脉搏触诊、是否取出口中异物；</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3.系统内置不同的CPR场景，包括：溺水、心脏骤停、创伤、中毒、意外低温、电击、过敏等，用户也可添加新的场景，或在现有的场景上进行编辑修改。每个场景都可以有独立的操作流程和评分标准</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▲4.系统具有视频导引，用户可选择在训练或考核前导入相应的视频场景</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▲5.模拟生命体征：胸外按压时有模拟心脏按压心电波形；抢救成功后，模拟人可有心电图、颈动脉搏动、散大的瞳孔恢复正常</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kern w:val="2"/>
          <w:sz w:val="24"/>
          <w:szCs w:val="24"/>
          <w:lang w:val="en-US" w:eastAsia="zh-CN" w:bidi="ar-SA"/>
        </w:rPr>
        <w:t>6.</w:t>
      </w:r>
      <w:r>
        <w:rPr>
          <w:rFonts w:hint="eastAsia" w:ascii="Times New Roman" w:hAnsi="Times New Roman" w:eastAsia="仿宋" w:cs="Times New Roman"/>
          <w:sz w:val="24"/>
          <w:szCs w:val="24"/>
        </w:rPr>
        <w:t>可进行胸外按压、气道开放、人工呼吸</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kern w:val="2"/>
          <w:sz w:val="24"/>
          <w:szCs w:val="24"/>
          <w:lang w:val="en-US" w:eastAsia="zh-CN" w:bidi="ar-SA"/>
        </w:rPr>
        <w:t>7.</w:t>
      </w:r>
      <w:r>
        <w:rPr>
          <w:rFonts w:hint="eastAsia" w:ascii="Times New Roman" w:hAnsi="Times New Roman" w:eastAsia="仿宋" w:cs="Times New Roman"/>
          <w:sz w:val="24"/>
          <w:szCs w:val="24"/>
        </w:rPr>
        <w:t>三种操作方式：分为自主训练、自测模式、考核模式。自主训练时，学生可分别进行连续胸外按压或连续吹气操作，针对性的进行训练，完成后有各项错误统计。自测模式时，有操作下一步语音提示，按压吹气时有操作错误提示，并且学生可随时暂停、重置操作</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8.手机系统上条形显示按压深度，正确的按压深度5cm以上,不超过6cm</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9.按压深度过少时，条形为黄色</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left="0" w:leftChars="0"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10.按压深度合适时，条形为绿色</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left="0" w:leftChars="0"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w:t>
      </w: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rPr>
        <w:t>.按压深度过大时，条形为红色</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left="0" w:leftChars="0"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w:t>
      </w: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rPr>
        <w:t>.按压深度时，具有虚拟按压人同步显示</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left="0" w:leftChars="0"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w:t>
      </w:r>
      <w:r>
        <w:rPr>
          <w:rFonts w:hint="eastAsia" w:ascii="Times New Roman" w:hAnsi="Times New Roman" w:eastAsia="仿宋" w:cs="Times New Roman"/>
          <w:sz w:val="24"/>
          <w:szCs w:val="24"/>
          <w:lang w:val="en-US" w:eastAsia="zh-CN"/>
        </w:rPr>
        <w:t>3</w:t>
      </w:r>
      <w:r>
        <w:rPr>
          <w:rFonts w:hint="eastAsia" w:ascii="Times New Roman" w:hAnsi="Times New Roman" w:eastAsia="仿宋" w:cs="Times New Roman"/>
          <w:sz w:val="24"/>
          <w:szCs w:val="24"/>
        </w:rPr>
        <w:t>.手机系统上条形显示吹气量：500ml/600ml-1000ml</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left="0" w:leftChars="0"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w:t>
      </w:r>
      <w:r>
        <w:rPr>
          <w:rFonts w:hint="eastAsia" w:ascii="Times New Roman" w:hAnsi="Times New Roman" w:eastAsia="仿宋" w:cs="Times New Roman"/>
          <w:sz w:val="24"/>
          <w:szCs w:val="24"/>
          <w:lang w:val="en-US" w:eastAsia="zh-CN"/>
        </w:rPr>
        <w:t>4</w:t>
      </w:r>
      <w:r>
        <w:rPr>
          <w:rFonts w:hint="eastAsia" w:ascii="Times New Roman" w:hAnsi="Times New Roman" w:eastAsia="仿宋" w:cs="Times New Roman"/>
          <w:sz w:val="24"/>
          <w:szCs w:val="24"/>
        </w:rPr>
        <w:t>.平板系统上弧形显示操作频率</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left="0" w:leftChars="0"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w:t>
      </w:r>
      <w:r>
        <w:rPr>
          <w:rFonts w:hint="eastAsia" w:ascii="Times New Roman" w:hAnsi="Times New Roman" w:eastAsia="仿宋" w:cs="Times New Roman"/>
          <w:sz w:val="24"/>
          <w:szCs w:val="24"/>
          <w:lang w:val="en-US" w:eastAsia="zh-CN"/>
        </w:rPr>
        <w:t>5.</w:t>
      </w:r>
      <w:r>
        <w:rPr>
          <w:rFonts w:hint="eastAsia" w:ascii="Times New Roman" w:hAnsi="Times New Roman" w:eastAsia="仿宋" w:cs="Times New Roman"/>
          <w:sz w:val="24"/>
          <w:szCs w:val="24"/>
        </w:rPr>
        <w:t>监考功能：学生考核模式时，教师可用另一台手机连接模拟人进入监考模式，查看学生的操作记录、实时的操作数据，并且控制考核暂停或重置</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left="0" w:leftChars="0"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w:t>
      </w:r>
      <w:r>
        <w:rPr>
          <w:rFonts w:hint="eastAsia" w:ascii="Times New Roman" w:hAnsi="Times New Roman" w:eastAsia="仿宋" w:cs="Times New Roman"/>
          <w:sz w:val="24"/>
          <w:szCs w:val="24"/>
          <w:lang w:val="en-US" w:eastAsia="zh-CN"/>
        </w:rPr>
        <w:t>6</w:t>
      </w:r>
      <w:r>
        <w:rPr>
          <w:rFonts w:hint="eastAsia" w:ascii="Times New Roman" w:hAnsi="Times New Roman" w:eastAsia="仿宋" w:cs="Times New Roman"/>
          <w:sz w:val="24"/>
          <w:szCs w:val="24"/>
        </w:rPr>
        <w:t>.考生可完全自主完成考核，无需教师参与，或者教师也可同时登录系统进行监考</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left="0" w:leftChars="0"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kern w:val="2"/>
          <w:sz w:val="24"/>
          <w:szCs w:val="24"/>
          <w:lang w:val="en-US" w:eastAsia="zh-CN" w:bidi="ar-SA"/>
        </w:rPr>
        <w:t>17.</w:t>
      </w:r>
      <w:r>
        <w:rPr>
          <w:rFonts w:hint="eastAsia" w:ascii="Times New Roman" w:hAnsi="Times New Roman" w:eastAsia="仿宋" w:cs="Times New Roman"/>
          <w:sz w:val="24"/>
          <w:szCs w:val="24"/>
        </w:rPr>
        <w:t>成绩管理：记录考核的所有成绩单，可根据场景进行查看和统计，了解所有考生的各技能点掌握情况</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left="0" w:leftChars="0"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18.</w:t>
      </w:r>
      <w:r>
        <w:rPr>
          <w:rFonts w:hint="eastAsia" w:ascii="Times New Roman" w:hAnsi="Times New Roman" w:eastAsia="仿宋" w:cs="Times New Roman"/>
          <w:sz w:val="24"/>
          <w:szCs w:val="24"/>
        </w:rPr>
        <w:t>系统可显示操作日志：系统自动记录操作流程、胸外按压的次数、过大、过小、按压位置、按压频率、按压中断、吹气次数、吹气量等信息。</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0" w:firstLineChars="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（八）清创模型</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1.模块至少包含：枪弹伤贴片、刀伤贴片、砍伤、刺伤、擦伤贴片、挫裂伤贴片、溃烂伤贴片、撕脱伤贴片</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2.模块采用高分子材料，经久耐用，安装简便，仿真度高。</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（九）会阴切开与缝合示教模型</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1.模块皮肤手感真实，富有弹性</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2.三个带有不同切口的外阴：正中切口、左侧切口和右侧切口。</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（十）脊椎损伤搬运技能实操模型</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1.模型内部具有完整的骨骼结构，可触及颈椎、胸椎、腰椎和骶尾椎，上肢可屈肘，可实现病人救护及搬运过程中各种诊疗体位的摆放。</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2.模型具有腰椎和颈椎损伤伤情，带有电子感应装置，能够感应腰椎、颈椎移位并有语音提示报警。</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▲3.电子感应装置灵敏度分为三档，可根据教学需求进行调节。</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4.可模拟搬运过程中腰椎、颈椎移位过大时造成的二次损伤表现，具有脊椎损伤轴线翻身法，多人平直搬运法的教学、训练及考核。</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5.模拟人内置可充电锂电池，便于进行搬运训练，电量充满状态下使用时间≥48小时。</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6.教学评估模块参数：</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▲(1)移动数据终端配备5寸IPS全面显示屏</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(2)800万像素(分辨率3264*2448)</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▲(3)采用万向软管式设计，360度任意方向可调</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(4)连接方式：5G无线WiFi连接、以太网有线连接</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▲(5)内置双3.5mm音频口，可接入设备采集实时设备内部的音频，及外接音箱输出视频播放的声音。</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(6)移动数据终端内置专用操作系统，实现拍照、录制、回看的功能。</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(7)具有笔记本、台式机、一体机、电子白板同时无线接入观看实物展示，无线传输距离可达30米。</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(8)具有放大，缩小，具有画面的动态即时旋转。</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(9)具有实时视频展示、本地图片展示、旋转、缩放、拍照等教学功能。</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▲(10)具有软件无线、有线调取移动数据终端的实时音视频画面，声音画面同步展示。</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（十一）人体气管插管训练模型</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1.成年男性模型，解剖标志明显，采用高分子环保材质制成，具有逼真的口腔，鼻腔结构，包括牙齿，舌头，会厌，声门等结构</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2.仰卧位，可行仰头举颏、可后仰练习清除呼吸道异物</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3.成人头颈部，拥有双肺、食道及胃</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3.1双肺可见，可观察每个肺的分区，有明显的分区线，利于教学</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3.2通气时可见双肺涨起，拥有透明的胃，具有洗胃练习，胃部透明便于观察胃管插入的位置，可运用多种插入胃管的方式，及可注入真实的液体</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4.下颌关节可活动，可进行Sellick手法讲解</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5.具有颈动脉搏动</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6.瞳孔示教：正常大小瞳孔、瞳孔散大</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7.插管成功后给予人工呼吸可见双肺涨起</w:t>
      </w:r>
      <w:r>
        <w:rPr>
          <w:rFonts w:hint="eastAsia" w:ascii="Times New Roman" w:hAnsi="Times New Roman" w:eastAsia="仿宋" w:cs="Times New Roman"/>
          <w:sz w:val="24"/>
          <w:szCs w:val="24"/>
          <w:lang w:eastAsia="zh-CN"/>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▲8.模型配备有底板，底板和模型可快速分离和接上，进行插管操作时可固定模型头部，防止滑动。</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Segoe UI Symbol" w:hAnsi="Segoe UI Symbol" w:eastAsia="仿宋" w:cs="Segoe UI Symbol"/>
          <w:b/>
          <w:bCs/>
          <w:sz w:val="24"/>
          <w:szCs w:val="22"/>
          <w:lang w:val="en-US" w:eastAsia="zh-CN"/>
        </w:rPr>
      </w:pPr>
      <w:r>
        <w:rPr>
          <w:rFonts w:ascii="Segoe UI Symbol" w:hAnsi="Segoe UI Symbol" w:eastAsia="仿宋" w:cs="Segoe UI Symbol"/>
          <w:b/>
          <w:bCs/>
          <w:sz w:val="24"/>
          <w:szCs w:val="22"/>
        </w:rPr>
        <w:t>★</w:t>
      </w:r>
      <w:r>
        <w:rPr>
          <w:rFonts w:hint="eastAsia" w:ascii="Segoe UI Symbol" w:hAnsi="Segoe UI Symbol" w:eastAsia="仿宋" w:cs="Segoe UI Symbol"/>
          <w:b/>
          <w:bCs/>
          <w:sz w:val="24"/>
          <w:szCs w:val="22"/>
          <w:lang w:val="en-US" w:eastAsia="zh-CN"/>
        </w:rPr>
        <w:t>三、限高价及数量清单</w:t>
      </w: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2"/>
        <w:gridCol w:w="4321"/>
        <w:gridCol w:w="1824"/>
        <w:gridCol w:w="1134"/>
        <w:gridCol w:w="2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产品名称</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限高单价（元）</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数量（个）</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限高总价（元）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外科多功能技能训练模型</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心肺听诊训练模型（背心式）</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透明洗胃、胃肠减压仿真标准化病人</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儿童综合穿刺训练模型</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新生儿心肺复苏训练系统</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高级综合穿刺术与叩诊检查技能训练模拟人</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全身心肺复苏模型人</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清创模型</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会阴切开与缝合示教模型</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脊椎损伤搬运技能实操模型</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07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人体气管插管训练模型</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4800</w:t>
            </w:r>
          </w:p>
        </w:tc>
        <w:tc>
          <w:tcPr>
            <w:tcW w:w="5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9600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392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限高总金额</w:t>
            </w:r>
          </w:p>
        </w:tc>
        <w:tc>
          <w:tcPr>
            <w:tcW w:w="10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286800</w:t>
            </w:r>
          </w:p>
        </w:tc>
      </w:tr>
    </w:tbl>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default" w:ascii="Segoe UI Symbol" w:hAnsi="Segoe UI Symbol" w:eastAsia="仿宋" w:cs="Segoe UI Symbol"/>
          <w:b/>
          <w:bCs/>
          <w:sz w:val="24"/>
          <w:szCs w:val="22"/>
          <w:lang w:val="en-US" w:eastAsia="zh-CN"/>
        </w:rPr>
      </w:pP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textAlignment w:val="auto"/>
        <w:rPr>
          <w:rFonts w:hint="eastAsia" w:ascii="Times New Roman" w:hAnsi="Times New Roman" w:eastAsia="仿宋" w:cs="Times New Roman"/>
          <w:sz w:val="24"/>
          <w:szCs w:val="24"/>
        </w:rPr>
      </w:pPr>
      <w:r>
        <w:rPr>
          <w:rFonts w:ascii="Segoe UI Symbol" w:hAnsi="Segoe UI Symbol" w:eastAsia="仿宋" w:cs="Segoe UI Symbol"/>
          <w:b/>
          <w:bCs/>
          <w:sz w:val="24"/>
          <w:szCs w:val="22"/>
        </w:rPr>
        <w:t>★</w:t>
      </w:r>
      <w:r>
        <w:rPr>
          <w:rFonts w:hint="eastAsia" w:ascii="Times New Roman" w:hAnsi="Times New Roman" w:eastAsia="仿宋" w:cs="Times New Roman"/>
          <w:b/>
          <w:bCs/>
          <w:sz w:val="24"/>
          <w:szCs w:val="24"/>
          <w:lang w:val="en-US" w:eastAsia="zh-CN"/>
        </w:rPr>
        <w:t>四</w:t>
      </w:r>
      <w:r>
        <w:rPr>
          <w:rFonts w:hint="eastAsia" w:ascii="Times New Roman" w:hAnsi="Times New Roman" w:eastAsia="仿宋" w:cs="Times New Roman"/>
          <w:b/>
          <w:bCs/>
          <w:sz w:val="24"/>
          <w:szCs w:val="24"/>
        </w:rPr>
        <w:t>、售后服务要求(售后服务涉及费用均包含在供应商的投标报价中)：</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t>1.</w:t>
      </w:r>
      <w:r>
        <w:rPr>
          <w:rFonts w:hint="eastAsia" w:ascii="Times New Roman" w:hAnsi="Times New Roman" w:eastAsia="仿宋" w:cs="Times New Roman"/>
          <w:sz w:val="24"/>
          <w:szCs w:val="24"/>
        </w:rPr>
        <w:t>为采购人提供使用操作培训，保证受训人员能对</w:t>
      </w:r>
      <w:r>
        <w:rPr>
          <w:rFonts w:hint="eastAsia" w:ascii="Times New Roman" w:hAnsi="Times New Roman" w:eastAsia="仿宋" w:cs="Times New Roman"/>
          <w:sz w:val="24"/>
          <w:szCs w:val="24"/>
          <w:lang w:eastAsia="zh-CN"/>
        </w:rPr>
        <w:t>货物</w:t>
      </w:r>
      <w:r>
        <w:rPr>
          <w:rFonts w:hint="eastAsia" w:ascii="Times New Roman" w:hAnsi="Times New Roman" w:eastAsia="仿宋" w:cs="Times New Roman"/>
          <w:sz w:val="24"/>
          <w:szCs w:val="24"/>
        </w:rPr>
        <w:t>进行熟练操作及日常维护；为采购人维修工程师提供技术培训，直至其具备保障</w:t>
      </w:r>
      <w:r>
        <w:rPr>
          <w:rFonts w:hint="eastAsia" w:ascii="Times New Roman" w:hAnsi="Times New Roman" w:eastAsia="仿宋" w:cs="Times New Roman"/>
          <w:sz w:val="24"/>
          <w:szCs w:val="24"/>
          <w:lang w:eastAsia="zh-CN"/>
        </w:rPr>
        <w:t>货物</w:t>
      </w:r>
      <w:r>
        <w:rPr>
          <w:rFonts w:hint="eastAsia" w:ascii="Times New Roman" w:hAnsi="Times New Roman" w:eastAsia="仿宋" w:cs="Times New Roman"/>
          <w:sz w:val="24"/>
          <w:szCs w:val="24"/>
        </w:rPr>
        <w:t>正常运行和排除一般性故障的能力。如未达到上述要求，采购人有权延后支付合同价款。</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default" w:ascii="Times New Roman" w:hAnsi="Times New Roman" w:eastAsia="仿宋" w:cs="Times New Roman"/>
          <w:sz w:val="24"/>
          <w:szCs w:val="24"/>
        </w:rPr>
        <w:t>2.</w:t>
      </w:r>
      <w:r>
        <w:rPr>
          <w:rFonts w:hint="eastAsia" w:ascii="Times New Roman" w:hAnsi="Times New Roman" w:eastAsia="仿宋" w:cs="Times New Roman"/>
          <w:sz w:val="24"/>
          <w:szCs w:val="24"/>
        </w:rPr>
        <w:t>如在质保期内出现质量问题，供应商须在接到通知后</w:t>
      </w:r>
      <w:r>
        <w:rPr>
          <w:rFonts w:hint="default" w:ascii="Times New Roman" w:hAnsi="Times New Roman" w:eastAsia="仿宋" w:cs="Times New Roman"/>
          <w:sz w:val="24"/>
          <w:szCs w:val="24"/>
        </w:rPr>
        <w:t>2</w:t>
      </w:r>
      <w:r>
        <w:rPr>
          <w:rFonts w:hint="eastAsia" w:ascii="Times New Roman" w:hAnsi="Times New Roman" w:eastAsia="仿宋" w:cs="Times New Roman"/>
          <w:sz w:val="24"/>
          <w:szCs w:val="24"/>
        </w:rPr>
        <w:t>小时内响应，</w:t>
      </w:r>
      <w:r>
        <w:rPr>
          <w:rFonts w:hint="default" w:ascii="Times New Roman" w:hAnsi="Times New Roman" w:eastAsia="仿宋" w:cs="Times New Roman"/>
          <w:sz w:val="24"/>
          <w:szCs w:val="24"/>
        </w:rPr>
        <w:t>24</w:t>
      </w:r>
      <w:r>
        <w:rPr>
          <w:rFonts w:hint="eastAsia" w:ascii="Times New Roman" w:hAnsi="Times New Roman" w:eastAsia="仿宋" w:cs="Times New Roman"/>
          <w:sz w:val="24"/>
          <w:szCs w:val="24"/>
        </w:rPr>
        <w:t>小时内到场维修，并承担相关费用。</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default" w:ascii="Times New Roman" w:hAnsi="Times New Roman" w:eastAsia="仿宋" w:cs="Times New Roman"/>
          <w:sz w:val="24"/>
          <w:szCs w:val="24"/>
        </w:rPr>
        <w:t>3.</w:t>
      </w:r>
      <w:r>
        <w:rPr>
          <w:rFonts w:hint="eastAsia" w:ascii="Times New Roman" w:hAnsi="Times New Roman" w:eastAsia="仿宋" w:cs="Times New Roman"/>
          <w:sz w:val="24"/>
          <w:szCs w:val="24"/>
        </w:rPr>
        <w:t>如</w:t>
      </w:r>
      <w:r>
        <w:rPr>
          <w:rFonts w:hint="eastAsia" w:ascii="Times New Roman" w:hAnsi="Times New Roman" w:eastAsia="仿宋" w:cs="Times New Roman"/>
          <w:sz w:val="24"/>
          <w:szCs w:val="24"/>
          <w:lang w:eastAsia="zh-CN"/>
        </w:rPr>
        <w:t>货物</w:t>
      </w:r>
      <w:r>
        <w:rPr>
          <w:rFonts w:hint="eastAsia" w:ascii="Times New Roman" w:hAnsi="Times New Roman" w:eastAsia="仿宋" w:cs="Times New Roman"/>
          <w:sz w:val="24"/>
          <w:szCs w:val="24"/>
        </w:rPr>
        <w:t>在质保期内因同一故障经供应商两次维修仍不能达到合同约定的技术要求及国家法律法规规定的质量标准，采购人有权要求供应商更换全新</w:t>
      </w:r>
      <w:r>
        <w:rPr>
          <w:rFonts w:hint="eastAsia" w:ascii="Times New Roman" w:hAnsi="Times New Roman" w:eastAsia="仿宋" w:cs="Times New Roman"/>
          <w:sz w:val="24"/>
          <w:szCs w:val="24"/>
          <w:lang w:eastAsia="zh-CN"/>
        </w:rPr>
        <w:t>货物</w:t>
      </w:r>
      <w:r>
        <w:rPr>
          <w:rFonts w:hint="eastAsia" w:ascii="Times New Roman" w:hAnsi="Times New Roman" w:eastAsia="仿宋" w:cs="Times New Roman"/>
          <w:sz w:val="24"/>
          <w:szCs w:val="24"/>
        </w:rPr>
        <w:t>或退货，并追究供应商违约责任。</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default" w:ascii="Times New Roman" w:hAnsi="Times New Roman" w:eastAsia="仿宋" w:cs="Times New Roman"/>
          <w:sz w:val="24"/>
          <w:szCs w:val="24"/>
        </w:rPr>
        <w:t>4.</w:t>
      </w:r>
      <w:r>
        <w:rPr>
          <w:rFonts w:hint="eastAsia" w:ascii="Times New Roman" w:hAnsi="Times New Roman" w:eastAsia="仿宋" w:cs="Times New Roman"/>
          <w:sz w:val="24"/>
          <w:szCs w:val="24"/>
        </w:rPr>
        <w:t>质保期内，</w:t>
      </w:r>
      <w:r>
        <w:rPr>
          <w:rFonts w:hint="eastAsia" w:ascii="Times New Roman" w:hAnsi="Times New Roman" w:eastAsia="仿宋" w:cs="Times New Roman"/>
          <w:sz w:val="24"/>
          <w:szCs w:val="24"/>
          <w:lang w:eastAsia="zh-CN"/>
        </w:rPr>
        <w:t>货物</w:t>
      </w:r>
      <w:r>
        <w:rPr>
          <w:rFonts w:hint="eastAsia" w:ascii="Times New Roman" w:hAnsi="Times New Roman" w:eastAsia="仿宋" w:cs="Times New Roman"/>
          <w:sz w:val="24"/>
          <w:szCs w:val="24"/>
        </w:rPr>
        <w:t>因自身故障导致的停机率不应超过</w:t>
      </w:r>
      <w:r>
        <w:rPr>
          <w:rFonts w:hint="default" w:ascii="Times New Roman" w:hAnsi="Times New Roman" w:eastAsia="仿宋" w:cs="Times New Roman"/>
          <w:sz w:val="24"/>
          <w:szCs w:val="24"/>
        </w:rPr>
        <w:t>5%</w:t>
      </w:r>
      <w:r>
        <w:rPr>
          <w:rFonts w:hint="eastAsia" w:ascii="Times New Roman" w:hAnsi="Times New Roman" w:eastAsia="仿宋" w:cs="Times New Roman"/>
          <w:sz w:val="24"/>
          <w:szCs w:val="24"/>
        </w:rPr>
        <w:t>（一年按</w:t>
      </w:r>
      <w:r>
        <w:rPr>
          <w:rFonts w:hint="default" w:ascii="Times New Roman" w:hAnsi="Times New Roman" w:eastAsia="仿宋" w:cs="Times New Roman"/>
          <w:sz w:val="24"/>
          <w:szCs w:val="24"/>
        </w:rPr>
        <w:t>365</w:t>
      </w:r>
      <w:r>
        <w:rPr>
          <w:rFonts w:hint="eastAsia" w:ascii="Times New Roman" w:hAnsi="Times New Roman" w:eastAsia="仿宋" w:cs="Times New Roman"/>
          <w:sz w:val="24"/>
          <w:szCs w:val="24"/>
        </w:rPr>
        <w:t>天计算），否则供应商应就超出部分（供应商已提供备用机并保障采购人正常使用的时间，不计算为停机时间）按天数向采购人赔偿经济损失。</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default" w:ascii="Times New Roman" w:hAnsi="Times New Roman" w:eastAsia="仿宋" w:cs="Times New Roman"/>
          <w:sz w:val="24"/>
          <w:szCs w:val="24"/>
        </w:rPr>
        <w:t>5.</w:t>
      </w:r>
      <w:r>
        <w:rPr>
          <w:rFonts w:hint="eastAsia" w:ascii="Times New Roman" w:hAnsi="Times New Roman" w:eastAsia="仿宋" w:cs="Times New Roman"/>
          <w:sz w:val="24"/>
          <w:szCs w:val="24"/>
        </w:rPr>
        <w:t>质保期内，如</w:t>
      </w:r>
      <w:r>
        <w:rPr>
          <w:rFonts w:hint="eastAsia" w:ascii="Times New Roman" w:hAnsi="Times New Roman" w:eastAsia="仿宋" w:cs="Times New Roman"/>
          <w:sz w:val="24"/>
          <w:szCs w:val="24"/>
          <w:lang w:eastAsia="zh-CN"/>
        </w:rPr>
        <w:t>货物</w:t>
      </w:r>
      <w:r>
        <w:rPr>
          <w:rFonts w:hint="eastAsia" w:ascii="Times New Roman" w:hAnsi="Times New Roman" w:eastAsia="仿宋" w:cs="Times New Roman"/>
          <w:sz w:val="24"/>
          <w:szCs w:val="24"/>
        </w:rPr>
        <w:t>因维修无法使用，供应商应根据采购人需要向采购人提供备用</w:t>
      </w:r>
      <w:r>
        <w:rPr>
          <w:rFonts w:hint="eastAsia" w:ascii="Times New Roman" w:hAnsi="Times New Roman" w:eastAsia="仿宋" w:cs="Times New Roman"/>
          <w:sz w:val="24"/>
          <w:szCs w:val="24"/>
          <w:lang w:eastAsia="zh-CN"/>
        </w:rPr>
        <w:t>货物</w:t>
      </w:r>
      <w:r>
        <w:rPr>
          <w:rFonts w:hint="eastAsia" w:ascii="Times New Roman" w:hAnsi="Times New Roman" w:eastAsia="仿宋" w:cs="Times New Roman"/>
          <w:sz w:val="24"/>
          <w:szCs w:val="24"/>
        </w:rPr>
        <w:t>。</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rPr>
      </w:pPr>
      <w:r>
        <w:rPr>
          <w:rFonts w:hint="default" w:ascii="Times New Roman" w:hAnsi="Times New Roman" w:eastAsia="仿宋" w:cs="Times New Roman"/>
          <w:sz w:val="24"/>
          <w:szCs w:val="24"/>
        </w:rPr>
        <w:t>6.</w:t>
      </w:r>
      <w:r>
        <w:rPr>
          <w:rFonts w:hint="eastAsia" w:ascii="Times New Roman" w:hAnsi="Times New Roman" w:eastAsia="仿宋" w:cs="Times New Roman"/>
          <w:sz w:val="24"/>
          <w:szCs w:val="24"/>
        </w:rPr>
        <w:t>供应商须指派专人负责与采购人联系售后服务事宜。</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0" w:firstLineChars="0"/>
        <w:textAlignment w:val="auto"/>
        <w:rPr>
          <w:rFonts w:ascii="Times New Roman" w:hAnsi="Times New Roman" w:eastAsia="仿宋" w:cs="Times New Roman"/>
          <w:b/>
          <w:bCs/>
          <w:sz w:val="24"/>
          <w:szCs w:val="24"/>
        </w:rPr>
      </w:pPr>
      <w:r>
        <w:rPr>
          <w:rFonts w:ascii="Segoe UI Symbol" w:hAnsi="Segoe UI Symbol" w:eastAsia="仿宋" w:cs="Segoe UI Symbol"/>
          <w:b/>
          <w:bCs/>
          <w:sz w:val="24"/>
          <w:szCs w:val="22"/>
        </w:rPr>
        <w:t>★</w:t>
      </w:r>
      <w:r>
        <w:rPr>
          <w:rFonts w:hint="eastAsia" w:ascii="Times New Roman" w:hAnsi="Times New Roman" w:eastAsia="仿宋" w:cs="Times New Roman"/>
          <w:b/>
          <w:bCs/>
          <w:sz w:val="24"/>
          <w:szCs w:val="24"/>
          <w:lang w:val="en-US" w:eastAsia="zh-CN"/>
        </w:rPr>
        <w:t>五</w:t>
      </w:r>
      <w:r>
        <w:rPr>
          <w:rFonts w:ascii="Times New Roman" w:hAnsi="Times New Roman" w:eastAsia="仿宋" w:cs="Times New Roman"/>
          <w:b/>
          <w:bCs/>
          <w:sz w:val="24"/>
          <w:szCs w:val="24"/>
        </w:rPr>
        <w:t>、商务要求：</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kern w:val="2"/>
          <w:sz w:val="24"/>
          <w:szCs w:val="24"/>
          <w:lang w:val="en-US" w:eastAsia="zh-CN" w:bidi="ar-SA"/>
        </w:rPr>
        <w:t>1.</w:t>
      </w:r>
      <w:r>
        <w:rPr>
          <w:rFonts w:hint="eastAsia" w:ascii="Times New Roman" w:hAnsi="Times New Roman" w:eastAsia="仿宋" w:cs="Times New Roman"/>
          <w:sz w:val="24"/>
          <w:szCs w:val="24"/>
          <w:lang w:val="en-US" w:eastAsia="zh-CN"/>
        </w:rPr>
        <w:t>交付时间：合同签订后30日内，供应商须将所有货物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kern w:val="2"/>
          <w:sz w:val="24"/>
          <w:szCs w:val="24"/>
          <w:lang w:val="en-US" w:eastAsia="zh-CN" w:bidi="ar-SA"/>
        </w:rPr>
        <w:t>2.</w:t>
      </w:r>
      <w:r>
        <w:rPr>
          <w:rFonts w:hint="eastAsia" w:ascii="Times New Roman" w:hAnsi="Times New Roman" w:eastAsia="仿宋" w:cs="Times New Roman"/>
          <w:sz w:val="24"/>
          <w:szCs w:val="24"/>
          <w:lang w:val="en-US" w:eastAsia="zh-CN"/>
        </w:rPr>
        <w:t>交付地点：四川省人民医院（包括所有院区）</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kern w:val="2"/>
          <w:sz w:val="24"/>
          <w:szCs w:val="24"/>
          <w:lang w:val="en-US" w:eastAsia="zh-CN" w:bidi="ar-SA"/>
        </w:rPr>
        <w:t>3.</w:t>
      </w:r>
      <w:r>
        <w:rPr>
          <w:rFonts w:hint="eastAsia" w:ascii="Times New Roman" w:hAnsi="Times New Roman" w:eastAsia="仿宋" w:cs="Times New Roman"/>
          <w:sz w:val="24"/>
          <w:szCs w:val="24"/>
          <w:lang w:val="en-US" w:eastAsia="zh-CN"/>
        </w:rPr>
        <w:t>质保期：验收合格后不低于3年，响应的质保期不得超过响应产品的官方技术文件中写明的最长使用寿命（不包括易损附件的使用寿命），否则，视为虚假响应，供应商须承担相应后果。</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kern w:val="2"/>
          <w:sz w:val="24"/>
          <w:szCs w:val="24"/>
          <w:lang w:val="en-US" w:eastAsia="zh-CN" w:bidi="ar-SA"/>
        </w:rPr>
        <w:t>4.</w:t>
      </w:r>
      <w:r>
        <w:rPr>
          <w:rFonts w:hint="eastAsia" w:ascii="Times New Roman" w:hAnsi="Times New Roman" w:eastAsia="仿宋" w:cs="Times New Roman"/>
          <w:sz w:val="24"/>
          <w:szCs w:val="24"/>
          <w:lang w:val="en-US" w:eastAsia="zh-CN"/>
        </w:rPr>
        <w:t>质保范围：含所有部件（质保期内涉及维修、产品更换、人工费用等一切费用包含在本项目报价中）。</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kern w:val="2"/>
          <w:sz w:val="24"/>
          <w:szCs w:val="24"/>
          <w:lang w:val="en-US" w:eastAsia="zh-CN" w:bidi="ar-SA"/>
        </w:rPr>
        <w:t>5.</w:t>
      </w:r>
      <w:r>
        <w:rPr>
          <w:rFonts w:hint="eastAsia" w:ascii="Times New Roman" w:hAnsi="Times New Roman" w:eastAsia="仿宋" w:cs="Times New Roman"/>
          <w:sz w:val="24"/>
          <w:szCs w:val="24"/>
          <w:lang w:val="en-US" w:eastAsia="zh-CN"/>
        </w:rPr>
        <w:t>付款条件：验收合格后，供应商须在5日内向采购人出具合法有效票据及其它相关请款资料，采购人自收到上述票据及资料后55日内向供应商支付合同总金额的100%。</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default" w:ascii="Times New Roman" w:hAnsi="Times New Roman" w:eastAsia="仿宋" w:cs="Times New Roman"/>
          <w:kern w:val="2"/>
          <w:sz w:val="24"/>
          <w:szCs w:val="24"/>
          <w:lang w:val="en-US" w:eastAsia="zh-CN" w:bidi="ar-SA"/>
        </w:rPr>
        <w:t>6.</w:t>
      </w:r>
      <w:r>
        <w:rPr>
          <w:rFonts w:hint="eastAsia" w:ascii="Times New Roman" w:hAnsi="Times New Roman" w:eastAsia="仿宋" w:cs="Times New Roman"/>
          <w:sz w:val="24"/>
          <w:szCs w:val="24"/>
          <w:lang w:val="en-US" w:eastAsia="zh-CN"/>
        </w:rPr>
        <w:t>履约验收方案：</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val="en-US" w:eastAsia="zh-CN"/>
        </w:rPr>
        <w:t>验收主体：采购人。</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验收组织方式：自行验收。</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(3)</w:t>
      </w:r>
      <w:r>
        <w:rPr>
          <w:rFonts w:hint="eastAsia" w:ascii="仿宋" w:hAnsi="仿宋" w:eastAsia="仿宋" w:cs="仿宋"/>
          <w:sz w:val="24"/>
          <w:szCs w:val="24"/>
          <w:highlight w:val="none"/>
          <w:lang w:val="en-US" w:eastAsia="zh-CN"/>
        </w:rPr>
        <w:t>验收程序：一次性验收。</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(4)</w:t>
      </w:r>
      <w:r>
        <w:rPr>
          <w:rFonts w:hint="eastAsia" w:ascii="仿宋" w:hAnsi="仿宋" w:eastAsia="仿宋" w:cs="仿宋"/>
          <w:sz w:val="24"/>
          <w:szCs w:val="24"/>
          <w:highlight w:val="none"/>
          <w:lang w:val="en-US" w:eastAsia="zh-CN"/>
        </w:rPr>
        <w:t>验收方式：现场整体验收。</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val="en-US" w:eastAsia="zh-CN"/>
        </w:rPr>
        <w:t>履约验收内容：按照基于本项目采购需求编制的采购文件要求及供应商响应文件情况，由供应商向采购人交付的全部内容。</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(6)履约验收时间：供应商完成本项目涉及的所有货物的安装、调试并具备验收条件后，于5日内通知采购人验收，采购人接供应商通知后10日内组织验收。</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(7)</w:t>
      </w:r>
      <w:r>
        <w:rPr>
          <w:rFonts w:hint="eastAsia" w:ascii="仿宋" w:hAnsi="仿宋" w:eastAsia="仿宋" w:cs="仿宋"/>
          <w:sz w:val="24"/>
          <w:szCs w:val="24"/>
          <w:highlight w:val="none"/>
          <w:lang w:val="en-US" w:eastAsia="zh-CN"/>
        </w:rPr>
        <w:t>是否邀请本项目的其他供应商：否。</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(8)</w:t>
      </w:r>
      <w:r>
        <w:rPr>
          <w:rFonts w:hint="eastAsia" w:ascii="仿宋" w:hAnsi="仿宋" w:eastAsia="仿宋" w:cs="仿宋"/>
          <w:sz w:val="24"/>
          <w:szCs w:val="24"/>
          <w:highlight w:val="none"/>
          <w:lang w:val="en-US" w:eastAsia="zh-CN"/>
        </w:rPr>
        <w:t>是否邀请专家：否。</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(9)</w:t>
      </w:r>
      <w:r>
        <w:rPr>
          <w:rFonts w:hint="eastAsia" w:ascii="仿宋" w:hAnsi="仿宋" w:eastAsia="仿宋" w:cs="仿宋"/>
          <w:sz w:val="24"/>
          <w:szCs w:val="24"/>
          <w:highlight w:val="none"/>
          <w:lang w:val="en-US" w:eastAsia="zh-CN"/>
        </w:rPr>
        <w:t>是否邀请服务对象：否。</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是否邀请第三方检测机构：否。</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(11)</w:t>
      </w:r>
      <w:r>
        <w:rPr>
          <w:rFonts w:hint="eastAsia" w:ascii="仿宋" w:hAnsi="仿宋" w:eastAsia="仿宋" w:cs="仿宋"/>
          <w:sz w:val="24"/>
          <w:szCs w:val="24"/>
          <w:highlight w:val="none"/>
          <w:lang w:val="en-US" w:eastAsia="zh-CN"/>
        </w:rPr>
        <w:t>验收标准：</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6）其它标准：无。</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default" w:ascii="Times New Roman" w:hAnsi="Times New Roman" w:eastAsia="仿宋" w:cs="Times New Roman"/>
          <w:sz w:val="24"/>
          <w:szCs w:val="24"/>
          <w:lang w:val="en-US" w:eastAsia="zh-CN"/>
        </w:rPr>
      </w:pPr>
      <w:r>
        <w:rPr>
          <w:rFonts w:hint="eastAsia" w:ascii="仿宋" w:hAnsi="仿宋" w:eastAsia="仿宋" w:cs="仿宋"/>
          <w:sz w:val="24"/>
          <w:szCs w:val="24"/>
          <w:highlight w:val="none"/>
          <w:lang w:val="en-US" w:eastAsia="zh-CN"/>
        </w:rPr>
        <w:t>(12)履约验收其它事项：无。</w:t>
      </w:r>
    </w:p>
    <w:p>
      <w:pPr>
        <w:pStyle w:val="9"/>
        <w:ind w:firstLine="0"/>
        <w:rPr>
          <w:rFonts w:hint="default" w:ascii="Times New Roman" w:hAnsi="Times New Roman" w:eastAsia="仿宋" w:cs="Times New Roman"/>
          <w:sz w:val="24"/>
          <w:szCs w:val="24"/>
          <w:lang w:val="en-US" w:eastAsia="zh-CN"/>
        </w:rPr>
      </w:pPr>
      <w:r>
        <w:rPr>
          <w:rFonts w:hint="eastAsia" w:ascii="Times New Roman" w:hAnsi="Times New Roman" w:eastAsia="仿宋" w:cs="Times New Roman"/>
          <w:b/>
          <w:bCs/>
          <w:sz w:val="24"/>
          <w:szCs w:val="24"/>
          <w:lang w:val="en-US" w:eastAsia="zh-CN"/>
        </w:rPr>
        <w:t>六、其他要求</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★1.供应商须在投标文件中单独提供配置清单（不同产品分别提供，格式详见投标文件格式），采购人将以此为依据进行验收。 技术参数中采购人的实质性配置要求包含的内容须在分项报价明细表中分别报价，除此之外，若涉及货物正常运行所需的其他配置内容，供应商应在配置清单中分别列明其涉及的产品名称、型号（若有）、数量即可，并根据响应产品的实际情况确定是否单独报价。 </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★2.供应商提供的产品的生产日期与到货日期时间间隔不超过3个月，</w:t>
      </w:r>
      <w:r>
        <w:rPr>
          <w:rFonts w:hint="eastAsia" w:ascii="仿宋" w:hAnsi="仿宋" w:eastAsia="仿宋" w:cs="仿宋"/>
          <w:b/>
          <w:bCs/>
          <w:sz w:val="24"/>
          <w:szCs w:val="24"/>
          <w:highlight w:val="none"/>
          <w:lang w:val="en-US" w:eastAsia="zh-CN"/>
        </w:rPr>
        <w:t>供应商提供承诺函，格式自拟。</w:t>
      </w:r>
    </w:p>
    <w:p>
      <w:pPr>
        <w:pStyle w:val="9"/>
        <w:keepNext w:val="0"/>
        <w:keepLines w:val="0"/>
        <w:pageBreakBefore w:val="0"/>
        <w:widowControl w:val="0"/>
        <w:numPr>
          <w:ilvl w:val="0"/>
          <w:numId w:val="11"/>
        </w:numPr>
        <w:kinsoku/>
        <w:wordWrap/>
        <w:overflowPunct/>
        <w:topLinePunct w:val="0"/>
        <w:autoSpaceDE/>
        <w:autoSpaceDN/>
        <w:bidi w:val="0"/>
        <w:adjustRightInd/>
        <w:snapToGrid w:val="0"/>
        <w:spacing w:before="0" w:after="0"/>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供应商针对本项目制定的项目实施方案进行评审，项目实施方案内容 包含：①货源组织，供货、运输及安装调试方案；②质量保障措施；③进度保障措施；④应急保障措施。</w:t>
      </w:r>
    </w:p>
    <w:p>
      <w:pPr>
        <w:pStyle w:val="9"/>
        <w:keepNext w:val="0"/>
        <w:keepLines w:val="0"/>
        <w:pageBreakBefore w:val="0"/>
        <w:widowControl w:val="0"/>
        <w:numPr>
          <w:ilvl w:val="0"/>
          <w:numId w:val="11"/>
        </w:numPr>
        <w:kinsoku/>
        <w:wordWrap/>
        <w:overflowPunct/>
        <w:topLinePunct w:val="0"/>
        <w:autoSpaceDE/>
        <w:autoSpaceDN/>
        <w:bidi w:val="0"/>
        <w:adjustRightInd/>
        <w:snapToGrid w:val="0"/>
        <w:spacing w:before="0" w:after="0"/>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供应商需针对本项目售后服务方案应包含：①售后服务站点②售后服务人员配置③售后服务承诺④质保维护等</w:t>
      </w:r>
    </w:p>
    <w:p>
      <w:pPr>
        <w:pStyle w:val="9"/>
        <w:keepNext w:val="0"/>
        <w:keepLines w:val="0"/>
        <w:pageBreakBefore w:val="0"/>
        <w:widowControl w:val="0"/>
        <w:numPr>
          <w:ilvl w:val="0"/>
          <w:numId w:val="11"/>
        </w:numPr>
        <w:kinsoku/>
        <w:wordWrap/>
        <w:overflowPunct/>
        <w:topLinePunct w:val="0"/>
        <w:autoSpaceDE/>
        <w:autoSpaceDN/>
        <w:bidi w:val="0"/>
        <w:adjustRightInd/>
        <w:snapToGrid w:val="0"/>
        <w:spacing w:before="0" w:after="0"/>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供应商提供自 2023年1月1日至投标截止日类似产品销售业绩</w:t>
      </w:r>
      <w:r>
        <w:rPr>
          <w:rFonts w:hint="eastAsia" w:ascii="仿宋" w:hAnsi="仿宋" w:eastAsia="仿宋" w:cs="仿宋"/>
          <w:sz w:val="24"/>
          <w:szCs w:val="24"/>
          <w:highlight w:val="none"/>
          <w:lang w:val="en-US" w:eastAsia="zh-CN"/>
        </w:rPr>
        <w:t>。</w:t>
      </w:r>
    </w:p>
    <w:p>
      <w:pPr>
        <w:pStyle w:val="9"/>
        <w:ind w:firstLine="0"/>
        <w:rPr>
          <w:rFonts w:ascii="Times New Roman" w:hAnsi="Times New Roman" w:eastAsia="仿宋" w:cs="Times New Roman"/>
          <w:sz w:val="24"/>
          <w:szCs w:val="24"/>
        </w:rPr>
      </w:pPr>
    </w:p>
    <w:p>
      <w:pPr>
        <w:pStyle w:val="9"/>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pPr>
        <w:rPr>
          <w:lang w:val="zh-CN"/>
        </w:rPr>
      </w:pPr>
    </w:p>
    <w:tbl>
      <w:tblPr>
        <w:tblStyle w:val="20"/>
        <w:tblW w:w="47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861"/>
        <w:gridCol w:w="637"/>
        <w:gridCol w:w="78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2" w:type="pct"/>
            <w:noWrap w:val="0"/>
            <w:vAlign w:val="center"/>
          </w:tcPr>
          <w:p>
            <w:pPr>
              <w:jc w:val="left"/>
              <w:rPr>
                <w:rFonts w:hint="eastAsia" w:ascii="仿宋" w:hAnsi="仿宋" w:eastAsia="仿宋" w:cs="仿宋"/>
                <w:color w:val="auto"/>
                <w:sz w:val="21"/>
                <w:szCs w:val="21"/>
                <w:highlight w:val="none"/>
                <w:vertAlign w:val="baseline"/>
                <w:lang w:val="en-US" w:eastAsia="zh-CN"/>
              </w:rPr>
            </w:pPr>
            <w:r>
              <w:rPr>
                <w:rFonts w:ascii="Times New Roman" w:hAnsi="Times New Roman" w:cs="Times New Roman"/>
                <w:szCs w:val="21"/>
              </w:rPr>
              <w:br w:type="page"/>
            </w:r>
            <w:r>
              <w:rPr>
                <w:rFonts w:hint="eastAsia" w:ascii="仿宋" w:hAnsi="仿宋" w:eastAsia="仿宋" w:cs="仿宋"/>
                <w:color w:val="auto"/>
                <w:sz w:val="21"/>
                <w:szCs w:val="21"/>
                <w:highlight w:val="none"/>
                <w:vertAlign w:val="baseline"/>
                <w:lang w:val="en-US" w:eastAsia="zh-CN"/>
              </w:rPr>
              <w:t>序号</w:t>
            </w:r>
          </w:p>
        </w:tc>
        <w:tc>
          <w:tcPr>
            <w:tcW w:w="437" w:type="pct"/>
            <w:noWrap w:val="0"/>
            <w:vAlign w:val="center"/>
          </w:tcPr>
          <w:p>
            <w:pPr>
              <w:wordWrap w:val="0"/>
              <w:ind w:firstLine="28" w:firstLineChars="0"/>
              <w:jc w:val="center"/>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rPr>
              <w:t>评分因素</w:t>
            </w:r>
          </w:p>
        </w:tc>
        <w:tc>
          <w:tcPr>
            <w:tcW w:w="323" w:type="pct"/>
            <w:noWrap w:val="0"/>
            <w:vAlign w:val="center"/>
          </w:tcPr>
          <w:p>
            <w:pPr>
              <w:wordWrap w:val="0"/>
              <w:ind w:firstLine="28" w:firstLineChars="0"/>
              <w:jc w:val="center"/>
              <w:rPr>
                <w:rFonts w:hint="eastAsia" w:ascii="仿宋" w:hAnsi="仿宋" w:eastAsia="仿宋" w:cs="仿宋"/>
                <w:color w:val="auto"/>
                <w:sz w:val="21"/>
                <w:szCs w:val="21"/>
                <w:highlight w:val="none"/>
                <w:vertAlign w:val="baseline"/>
                <w:lang w:eastAsia="zh-CN"/>
              </w:rPr>
            </w:pPr>
            <w:r>
              <w:rPr>
                <w:rFonts w:hint="eastAsia" w:ascii="仿宋" w:hAnsi="仿宋" w:eastAsia="仿宋" w:cs="仿宋"/>
                <w:color w:val="auto"/>
                <w:sz w:val="21"/>
                <w:szCs w:val="21"/>
                <w:highlight w:val="none"/>
                <w:lang w:val="en-US" w:eastAsia="zh-CN"/>
              </w:rPr>
              <w:t>分值</w:t>
            </w:r>
          </w:p>
        </w:tc>
        <w:tc>
          <w:tcPr>
            <w:tcW w:w="3976" w:type="pct"/>
            <w:noWrap w:val="0"/>
            <w:vAlign w:val="center"/>
          </w:tcPr>
          <w:p>
            <w:pPr>
              <w:jc w:val="center"/>
              <w:rPr>
                <w:rFonts w:hint="eastAsia" w:ascii="仿宋" w:hAnsi="仿宋" w:eastAsia="仿宋" w:cs="仿宋"/>
                <w:color w:val="auto"/>
                <w:sz w:val="21"/>
                <w:szCs w:val="21"/>
                <w:highlight w:val="none"/>
                <w:vertAlign w:val="baseline"/>
              </w:rPr>
            </w:pPr>
            <w:r>
              <w:rPr>
                <w:rFonts w:hint="eastAsia" w:ascii="仿宋" w:hAnsi="仿宋" w:eastAsia="仿宋" w:cs="仿宋"/>
                <w:i w:val="0"/>
                <w:iCs w:val="0"/>
                <w:caps w:val="0"/>
                <w:spacing w:val="0"/>
                <w:sz w:val="21"/>
                <w:szCs w:val="21"/>
                <w:shd w:val="clear" w:color="auto" w:fill="FFFFFF"/>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2" w:type="pct"/>
            <w:noWrap w:val="0"/>
            <w:vAlign w:val="center"/>
          </w:tcPr>
          <w:p>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w:t>
            </w:r>
          </w:p>
        </w:tc>
        <w:tc>
          <w:tcPr>
            <w:tcW w:w="437"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1"/>
                <w:szCs w:val="21"/>
                <w:shd w:val="clear" w:color="auto" w:fill="FFFFFF"/>
                <w:lang w:val="en-US" w:eastAsia="zh-CN"/>
              </w:rPr>
            </w:pPr>
            <w:r>
              <w:rPr>
                <w:rFonts w:hint="eastAsia" w:ascii="仿宋" w:hAnsi="仿宋" w:eastAsia="仿宋" w:cs="仿宋"/>
                <w:color w:val="auto"/>
                <w:sz w:val="21"/>
                <w:szCs w:val="21"/>
                <w:highlight w:val="none"/>
                <w:lang w:val="en-US" w:eastAsia="zh-CN"/>
              </w:rPr>
              <w:t>报价</w:t>
            </w:r>
          </w:p>
        </w:tc>
        <w:tc>
          <w:tcPr>
            <w:tcW w:w="323"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default" w:ascii="仿宋" w:hAnsi="仿宋" w:eastAsia="仿宋" w:cs="仿宋"/>
                <w:i w:val="0"/>
                <w:iCs w:val="0"/>
                <w:caps w:val="0"/>
                <w:spacing w:val="0"/>
                <w:sz w:val="21"/>
                <w:szCs w:val="21"/>
                <w:shd w:val="clear" w:color="auto" w:fill="FFFFFF"/>
                <w:lang w:val="en-US" w:eastAsia="zh-CN"/>
              </w:rPr>
            </w:pPr>
            <w:r>
              <w:rPr>
                <w:rFonts w:hint="eastAsia" w:ascii="仿宋" w:hAnsi="仿宋" w:eastAsia="仿宋" w:cs="仿宋"/>
                <w:color w:val="auto"/>
                <w:sz w:val="21"/>
                <w:szCs w:val="21"/>
                <w:highlight w:val="none"/>
                <w:lang w:val="en-US" w:eastAsia="zh-CN"/>
              </w:rPr>
              <w:t>30</w:t>
            </w:r>
          </w:p>
        </w:tc>
        <w:tc>
          <w:tcPr>
            <w:tcW w:w="3976" w:type="pct"/>
            <w:noWrap w:val="0"/>
            <w:vAlign w:val="center"/>
          </w:tcPr>
          <w:p>
            <w:pPr>
              <w:keepNext w:val="0"/>
              <w:keepLines w:val="0"/>
              <w:pageBreakBefore w:val="0"/>
              <w:widowControl/>
              <w:numPr>
                <w:ilvl w:val="-1"/>
                <w:numId w:val="0"/>
              </w:numPr>
              <w:kinsoku/>
              <w:wordWrap/>
              <w:overflowPunct/>
              <w:topLinePunct w:val="0"/>
              <w:autoSpaceDE/>
              <w:autoSpaceDN/>
              <w:bidi w:val="0"/>
              <w:adjustRightInd/>
              <w:spacing w:line="240" w:lineRule="auto"/>
              <w:jc w:val="left"/>
              <w:textAlignment w:val="auto"/>
              <w:outlineLvl w:val="1"/>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满足谈判文件要求且响应价格最低的响应报价为评审基准价，其价格分为满分，响应报价得分=(评审基准价／响应报价)×30。</w:t>
            </w:r>
          </w:p>
          <w:p>
            <w:pPr>
              <w:keepNext w:val="0"/>
              <w:keepLines w:val="0"/>
              <w:pageBreakBefore w:val="0"/>
              <w:widowControl/>
              <w:numPr>
                <w:ilvl w:val="-1"/>
                <w:numId w:val="0"/>
              </w:numPr>
              <w:kinsoku/>
              <w:wordWrap/>
              <w:overflowPunct/>
              <w:topLinePunct w:val="0"/>
              <w:autoSpaceDE/>
              <w:autoSpaceDN/>
              <w:bidi w:val="0"/>
              <w:adjustRightInd/>
              <w:spacing w:line="240" w:lineRule="auto"/>
              <w:ind w:left="0" w:leftChars="0" w:firstLine="0" w:firstLineChars="0"/>
              <w:jc w:val="left"/>
              <w:textAlignment w:val="auto"/>
              <w:outlineLvl w:val="1"/>
              <w:rPr>
                <w:rFonts w:hint="eastAsia" w:ascii="仿宋" w:hAnsi="仿宋" w:eastAsia="仿宋" w:cs="仿宋"/>
                <w:i w:val="0"/>
                <w:iCs w:val="0"/>
                <w:caps w:val="0"/>
                <w:spacing w:val="0"/>
                <w:sz w:val="21"/>
                <w:szCs w:val="21"/>
                <w:shd w:val="clear" w:color="auto" w:fill="FFFFFF"/>
              </w:rPr>
            </w:pPr>
            <w:r>
              <w:rPr>
                <w:rFonts w:hint="eastAsia" w:ascii="仿宋" w:hAnsi="仿宋" w:eastAsia="仿宋" w:cs="仿宋"/>
                <w:b w:val="0"/>
                <w:bCs/>
                <w:sz w:val="21"/>
                <w:szCs w:val="21"/>
                <w:highlight w:val="none"/>
                <w:lang w:val="en-US" w:eastAsia="zh-CN"/>
              </w:rPr>
              <w:t>注：得分保留小数点后两位小数，四舍五入。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2" w:hRule="atLeast"/>
          <w:jc w:val="center"/>
        </w:trPr>
        <w:tc>
          <w:tcPr>
            <w:tcW w:w="262" w:type="pct"/>
            <w:noWrap w:val="0"/>
            <w:vAlign w:val="center"/>
          </w:tcPr>
          <w:p>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w:t>
            </w:r>
          </w:p>
        </w:tc>
        <w:tc>
          <w:tcPr>
            <w:tcW w:w="437"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技术参数</w:t>
            </w:r>
          </w:p>
        </w:tc>
        <w:tc>
          <w:tcPr>
            <w:tcW w:w="323" w:type="pct"/>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53</w:t>
            </w:r>
          </w:p>
        </w:tc>
        <w:tc>
          <w:tcPr>
            <w:tcW w:w="3976" w:type="pct"/>
            <w:shd w:val="clear" w:color="auto" w:fill="auto"/>
            <w:noWrap w:val="0"/>
            <w:vAlign w:val="top"/>
          </w:tcPr>
          <w:p>
            <w:pPr>
              <w:pStyle w:val="7"/>
              <w:rPr>
                <w:rFonts w:hint="eastAsia" w:ascii="仿宋" w:hAnsi="仿宋" w:eastAsia="仿宋" w:cs="仿宋"/>
                <w:color w:val="auto"/>
                <w:sz w:val="21"/>
                <w:szCs w:val="21"/>
                <w:highlight w:val="none"/>
                <w:lang w:val="en-US" w:eastAsia="zh-CN"/>
              </w:rPr>
            </w:pPr>
            <w:r>
              <w:rPr>
                <w:rFonts w:hint="eastAsia" w:ascii="仿宋" w:hAnsi="仿宋" w:eastAsia="仿宋" w:cs="仿宋"/>
                <w:bCs/>
                <w:sz w:val="21"/>
                <w:szCs w:val="21"/>
                <w:highlight w:val="none"/>
                <w:lang w:val="en-US" w:eastAsia="zh-CN"/>
              </w:rPr>
              <w:t>完全满足谈判文件技术参数要求得53分。其中“★”为实质性条款，不满足则为无效投标；“▲”条款为重要参数（共18项）完全满足得34.2分，带“▲”项每一项有负偏离的扣1.9分；未标识符号的参数为一般参数（共94项）完全满足得18.8分，每一项有负偏离的扣0.2分，扣完为止。 注：</w:t>
            </w:r>
            <w:r>
              <w:rPr>
                <w:rFonts w:hint="eastAsia" w:ascii="仿宋" w:hAnsi="仿宋" w:eastAsia="仿宋" w:cs="仿宋"/>
                <w:bCs/>
                <w:szCs w:val="21"/>
                <w:highlight w:val="none"/>
              </w:rPr>
              <w:t>1得分保留小数点后两位小数，四舍五入。2标注“</w:t>
            </w:r>
            <w:r>
              <w:rPr>
                <w:rFonts w:hint="eastAsia" w:ascii="仿宋" w:hAnsi="仿宋" w:eastAsia="仿宋" w:cs="仿宋"/>
                <w:bCs/>
                <w:sz w:val="21"/>
                <w:szCs w:val="21"/>
                <w:highlight w:val="none"/>
                <w:lang w:val="en-US" w:eastAsia="zh-CN"/>
              </w:rPr>
              <w:t>★</w:t>
            </w:r>
            <w:r>
              <w:rPr>
                <w:rFonts w:hint="eastAsia" w:ascii="仿宋" w:hAnsi="仿宋" w:eastAsia="仿宋" w:cs="仿宋"/>
                <w:bCs/>
                <w:szCs w:val="21"/>
                <w:highlight w:val="none"/>
              </w:rPr>
              <w:t>"的条款为本项目实质性要求，不作为本项评审。3本招标文件以一级序号数字(如"1.""2.""3."...)为一条(标题除外);数字序号下有多级序号的以最小级数字序号为一条。若每一项技术指标项均有负偏离，此处分值应扣完，得0分。其中</w:t>
            </w:r>
            <w:r>
              <w:rPr>
                <w:rFonts w:hint="eastAsia" w:ascii="仿宋" w:hAnsi="仿宋" w:eastAsia="仿宋" w:cs="仿宋"/>
                <w:bCs/>
                <w:sz w:val="21"/>
                <w:szCs w:val="21"/>
                <w:highlight w:val="none"/>
                <w:lang w:val="en-US" w:eastAsia="zh-CN"/>
              </w:rPr>
              <w:t>▲</w:t>
            </w:r>
            <w:r>
              <w:rPr>
                <w:rFonts w:hint="eastAsia" w:ascii="仿宋" w:hAnsi="仿宋" w:eastAsia="仿宋" w:cs="仿宋"/>
                <w:bCs/>
                <w:szCs w:val="21"/>
                <w:highlight w:val="none"/>
              </w:rPr>
              <w:t>号条款，若技术参数中要求了证明材料的按技术参数中的要求提供，若</w:t>
            </w:r>
            <w:r>
              <w:rPr>
                <w:rFonts w:hint="eastAsia" w:ascii="仿宋" w:hAnsi="仿宋" w:eastAsia="仿宋" w:cs="仿宋"/>
                <w:bCs/>
                <w:sz w:val="21"/>
                <w:szCs w:val="21"/>
                <w:highlight w:val="none"/>
                <w:lang w:val="en-US" w:eastAsia="zh-CN"/>
              </w:rPr>
              <w:t>▲</w:t>
            </w:r>
            <w:r>
              <w:rPr>
                <w:rFonts w:hint="eastAsia" w:ascii="仿宋" w:hAnsi="仿宋" w:eastAsia="仿宋" w:cs="仿宋"/>
                <w:bCs/>
                <w:szCs w:val="21"/>
                <w:highlight w:val="none"/>
              </w:rPr>
              <w:t>号条款技术参数中未要求佐证材料的，</w:t>
            </w:r>
            <w:r>
              <w:rPr>
                <w:rFonts w:hint="eastAsia" w:ascii="仿宋" w:hAnsi="仿宋" w:eastAsia="仿宋" w:cs="仿宋"/>
                <w:bCs/>
                <w:szCs w:val="21"/>
                <w:highlight w:val="none"/>
                <w:lang w:val="en-US" w:eastAsia="zh-CN"/>
              </w:rPr>
              <w:t>供应商</w:t>
            </w:r>
            <w:r>
              <w:rPr>
                <w:rFonts w:hint="eastAsia" w:ascii="仿宋" w:hAnsi="仿宋" w:eastAsia="仿宋" w:cs="仿宋"/>
                <w:bCs/>
                <w:szCs w:val="21"/>
                <w:highlight w:val="none"/>
              </w:rPr>
              <w:t>需提供产品说明书、产品彩页、产品检测报告技术文件作为佐证(至少包含其中之一)并加盖</w:t>
            </w:r>
            <w:r>
              <w:rPr>
                <w:rFonts w:hint="eastAsia" w:ascii="仿宋" w:hAnsi="仿宋" w:eastAsia="仿宋" w:cs="仿宋"/>
                <w:bCs/>
                <w:szCs w:val="21"/>
                <w:highlight w:val="none"/>
                <w:lang w:val="en-US" w:eastAsia="zh-CN"/>
              </w:rPr>
              <w:t>供应商</w:t>
            </w:r>
            <w:r>
              <w:rPr>
                <w:rFonts w:hint="eastAsia" w:ascii="仿宋" w:hAnsi="仿宋" w:eastAsia="仿宋" w:cs="仿宋"/>
                <w:bCs/>
                <w:szCs w:val="21"/>
                <w:highlight w:val="none"/>
              </w:rPr>
              <w:t>公章，</w:t>
            </w:r>
            <w:r>
              <w:rPr>
                <w:rFonts w:hint="eastAsia" w:ascii="仿宋" w:hAnsi="仿宋" w:eastAsia="仿宋" w:cs="仿宋"/>
                <w:bCs/>
                <w:sz w:val="21"/>
                <w:szCs w:val="21"/>
                <w:highlight w:val="none"/>
                <w:lang w:val="en-US" w:eastAsia="zh-CN"/>
              </w:rPr>
              <w:t>▲</w:t>
            </w:r>
            <w:r>
              <w:rPr>
                <w:rFonts w:hint="eastAsia" w:ascii="仿宋" w:hAnsi="仿宋" w:eastAsia="仿宋" w:cs="仿宋"/>
                <w:bCs/>
                <w:szCs w:val="21"/>
                <w:highlight w:val="none"/>
              </w:rPr>
              <w:t>号条款技术参数在技术文件中未对应出现佐证或在不同技术文件中存在自相矛盾之处或未提供的不得分。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2" w:type="pct"/>
            <w:noWrap w:val="0"/>
            <w:vAlign w:val="center"/>
          </w:tcPr>
          <w:p>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3</w:t>
            </w:r>
          </w:p>
        </w:tc>
        <w:tc>
          <w:tcPr>
            <w:tcW w:w="437"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项目实施方案</w:t>
            </w:r>
          </w:p>
        </w:tc>
        <w:tc>
          <w:tcPr>
            <w:tcW w:w="323" w:type="pct"/>
            <w:shd w:val="clear" w:color="auto" w:fill="auto"/>
            <w:noWrap w:val="0"/>
            <w:vAlign w:val="center"/>
          </w:tcPr>
          <w:p>
            <w:pPr>
              <w:pStyle w:val="16"/>
              <w:widowControl/>
              <w:spacing w:line="360" w:lineRule="auto"/>
              <w:ind w:firstLine="0" w:firstLineChars="0"/>
              <w:jc w:val="center"/>
              <w:rPr>
                <w:rFonts w:hint="default" w:ascii="仿宋" w:hAnsi="仿宋" w:eastAsia="仿宋" w:cs="仿宋"/>
                <w:b w:val="0"/>
                <w:bCs/>
                <w:kern w:val="2"/>
                <w:sz w:val="21"/>
                <w:szCs w:val="21"/>
                <w:highlight w:val="none"/>
                <w:lang w:val="en-US" w:eastAsia="zh-CN" w:bidi="ar-SA"/>
              </w:rPr>
            </w:pPr>
            <w:r>
              <w:rPr>
                <w:rFonts w:hint="eastAsia" w:ascii="仿宋" w:hAnsi="仿宋" w:eastAsia="仿宋" w:cs="仿宋"/>
                <w:b w:val="0"/>
                <w:bCs/>
                <w:kern w:val="2"/>
                <w:sz w:val="21"/>
                <w:szCs w:val="21"/>
                <w:highlight w:val="none"/>
                <w:lang w:val="en-US" w:eastAsia="zh-CN" w:bidi="ar-SA"/>
              </w:rPr>
              <w:t>4</w:t>
            </w:r>
          </w:p>
        </w:tc>
        <w:tc>
          <w:tcPr>
            <w:tcW w:w="3976" w:type="pct"/>
            <w:shd w:val="clear" w:color="auto" w:fill="auto"/>
            <w:noWrap w:val="0"/>
            <w:vAlign w:val="center"/>
          </w:tcPr>
          <w:p>
            <w:pPr>
              <w:widowControl/>
              <w:numPr>
                <w:ilvl w:val="0"/>
                <w:numId w:val="0"/>
              </w:numPr>
              <w:jc w:val="left"/>
              <w:outlineLvl w:val="9"/>
              <w:rPr>
                <w:rFonts w:hint="eastAsia" w:ascii="仿宋" w:hAnsi="仿宋" w:eastAsia="仿宋" w:cs="仿宋"/>
                <w:b w:val="0"/>
                <w:bCs/>
                <w:sz w:val="21"/>
                <w:szCs w:val="21"/>
                <w:highlight w:val="none"/>
                <w:lang w:val="en-US" w:eastAsia="zh-CN"/>
              </w:rPr>
            </w:pPr>
            <w:r>
              <w:rPr>
                <w:rFonts w:hint="eastAsia" w:ascii="仿宋" w:hAnsi="仿宋" w:eastAsia="仿宋" w:cs="仿宋"/>
                <w:bCs/>
                <w:sz w:val="21"/>
                <w:szCs w:val="21"/>
                <w:highlight w:val="none"/>
              </w:rPr>
              <w:t>根据供应商针对本项目制定的项目实施方案进行评审，项目实施方案内容包含：①货源组织，供货、运输及安装调试方案；②质量保障措施；③进度保障措施；④应急保障措施。项目实施方案完全满足以上全部内容的，得</w:t>
            </w:r>
            <w:r>
              <w:rPr>
                <w:rFonts w:hint="eastAsia" w:ascii="仿宋" w:hAnsi="仿宋" w:eastAsia="仿宋" w:cs="仿宋"/>
                <w:bCs/>
                <w:sz w:val="21"/>
                <w:szCs w:val="21"/>
                <w:highlight w:val="none"/>
                <w:lang w:val="en-US" w:eastAsia="zh-CN"/>
              </w:rPr>
              <w:t>4</w:t>
            </w:r>
            <w:r>
              <w:rPr>
                <w:rFonts w:hint="eastAsia" w:ascii="仿宋" w:hAnsi="仿宋" w:eastAsia="仿宋" w:cs="仿宋"/>
                <w:bCs/>
                <w:sz w:val="21"/>
                <w:szCs w:val="21"/>
                <w:highlight w:val="none"/>
              </w:rPr>
              <w:t>分；每缺少一项扣</w:t>
            </w:r>
            <w:r>
              <w:rPr>
                <w:rFonts w:hint="eastAsia" w:ascii="仿宋" w:hAnsi="仿宋" w:eastAsia="仿宋" w:cs="仿宋"/>
                <w:bCs/>
                <w:sz w:val="21"/>
                <w:szCs w:val="21"/>
                <w:highlight w:val="none"/>
                <w:lang w:val="en-US" w:eastAsia="zh-CN"/>
              </w:rPr>
              <w:t>1</w:t>
            </w:r>
            <w:r>
              <w:rPr>
                <w:rFonts w:hint="eastAsia" w:ascii="仿宋" w:hAnsi="仿宋" w:eastAsia="仿宋" w:cs="仿宋"/>
                <w:bCs/>
                <w:sz w:val="21"/>
                <w:szCs w:val="21"/>
                <w:highlight w:val="none"/>
              </w:rPr>
              <w:t>分；每有一处内容存在缺陷的扣</w:t>
            </w:r>
            <w:r>
              <w:rPr>
                <w:rFonts w:hint="eastAsia" w:ascii="仿宋" w:hAnsi="仿宋" w:eastAsia="仿宋" w:cs="仿宋"/>
                <w:bCs/>
                <w:sz w:val="21"/>
                <w:szCs w:val="21"/>
                <w:highlight w:val="none"/>
                <w:lang w:val="en-US" w:eastAsia="zh-CN"/>
              </w:rPr>
              <w:t>0.5</w:t>
            </w:r>
            <w:r>
              <w:rPr>
                <w:rFonts w:hint="eastAsia" w:ascii="仿宋" w:hAnsi="仿宋" w:eastAsia="仿宋" w:cs="仿宋"/>
                <w:bCs/>
                <w:sz w:val="21"/>
                <w:szCs w:val="21"/>
                <w:highlight w:val="none"/>
              </w:rPr>
              <w:t>分，扣完为止。 注：缺陷是指存在项目名称错误、地点区域错误、内容与本项目需求无关、方案内容矛盾或表述前后不一致、适用的标准（方法）错误、明显复制其他项目内容的任意一种情形。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2" w:type="pct"/>
            <w:noWrap w:val="0"/>
            <w:vAlign w:val="center"/>
          </w:tcPr>
          <w:p>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4</w:t>
            </w:r>
          </w:p>
        </w:tc>
        <w:tc>
          <w:tcPr>
            <w:tcW w:w="437"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业绩</w:t>
            </w:r>
          </w:p>
        </w:tc>
        <w:tc>
          <w:tcPr>
            <w:tcW w:w="323" w:type="pct"/>
            <w:shd w:val="clear" w:color="auto" w:fill="auto"/>
            <w:noWrap w:val="0"/>
            <w:vAlign w:val="center"/>
          </w:tcPr>
          <w:p>
            <w:pPr>
              <w:pStyle w:val="16"/>
              <w:widowControl/>
              <w:spacing w:line="360" w:lineRule="auto"/>
              <w:ind w:firstLine="0" w:firstLineChars="0"/>
              <w:jc w:val="center"/>
              <w:rPr>
                <w:rFonts w:hint="default" w:ascii="仿宋" w:hAnsi="仿宋" w:eastAsia="仿宋" w:cs="仿宋"/>
                <w:b w:val="0"/>
                <w:bCs/>
                <w:kern w:val="2"/>
                <w:sz w:val="21"/>
                <w:szCs w:val="21"/>
                <w:highlight w:val="none"/>
                <w:lang w:val="en-US" w:eastAsia="zh-CN" w:bidi="ar-SA"/>
              </w:rPr>
            </w:pPr>
            <w:r>
              <w:rPr>
                <w:rFonts w:hint="eastAsia" w:ascii="仿宋" w:hAnsi="仿宋" w:eastAsia="仿宋" w:cs="仿宋"/>
                <w:b w:val="0"/>
                <w:bCs/>
                <w:kern w:val="2"/>
                <w:sz w:val="21"/>
                <w:szCs w:val="21"/>
                <w:highlight w:val="none"/>
                <w:lang w:val="en-US" w:eastAsia="zh-CN" w:bidi="ar-SA"/>
              </w:rPr>
              <w:t>9</w:t>
            </w:r>
          </w:p>
        </w:tc>
        <w:tc>
          <w:tcPr>
            <w:tcW w:w="3976" w:type="pct"/>
            <w:shd w:val="clear" w:color="auto" w:fill="auto"/>
            <w:noWrap w:val="0"/>
            <w:vAlign w:val="top"/>
          </w:tcPr>
          <w:p>
            <w:pPr>
              <w:numPr>
                <w:ilvl w:val="0"/>
                <w:numId w:val="0"/>
              </w:numPr>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rPr>
              <w:t>供应商提供自 2023年1月1日至投标截止日类似产品销售业绩，每提供1个有效业绩得</w:t>
            </w:r>
            <w:r>
              <w:rPr>
                <w:rFonts w:hint="eastAsia" w:ascii="仿宋" w:hAnsi="仿宋" w:eastAsia="仿宋" w:cs="仿宋"/>
                <w:bCs/>
                <w:sz w:val="21"/>
                <w:szCs w:val="21"/>
                <w:highlight w:val="none"/>
                <w:lang w:val="en-US" w:eastAsia="zh-CN"/>
              </w:rPr>
              <w:t>1</w:t>
            </w:r>
            <w:r>
              <w:rPr>
                <w:rFonts w:hint="eastAsia" w:ascii="仿宋" w:hAnsi="仿宋" w:eastAsia="仿宋" w:cs="仿宋"/>
                <w:bCs/>
                <w:sz w:val="21"/>
                <w:szCs w:val="21"/>
                <w:highlight w:val="none"/>
              </w:rPr>
              <w:t>分，最多得</w:t>
            </w:r>
            <w:r>
              <w:rPr>
                <w:rFonts w:hint="eastAsia" w:ascii="仿宋" w:hAnsi="仿宋" w:eastAsia="仿宋" w:cs="仿宋"/>
                <w:bCs/>
                <w:sz w:val="21"/>
                <w:szCs w:val="21"/>
                <w:highlight w:val="none"/>
                <w:lang w:val="en-US" w:eastAsia="zh-CN"/>
              </w:rPr>
              <w:t>9</w:t>
            </w:r>
            <w:r>
              <w:rPr>
                <w:rFonts w:hint="eastAsia" w:ascii="仿宋" w:hAnsi="仿宋" w:eastAsia="仿宋" w:cs="仿宋"/>
                <w:bCs/>
                <w:sz w:val="21"/>
                <w:szCs w:val="21"/>
                <w:highlight w:val="none"/>
              </w:rPr>
              <w:t>分。注：供应商提供合同或中标（成交）通知书并加盖供应商电子章。业绩时间以合同签订时间或中标（成交）通知书发放时间为准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2" w:type="pct"/>
            <w:noWrap w:val="0"/>
            <w:vAlign w:val="center"/>
          </w:tcPr>
          <w:p>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5</w:t>
            </w:r>
          </w:p>
        </w:tc>
        <w:tc>
          <w:tcPr>
            <w:tcW w:w="437" w:type="pct"/>
            <w:noWrap w:val="0"/>
            <w:vAlign w:val="center"/>
          </w:tcPr>
          <w:p>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售后服务方案</w:t>
            </w:r>
          </w:p>
        </w:tc>
        <w:tc>
          <w:tcPr>
            <w:tcW w:w="323" w:type="pct"/>
            <w:shd w:val="clear" w:color="auto" w:fill="auto"/>
            <w:noWrap w:val="0"/>
            <w:vAlign w:val="center"/>
          </w:tcPr>
          <w:p>
            <w:pPr>
              <w:pStyle w:val="16"/>
              <w:widowControl/>
              <w:spacing w:line="360" w:lineRule="auto"/>
              <w:ind w:left="0" w:leftChars="0" w:right="0" w:rightChars="0" w:firstLine="0" w:firstLineChars="0"/>
              <w:jc w:val="center"/>
              <w:rPr>
                <w:rFonts w:hint="default" w:ascii="仿宋" w:hAnsi="仿宋" w:eastAsia="仿宋" w:cs="仿宋"/>
                <w:b w:val="0"/>
                <w:bCs/>
                <w:kern w:val="2"/>
                <w:sz w:val="21"/>
                <w:szCs w:val="21"/>
                <w:lang w:val="en-US" w:eastAsia="zh-CN" w:bidi="ar-SA"/>
              </w:rPr>
            </w:pPr>
            <w:r>
              <w:rPr>
                <w:rFonts w:hint="eastAsia" w:ascii="仿宋" w:hAnsi="仿宋" w:eastAsia="仿宋" w:cs="仿宋"/>
                <w:b w:val="0"/>
                <w:bCs/>
                <w:kern w:val="2"/>
                <w:sz w:val="21"/>
                <w:szCs w:val="21"/>
                <w:lang w:val="en-US" w:eastAsia="zh-CN" w:bidi="ar-SA"/>
              </w:rPr>
              <w:t>4</w:t>
            </w:r>
          </w:p>
        </w:tc>
        <w:tc>
          <w:tcPr>
            <w:tcW w:w="3976" w:type="pct"/>
            <w:shd w:val="clear" w:color="auto" w:fill="auto"/>
            <w:noWrap w:val="0"/>
            <w:vAlign w:val="center"/>
          </w:tcPr>
          <w:p>
            <w:pPr>
              <w:widowControl/>
              <w:numPr>
                <w:ilvl w:val="0"/>
                <w:numId w:val="0"/>
              </w:numPr>
              <w:jc w:val="left"/>
              <w:outlineLvl w:val="9"/>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rPr>
              <w:t>供应商需针对本项目售后服务方案：①售后服务站点②售后服务人员配置③售后服务承诺④质保维护，包含以上全部内容且详细、符合项目实际情况的，得</w:t>
            </w:r>
            <w:r>
              <w:rPr>
                <w:rFonts w:hint="eastAsia" w:ascii="仿宋" w:hAnsi="仿宋" w:eastAsia="仿宋" w:cs="仿宋"/>
                <w:bCs/>
                <w:sz w:val="21"/>
                <w:szCs w:val="21"/>
                <w:highlight w:val="none"/>
                <w:lang w:val="en-US" w:eastAsia="zh-CN"/>
              </w:rPr>
              <w:t>4</w:t>
            </w:r>
            <w:r>
              <w:rPr>
                <w:rFonts w:hint="eastAsia" w:ascii="仿宋" w:hAnsi="仿宋" w:eastAsia="仿宋" w:cs="仿宋"/>
                <w:bCs/>
                <w:sz w:val="21"/>
                <w:szCs w:val="21"/>
                <w:highlight w:val="none"/>
              </w:rPr>
              <w:t>分；每缺少一项扣</w:t>
            </w:r>
            <w:r>
              <w:rPr>
                <w:rFonts w:hint="eastAsia" w:ascii="仿宋" w:hAnsi="仿宋" w:eastAsia="仿宋" w:cs="仿宋"/>
                <w:bCs/>
                <w:sz w:val="21"/>
                <w:szCs w:val="21"/>
                <w:highlight w:val="none"/>
                <w:lang w:val="en-US" w:eastAsia="zh-CN"/>
              </w:rPr>
              <w:t>1</w:t>
            </w:r>
            <w:r>
              <w:rPr>
                <w:rFonts w:hint="eastAsia" w:ascii="仿宋" w:hAnsi="仿宋" w:eastAsia="仿宋" w:cs="仿宋"/>
                <w:bCs/>
                <w:sz w:val="21"/>
                <w:szCs w:val="21"/>
                <w:highlight w:val="none"/>
              </w:rPr>
              <w:t>分；每有一处内容存在缺陷的扣</w:t>
            </w:r>
            <w:r>
              <w:rPr>
                <w:rFonts w:hint="eastAsia" w:ascii="仿宋" w:hAnsi="仿宋" w:eastAsia="仿宋" w:cs="仿宋"/>
                <w:bCs/>
                <w:sz w:val="21"/>
                <w:szCs w:val="21"/>
                <w:highlight w:val="none"/>
                <w:lang w:val="en-US" w:eastAsia="zh-CN"/>
              </w:rPr>
              <w:t>0.5</w:t>
            </w:r>
            <w:r>
              <w:rPr>
                <w:rFonts w:hint="eastAsia" w:ascii="仿宋" w:hAnsi="仿宋" w:eastAsia="仿宋" w:cs="仿宋"/>
                <w:bCs/>
                <w:sz w:val="21"/>
                <w:szCs w:val="21"/>
                <w:highlight w:val="none"/>
              </w:rPr>
              <w:t>分，扣完为止。注：缺陷是指存在项目名称错误、地点区域错误、内容与本项目需求无关、方案内容矛盾或表述前后不一致、适用的标准（方法）错误、明显复制其他项目内容的任意一种情形。</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0" w:name="_Toc24097"/>
      <w:bookmarkStart w:id="31" w:name="_Toc21472"/>
    </w:p>
    <w:bookmarkEnd w:id="30"/>
    <w:bookmarkEnd w:id="31"/>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2" w:name="_Toc24859"/>
      <w:bookmarkStart w:id="33" w:name="_Toc3274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pPr>
        <w:jc w:val="left"/>
        <w:rPr>
          <w:rFonts w:ascii="Times New Roman" w:hAnsi="Times New Roman" w:eastAsia="仿宋" w:cs="Times New Roman"/>
          <w:sz w:val="28"/>
          <w:szCs w:val="24"/>
        </w:rPr>
      </w:pPr>
      <w:bookmarkStart w:id="36" w:name="_Toc3558"/>
      <w:bookmarkStart w:id="37" w:name="_Toc6803"/>
      <w:bookmarkStart w:id="38" w:name="_Toc17905"/>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pPr>
        <w:jc w:val="left"/>
        <w:rPr>
          <w:rFonts w:ascii="Times New Roman" w:hAnsi="Times New Roman" w:eastAsia="仿宋" w:cs="Times New Roman"/>
          <w:sz w:val="28"/>
          <w:szCs w:val="24"/>
        </w:rPr>
      </w:pPr>
      <w:bookmarkStart w:id="40" w:name="_Toc5996"/>
      <w:bookmarkStart w:id="41" w:name="_Toc2989"/>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pPr>
        <w:jc w:val="center"/>
        <w:rPr>
          <w:rFonts w:ascii="Times New Roman" w:hAnsi="Times New Roman" w:eastAsia="仿宋" w:cs="Times New Roman"/>
          <w:sz w:val="32"/>
          <w:szCs w:val="40"/>
        </w:rPr>
      </w:pPr>
      <w:bookmarkStart w:id="48" w:name="_Toc16029"/>
      <w:bookmarkStart w:id="49" w:name="_Toc21519"/>
      <w:bookmarkStart w:id="50" w:name="_Toc14829"/>
      <w:bookmarkStart w:id="51" w:name="_Toc3023"/>
      <w:bookmarkStart w:id="52" w:name="_Toc11352"/>
      <w:bookmarkStart w:id="53" w:name="_Toc6482"/>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8"/>
      <w:bookmarkEnd w:id="49"/>
      <w:bookmarkEnd w:id="50"/>
      <w:bookmarkEnd w:id="51"/>
      <w:bookmarkEnd w:id="52"/>
      <w:bookmarkEnd w:id="53"/>
    </w:p>
    <w:p>
      <w:pPr>
        <w:pStyle w:val="8"/>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4" w:name="_Toc4305"/>
      <w:bookmarkStart w:id="55" w:name="_Toc22676"/>
      <w:bookmarkStart w:id="56" w:name="_Toc17857"/>
      <w:bookmarkStart w:id="57" w:name="_Toc30971"/>
      <w:bookmarkStart w:id="58" w:name="_Toc31838"/>
      <w:r>
        <w:rPr>
          <w:rFonts w:ascii="Times New Roman" w:hAnsi="Times New Roman" w:cs="Times New Roman"/>
        </w:rPr>
        <w:br w:type="page"/>
      </w:r>
    </w:p>
    <w:p>
      <w:pPr>
        <w:pStyle w:val="3"/>
        <w:ind w:firstLine="0"/>
      </w:pPr>
      <w:r>
        <w:t>具有独立承担民事责任的能力</w:t>
      </w:r>
      <w:bookmarkEnd w:id="54"/>
      <w:bookmarkEnd w:id="55"/>
      <w:bookmarkEnd w:id="56"/>
      <w:bookmarkEnd w:id="57"/>
      <w:bookmarkEnd w:id="58"/>
    </w:p>
    <w:p>
      <w:pPr>
        <w:pStyle w:val="8"/>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7" w:name="_Toc25638"/>
      <w:bookmarkStart w:id="68" w:name="_Toc12015"/>
      <w:bookmarkStart w:id="69" w:name="_Toc27661"/>
      <w:bookmarkStart w:id="70" w:name="_Toc20589"/>
      <w:bookmarkStart w:id="71" w:name="_Toc15526"/>
      <w:bookmarkStart w:id="72" w:name="_Toc11351"/>
      <w:r>
        <w:rPr>
          <w:rStyle w:val="40"/>
          <w:b/>
        </w:rPr>
        <w:t>法定代表人身份证明书</w:t>
      </w:r>
      <w:bookmarkEnd w:id="67"/>
      <w:bookmarkEnd w:id="68"/>
      <w:bookmarkEnd w:id="69"/>
      <w:bookmarkEnd w:id="70"/>
      <w:bookmarkEnd w:id="71"/>
      <w:bookmarkEnd w:id="72"/>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8"/>
        <w:snapToGrid w:val="0"/>
        <w:spacing w:after="0" w:line="500" w:lineRule="exact"/>
        <w:ind w:firstLine="480" w:firstLineChars="200"/>
        <w:rPr>
          <w:rFonts w:ascii="Times New Roman" w:hAnsi="Times New Roman" w:eastAsia="仿宋" w:cs="Times New Roman"/>
          <w:sz w:val="24"/>
        </w:rPr>
      </w:pPr>
    </w:p>
    <w:p>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3" w:name="_Toc23967"/>
      <w:bookmarkStart w:id="74" w:name="_Toc16435"/>
      <w:bookmarkStart w:id="75" w:name="_Toc12967"/>
      <w:bookmarkStart w:id="76" w:name="_Toc26969"/>
      <w:bookmarkStart w:id="77" w:name="_Toc2041"/>
      <w:bookmarkStart w:id="78" w:name="_Toc1074"/>
      <w:r>
        <w:rPr>
          <w:rStyle w:val="40"/>
          <w:b/>
        </w:rPr>
        <w:t>采购需求偏离表</w:t>
      </w:r>
      <w:bookmarkEnd w:id="73"/>
      <w:bookmarkEnd w:id="74"/>
      <w:bookmarkEnd w:id="75"/>
      <w:bookmarkEnd w:id="76"/>
      <w:bookmarkEnd w:id="77"/>
      <w:bookmarkEnd w:id="78"/>
    </w:p>
    <w:p>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9"/>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79" w:name="_Toc1369"/>
      <w:bookmarkStart w:id="80" w:name="_Toc24806"/>
      <w:bookmarkStart w:id="81" w:name="_Toc31686"/>
      <w:bookmarkStart w:id="82" w:name="_Toc21082"/>
      <w:bookmarkStart w:id="83" w:name="_Toc26839"/>
      <w:bookmarkStart w:id="84" w:name="_Toc28634"/>
      <w:r>
        <w:rPr>
          <w:rStyle w:val="40"/>
          <w:b/>
        </w:rPr>
        <w:t>评分需要提供的证明材料</w:t>
      </w:r>
      <w:bookmarkEnd w:id="79"/>
      <w:bookmarkEnd w:id="80"/>
      <w:bookmarkEnd w:id="81"/>
      <w:bookmarkEnd w:id="82"/>
      <w:bookmarkEnd w:id="83"/>
      <w:bookmarkEnd w:id="84"/>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pPr>
        <w:pStyle w:val="3"/>
        <w:ind w:firstLine="0"/>
      </w:pPr>
      <w:bookmarkStart w:id="88" w:name="_Toc15065"/>
      <w:r>
        <w:t>报价单</w:t>
      </w:r>
      <w:bookmarkEnd w:id="88"/>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8"/>
        <w:numPr>
          <w:ilvl w:val="0"/>
          <w:numId w:val="12"/>
        </w:numPr>
      </w:pPr>
      <w:r>
        <w:rPr>
          <w:rFonts w:ascii="Times New Roman" w:hAnsi="Times New Roman" w:eastAsia="仿宋" w:cs="Times New Roman"/>
          <w:b/>
          <w:bCs/>
          <w:sz w:val="24"/>
          <w:szCs w:val="24"/>
        </w:rPr>
        <w:t>报价一览表</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5"/>
        <w:gridCol w:w="3498"/>
        <w:gridCol w:w="1531"/>
        <w:gridCol w:w="2319"/>
        <w:gridCol w:w="1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4"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kern w:val="0"/>
                <w:sz w:val="24"/>
                <w:szCs w:val="24"/>
                <w:lang w:val="zh-TW" w:eastAsia="zh-TW"/>
              </w:rPr>
              <w:t>序号</w:t>
            </w:r>
          </w:p>
        </w:tc>
        <w:tc>
          <w:tcPr>
            <w:tcW w:w="1679"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采购标的名称</w:t>
            </w:r>
          </w:p>
        </w:tc>
        <w:tc>
          <w:tcPr>
            <w:tcW w:w="735"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质保期</w:t>
            </w:r>
          </w:p>
        </w:tc>
        <w:tc>
          <w:tcPr>
            <w:tcW w:w="1113"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报价（元）</w:t>
            </w:r>
          </w:p>
        </w:tc>
        <w:tc>
          <w:tcPr>
            <w:tcW w:w="547"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24"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79"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Times New Roman" w:hAnsi="Times New Roman" w:eastAsia="仿宋" w:cs="Times New Roman"/>
                <w:sz w:val="24"/>
                <w:szCs w:val="24"/>
              </w:rPr>
              <w:t>临床技能教学模具</w:t>
            </w:r>
          </w:p>
        </w:tc>
        <w:tc>
          <w:tcPr>
            <w:tcW w:w="735"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113"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p>
        </w:tc>
        <w:tc>
          <w:tcPr>
            <w:tcW w:w="547"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24" w:type="pct"/>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报价合计</w:t>
            </w:r>
          </w:p>
        </w:tc>
        <w:tc>
          <w:tcPr>
            <w:tcW w:w="4075" w:type="pct"/>
            <w:gridSpan w:val="4"/>
            <w:noWrap w:val="0"/>
            <w:vAlign w:val="center"/>
          </w:tcPr>
          <w:p>
            <w:pPr>
              <w:pStyle w:val="8"/>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w:t>
            </w:r>
          </w:p>
          <w:p>
            <w:pPr>
              <w:pStyle w:val="8"/>
              <w:keepNext w:val="0"/>
              <w:keepLines w:val="0"/>
              <w:pageBreakBefore w:val="0"/>
              <w:widowControl w:val="0"/>
              <w:kinsoku/>
              <w:wordWrap/>
              <w:overflowPunct/>
              <w:topLinePunct w:val="0"/>
              <w:autoSpaceDE/>
              <w:autoSpaceDN/>
              <w:bidi w:val="0"/>
              <w:adjustRightInd/>
              <w:snapToGrid/>
              <w:spacing w:after="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p>
        </w:tc>
      </w:tr>
    </w:tbl>
    <w:p>
      <w:pPr>
        <w:pStyle w:val="8"/>
        <w:rPr>
          <w:rFonts w:ascii="Times New Roman" w:hAnsi="Times New Roman" w:eastAsia="仿宋" w:cs="Times New Roman"/>
          <w:b/>
          <w:bCs/>
          <w:szCs w:val="21"/>
          <w:lang w:val="zh-TW" w:eastAsia="zh-TW"/>
        </w:rPr>
      </w:pPr>
      <w:r>
        <w:rPr>
          <w:rFonts w:ascii="Times New Roman" w:hAnsi="Times New Roman" w:eastAsia="仿宋" w:cs="Times New Roman"/>
          <w:b/>
          <w:bCs/>
          <w:szCs w:val="21"/>
        </w:rPr>
        <w:t>2.</w:t>
      </w:r>
      <w:r>
        <w:rPr>
          <w:rFonts w:ascii="Times New Roman" w:hAnsi="Times New Roman" w:eastAsia="仿宋" w:cs="Times New Roman"/>
          <w:b/>
          <w:bCs/>
          <w:szCs w:val="21"/>
          <w:lang w:val="zh-TW" w:eastAsia="zh-TW"/>
        </w:rPr>
        <w:t>分项报价</w:t>
      </w:r>
    </w:p>
    <w:tbl>
      <w:tblPr>
        <w:tblStyle w:val="1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6"/>
        <w:gridCol w:w="3636"/>
        <w:gridCol w:w="576"/>
        <w:gridCol w:w="936"/>
        <w:gridCol w:w="936"/>
        <w:gridCol w:w="756"/>
        <w:gridCol w:w="576"/>
        <w:gridCol w:w="1116"/>
        <w:gridCol w:w="11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sz w:val="18"/>
                <w:szCs w:val="18"/>
                <w:u w:val="none"/>
              </w:rPr>
            </w:pPr>
            <w:r>
              <w:rPr>
                <w:rFonts w:hint="eastAsia" w:ascii="仿宋" w:hAnsi="仿宋" w:eastAsia="仿宋" w:cs="仿宋"/>
                <w:b w:val="0"/>
                <w:bCs w:val="0"/>
                <w:i w:val="0"/>
                <w:iCs w:val="0"/>
                <w:kern w:val="2"/>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sz w:val="18"/>
                <w:szCs w:val="18"/>
                <w:u w:val="none"/>
              </w:rPr>
            </w:pPr>
            <w:r>
              <w:rPr>
                <w:rFonts w:hint="eastAsia" w:ascii="仿宋" w:hAnsi="仿宋" w:eastAsia="仿宋" w:cs="仿宋"/>
                <w:b w:val="0"/>
                <w:bCs w:val="0"/>
                <w:i w:val="0"/>
                <w:iCs w:val="0"/>
                <w:kern w:val="2"/>
                <w:sz w:val="18"/>
                <w:szCs w:val="18"/>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b w:val="0"/>
                <w:bCs w:val="0"/>
                <w:i w:val="0"/>
                <w:iCs w:val="0"/>
                <w:kern w:val="2"/>
                <w:sz w:val="18"/>
                <w:szCs w:val="18"/>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b w:val="0"/>
                <w:bCs w:val="0"/>
                <w:i w:val="0"/>
                <w:iCs w:val="0"/>
                <w:kern w:val="2"/>
                <w:sz w:val="18"/>
                <w:szCs w:val="18"/>
                <w:u w:val="none"/>
                <w:lang w:val="en-US" w:eastAsia="zh-CN" w:bidi="ar"/>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b w:val="0"/>
                <w:bCs w:val="0"/>
                <w:i w:val="0"/>
                <w:iCs w:val="0"/>
                <w:kern w:val="2"/>
                <w:sz w:val="18"/>
                <w:szCs w:val="18"/>
                <w:u w:val="none"/>
                <w:lang w:val="en-US" w:eastAsia="zh-CN" w:bidi="ar"/>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b w:val="0"/>
                <w:bCs w:val="0"/>
                <w:i w:val="0"/>
                <w:iCs w:val="0"/>
                <w:kern w:val="2"/>
                <w:sz w:val="18"/>
                <w:szCs w:val="18"/>
                <w:u w:val="none"/>
                <w:lang w:val="en-US" w:eastAsia="zh-CN" w:bidi="ar"/>
              </w:rPr>
              <w:t>数量</w:t>
            </w:r>
          </w:p>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b w:val="0"/>
                <w:bCs w:val="0"/>
                <w:i w:val="0"/>
                <w:iCs w:val="0"/>
                <w:kern w:val="2"/>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b w:val="0"/>
                <w:bCs w:val="0"/>
                <w:i w:val="0"/>
                <w:iCs w:val="0"/>
                <w:kern w:val="2"/>
                <w:sz w:val="18"/>
                <w:szCs w:val="1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b w:val="0"/>
                <w:bCs w:val="0"/>
                <w:i w:val="0"/>
                <w:iCs w:val="0"/>
                <w:kern w:val="2"/>
                <w:sz w:val="18"/>
                <w:szCs w:val="18"/>
                <w:u w:val="none"/>
                <w:lang w:val="en-US" w:eastAsia="zh-CN" w:bidi="ar"/>
              </w:rPr>
              <w:t>单价（元）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b w:val="0"/>
                <w:bCs w:val="0"/>
                <w:i w:val="0"/>
                <w:iCs w:val="0"/>
                <w:kern w:val="2"/>
                <w:sz w:val="18"/>
                <w:szCs w:val="18"/>
                <w:u w:val="none"/>
                <w:lang w:val="en-US" w:eastAsia="zh-CN" w:bidi="ar"/>
              </w:rPr>
              <w:t>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外科多功能技能训练模型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心肺听诊训练模型（背心式）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透明洗胃、胃肠减压仿真标准化病人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儿童综合穿刺训练模型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新生儿心肺复苏训练系统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高级综合穿刺术与叩诊检查技能训练模拟人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全身心肺复苏模型人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清创模型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会阴切开与缝合示教模型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脊椎损伤搬运技能实操模型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r>
              <w:rPr>
                <w:rFonts w:hint="eastAsia" w:ascii="仿宋" w:hAnsi="仿宋" w:eastAsia="仿宋" w:cs="仿宋"/>
                <w:i w:val="0"/>
                <w:iCs w:val="0"/>
                <w:kern w:val="2"/>
                <w:sz w:val="18"/>
                <w:szCs w:val="18"/>
                <w:u w:val="none"/>
                <w:lang w:val="en-US" w:eastAsia="zh-CN" w:bidi="ar"/>
              </w:rPr>
              <w:t>人体气管插管训练模型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i w:val="0"/>
                <w:iCs w:val="0"/>
                <w:kern w:val="2"/>
                <w:sz w:val="18"/>
                <w:szCs w:val="18"/>
                <w:u w:val="none"/>
                <w:lang w:val="en-US" w:eastAsia="zh-CN" w:bidi="ar-SA"/>
              </w:rPr>
            </w:pPr>
            <w:r>
              <w:rPr>
                <w:rFonts w:hint="eastAsia" w:ascii="仿宋" w:hAnsi="仿宋" w:eastAsia="仿宋" w:cs="仿宋"/>
                <w:i w:val="0"/>
                <w:iCs w:val="0"/>
                <w:kern w:val="2"/>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widowControl w:val="0"/>
              <w:textAlignment w:val="auto"/>
              <w:rPr>
                <w:rFonts w:hint="eastAsia" w:ascii="仿宋" w:hAnsi="仿宋" w:eastAsia="仿宋" w:cs="仿宋"/>
                <w:b w:val="0"/>
                <w:bCs w:val="0"/>
                <w:i w:val="0"/>
                <w:iCs w:val="0"/>
                <w:kern w:val="2"/>
                <w:sz w:val="18"/>
                <w:szCs w:val="18"/>
                <w:u w:val="none"/>
                <w:lang w:val="en-US" w:eastAsia="zh-CN" w:bidi="ar"/>
              </w:rPr>
            </w:pPr>
          </w:p>
        </w:tc>
      </w:tr>
    </w:tbl>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t>供应商认为需要提供的其他材料</w:t>
      </w:r>
      <w:bookmarkEnd w:id="85"/>
      <w:bookmarkEnd w:id="86"/>
      <w:bookmarkEnd w:id="87"/>
      <w:bookmarkEnd w:id="89"/>
      <w:bookmarkEnd w:id="90"/>
      <w:bookmarkEnd w:id="91"/>
    </w:p>
    <w:p>
      <w:pPr>
        <w:pStyle w:val="8"/>
        <w:jc w:val="center"/>
        <w:rPr>
          <w:rFonts w:ascii="Times New Roman" w:hAnsi="Times New Roman" w:eastAsia="仿宋" w:cs="Times New Roman"/>
        </w:rPr>
      </w:pPr>
    </w:p>
    <w:p>
      <w:pPr>
        <w:pStyle w:val="8"/>
        <w:jc w:val="center"/>
        <w:rPr>
          <w:rFonts w:ascii="Times New Roman" w:hAnsi="Times New Roman" w:eastAsia="仿宋" w:cs="Times New Roman"/>
        </w:rPr>
      </w:pPr>
    </w:p>
    <w:p>
      <w:pPr>
        <w:pStyle w:val="8"/>
        <w:jc w:val="center"/>
        <w:rPr>
          <w:rFonts w:ascii="Times New Roman" w:hAnsi="Times New Roman" w:eastAsia="仿宋" w:cs="Times New Roman"/>
        </w:rPr>
      </w:pPr>
    </w:p>
    <w:p>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4"/>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jc w:val="center"/>
        <w:rPr>
          <w:rFonts w:ascii="黑体" w:hAnsi="黑体" w:eastAsia="黑体"/>
          <w:b/>
          <w:bCs/>
          <w:sz w:val="48"/>
          <w:szCs w:val="48"/>
        </w:rPr>
      </w:pPr>
      <w:r>
        <w:rPr>
          <w:rFonts w:ascii="黑体" w:hAnsi="黑体" w:eastAsia="黑体"/>
          <w:b/>
          <w:bCs/>
          <w:sz w:val="48"/>
          <w:szCs w:val="48"/>
        </w:rPr>
        <w:t>货 物 采 购 合 同</w:t>
      </w:r>
    </w:p>
    <w:p>
      <w:pPr>
        <w:contextualSpacing/>
        <w:rPr>
          <w:rFonts w:ascii="Times New Roman" w:hAnsi="Times New Roman"/>
          <w:szCs w:val="21"/>
        </w:rPr>
      </w:pPr>
      <w:permStart w:id="0" w:edGrp="everyone"/>
    </w:p>
    <w:p>
      <w:pPr>
        <w:pStyle w:val="8"/>
        <w:rPr>
          <w:rFonts w:hint="eastAsia"/>
        </w:rPr>
      </w:pPr>
    </w:p>
    <w:tbl>
      <w:tblPr>
        <w:tblStyle w:val="19"/>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919" w:hRule="atLeast"/>
          <w:jc w:val="center"/>
        </w:trPr>
        <w:tc>
          <w:tcPr>
            <w:tcW w:w="10204" w:type="dxa"/>
            <w:gridSpan w:val="2"/>
            <w:noWrap w:val="0"/>
            <w:vAlign w:val="top"/>
          </w:tcPr>
          <w:p>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ascii="Times New Roman" w:hAnsi="Times New Roman"/>
                <w:szCs w:val="21"/>
              </w:rPr>
              <w:t>***</w:t>
            </w:r>
          </w:p>
          <w:p>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tblPrEx>
          <w:tblCellMar>
            <w:top w:w="0" w:type="dxa"/>
            <w:left w:w="0" w:type="dxa"/>
            <w:bottom w:w="0" w:type="dxa"/>
            <w:right w:w="0" w:type="dxa"/>
          </w:tblCellMar>
        </w:tblPrEx>
        <w:trPr>
          <w:jc w:val="center"/>
        </w:trPr>
        <w:tc>
          <w:tcPr>
            <w:tcW w:w="4962" w:type="dxa"/>
            <w:noWrap w:val="0"/>
            <w:vAlign w:val="top"/>
          </w:tcPr>
          <w:p>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pPr>
              <w:rPr>
                <w:rFonts w:ascii="Times New Roman" w:hAnsi="Times New Roman"/>
                <w:szCs w:val="21"/>
              </w:rPr>
            </w:pPr>
            <w:r>
              <w:rPr>
                <w:rFonts w:ascii="Times New Roman" w:hAnsi="Times New Roman"/>
                <w:b/>
                <w:bCs/>
                <w:szCs w:val="21"/>
              </w:rPr>
              <w:t>项目联系人</w:t>
            </w:r>
            <w:r>
              <w:rPr>
                <w:rFonts w:ascii="Times New Roman" w:hAnsi="Times New Roman"/>
                <w:szCs w:val="21"/>
              </w:rPr>
              <w:t>：***</w:t>
            </w:r>
          </w:p>
          <w:p>
            <w:pPr>
              <w:rPr>
                <w:rFonts w:ascii="Times New Roman" w:hAnsi="Times New Roman"/>
                <w:szCs w:val="21"/>
              </w:rPr>
            </w:pPr>
            <w:r>
              <w:rPr>
                <w:rFonts w:ascii="Times New Roman" w:hAnsi="Times New Roman"/>
                <w:b/>
                <w:bCs/>
                <w:szCs w:val="21"/>
              </w:rPr>
              <w:t>电话</w:t>
            </w:r>
            <w:r>
              <w:rPr>
                <w:rFonts w:ascii="Times New Roman" w:hAnsi="Times New Roman"/>
                <w:szCs w:val="21"/>
              </w:rPr>
              <w:t>：***</w:t>
            </w:r>
          </w:p>
          <w:p>
            <w:pPr>
              <w:pStyle w:val="8"/>
              <w:rPr>
                <w:rFonts w:hint="eastAsia"/>
              </w:rPr>
            </w:pPr>
            <w:r>
              <w:rPr>
                <w:rFonts w:hint="eastAsia" w:ascii="Times New Roman" w:hAnsi="Times New Roman"/>
                <w:b/>
                <w:bCs/>
                <w:szCs w:val="21"/>
              </w:rPr>
              <w:t>电子邮件：</w:t>
            </w:r>
            <w:r>
              <w:rPr>
                <w:rFonts w:hint="eastAsia" w:ascii="Times New Roman" w:hAnsi="Times New Roman"/>
                <w:szCs w:val="21"/>
              </w:rPr>
              <w:t>*</w:t>
            </w:r>
            <w:r>
              <w:rPr>
                <w:rFonts w:ascii="Times New Roman" w:hAnsi="Times New Roman"/>
                <w:szCs w:val="21"/>
              </w:rPr>
              <w:t>**</w:t>
            </w:r>
          </w:p>
        </w:tc>
        <w:tc>
          <w:tcPr>
            <w:tcW w:w="5242" w:type="dxa"/>
            <w:noWrap w:val="0"/>
            <w:vAlign w:val="top"/>
          </w:tcPr>
          <w:p>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pPr>
              <w:rPr>
                <w:rFonts w:ascii="Times New Roman" w:hAnsi="Times New Roman"/>
                <w:szCs w:val="21"/>
              </w:rPr>
            </w:pPr>
            <w:r>
              <w:rPr>
                <w:rFonts w:ascii="Times New Roman" w:hAnsi="Times New Roman"/>
                <w:b/>
                <w:bCs/>
                <w:szCs w:val="21"/>
              </w:rPr>
              <w:t>地址</w:t>
            </w:r>
            <w:r>
              <w:rPr>
                <w:rFonts w:ascii="Times New Roman" w:hAnsi="Times New Roman"/>
                <w:szCs w:val="21"/>
              </w:rPr>
              <w:t>：***</w:t>
            </w:r>
          </w:p>
          <w:p>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pPr>
              <w:contextualSpacing/>
              <w:rPr>
                <w:rFonts w:ascii="Times New Roman" w:hAnsi="Times New Roman"/>
                <w:szCs w:val="21"/>
              </w:rPr>
            </w:pPr>
            <w:r>
              <w:rPr>
                <w:rFonts w:ascii="Times New Roman" w:hAnsi="Times New Roman"/>
                <w:b/>
                <w:bCs/>
                <w:szCs w:val="21"/>
              </w:rPr>
              <w:t>联系人</w:t>
            </w:r>
            <w:r>
              <w:rPr>
                <w:rFonts w:ascii="Times New Roman" w:hAnsi="Times New Roman"/>
                <w:szCs w:val="21"/>
              </w:rPr>
              <w:t>：***</w:t>
            </w:r>
          </w:p>
          <w:p>
            <w:pPr>
              <w:pStyle w:val="8"/>
              <w:rPr>
                <w:rFonts w:hint="eastAsia"/>
              </w:rPr>
            </w:pPr>
            <w:r>
              <w:rPr>
                <w:rFonts w:hint="eastAsia" w:ascii="Times New Roman" w:hAnsi="Times New Roman"/>
                <w:b/>
                <w:bCs/>
                <w:szCs w:val="21"/>
              </w:rPr>
              <w:t>电子邮件：*</w:t>
            </w:r>
            <w:r>
              <w:rPr>
                <w:rFonts w:ascii="Times New Roman" w:hAnsi="Times New Roman"/>
                <w:b/>
                <w:bCs/>
                <w:szCs w:val="21"/>
              </w:rPr>
              <w:t>**</w:t>
            </w:r>
          </w:p>
        </w:tc>
      </w:tr>
      <w:permEnd w:id="0"/>
    </w:tbl>
    <w:p>
      <w:pPr>
        <w:adjustRightInd w:val="0"/>
        <w:snapToGrid w:val="0"/>
        <w:spacing w:before="312" w:beforeLines="100" w:after="312" w:afterLines="100"/>
        <w:contextualSpacing/>
        <w:jc w:val="left"/>
        <w:rPr>
          <w:rFonts w:ascii="Times New Roman" w:hAnsi="Times New Roman"/>
          <w:color w:val="000000"/>
          <w:szCs w:val="21"/>
        </w:rPr>
      </w:pPr>
    </w:p>
    <w:p>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1" w:edGrp="everyone"/>
      <w:r>
        <w:rPr>
          <w:color w:val="000000"/>
          <w:szCs w:val="21"/>
        </w:rPr>
        <w:t>：</w:t>
      </w:r>
      <w:r>
        <w:rPr>
          <w:szCs w:val="21"/>
        </w:rPr>
        <w:t>***</w:t>
      </w:r>
      <w:permEnd w:id="1"/>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pPr>
        <w:ind w:firstLine="420" w:firstLineChars="200"/>
        <w:rPr>
          <w:rFonts w:ascii="Times New Roman" w:hAnsi="Times New Roman"/>
          <w:color w:val="000000"/>
          <w:szCs w:val="21"/>
        </w:rPr>
      </w:pPr>
    </w:p>
    <w:p>
      <w:pPr>
        <w:pStyle w:val="29"/>
        <w:numPr>
          <w:ilvl w:val="0"/>
          <w:numId w:val="13"/>
        </w:numPr>
        <w:snapToGrid w:val="0"/>
        <w:ind w:firstLineChars="0"/>
        <w:rPr>
          <w:rFonts w:hint="eastAsia" w:ascii="Times New Roman" w:hAnsi="Times New Roman"/>
          <w:b/>
          <w:bCs/>
          <w:szCs w:val="21"/>
        </w:rPr>
      </w:pPr>
      <w:r>
        <w:rPr>
          <w:rFonts w:ascii="Times New Roman" w:hAnsi="Times New Roman"/>
          <w:b/>
          <w:bCs/>
          <w:szCs w:val="21"/>
        </w:rPr>
        <w:t>采购货物信息</w:t>
      </w:r>
    </w:p>
    <w:tbl>
      <w:tblPr>
        <w:tblStyle w:val="19"/>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2551"/>
        <w:gridCol w:w="1985"/>
        <w:gridCol w:w="992"/>
        <w:gridCol w:w="1417"/>
        <w:gridCol w:w="426"/>
        <w:gridCol w:w="425"/>
        <w:gridCol w:w="992"/>
        <w:gridCol w:w="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pPr>
              <w:contextualSpacing/>
              <w:jc w:val="center"/>
              <w:rPr>
                <w:rFonts w:ascii="Times New Roman" w:hAnsi="Times New Roman"/>
                <w:b/>
                <w:bCs/>
                <w:color w:val="000000"/>
                <w:sz w:val="18"/>
                <w:szCs w:val="18"/>
              </w:rPr>
            </w:pPr>
            <w:r>
              <w:rPr>
                <w:rFonts w:ascii="Times New Roman" w:hAnsi="Times New Roman"/>
                <w:b/>
                <w:bCs/>
                <w:color w:val="000000"/>
                <w:sz w:val="18"/>
                <w:szCs w:val="18"/>
              </w:rPr>
              <w:t>序号</w:t>
            </w:r>
          </w:p>
        </w:tc>
        <w:tc>
          <w:tcPr>
            <w:tcW w:w="2551" w:type="dxa"/>
            <w:noWrap w:val="0"/>
            <w:vAlign w:val="center"/>
          </w:tcPr>
          <w:p>
            <w:pPr>
              <w:contextualSpacing/>
              <w:jc w:val="center"/>
              <w:rPr>
                <w:rFonts w:ascii="Times New Roman" w:hAnsi="Times New Roman"/>
                <w:b/>
                <w:bCs/>
                <w:color w:val="000000"/>
                <w:sz w:val="18"/>
                <w:szCs w:val="18"/>
              </w:rPr>
            </w:pPr>
            <w:r>
              <w:rPr>
                <w:rFonts w:ascii="Times New Roman" w:hAnsi="Times New Roman"/>
                <w:b/>
                <w:bCs/>
                <w:color w:val="000000"/>
                <w:sz w:val="18"/>
                <w:szCs w:val="18"/>
              </w:rPr>
              <w:t>货物名称</w:t>
            </w:r>
          </w:p>
        </w:tc>
        <w:tc>
          <w:tcPr>
            <w:tcW w:w="1985" w:type="dxa"/>
            <w:noWrap w:val="0"/>
            <w:vAlign w:val="center"/>
          </w:tcPr>
          <w:p>
            <w:pPr>
              <w:contextualSpacing/>
              <w:jc w:val="center"/>
              <w:rPr>
                <w:rFonts w:ascii="Times New Roman" w:hAnsi="Times New Roman"/>
                <w:b/>
                <w:bCs/>
                <w:color w:val="000000"/>
                <w:sz w:val="18"/>
                <w:szCs w:val="18"/>
              </w:rPr>
            </w:pPr>
            <w:r>
              <w:rPr>
                <w:rFonts w:ascii="Times New Roman" w:hAnsi="Times New Roman"/>
                <w:b/>
                <w:bCs/>
                <w:color w:val="000000"/>
                <w:sz w:val="18"/>
                <w:szCs w:val="18"/>
              </w:rPr>
              <w:t>生产厂商</w:t>
            </w:r>
          </w:p>
        </w:tc>
        <w:tc>
          <w:tcPr>
            <w:tcW w:w="992" w:type="dxa"/>
            <w:noWrap w:val="0"/>
            <w:vAlign w:val="center"/>
          </w:tcPr>
          <w:p>
            <w:pPr>
              <w:contextualSpacing/>
              <w:jc w:val="center"/>
              <w:rPr>
                <w:rFonts w:ascii="Times New Roman" w:hAnsi="Times New Roman"/>
                <w:b/>
                <w:bCs/>
                <w:color w:val="000000"/>
                <w:sz w:val="18"/>
                <w:szCs w:val="18"/>
              </w:rPr>
            </w:pPr>
            <w:r>
              <w:rPr>
                <w:rFonts w:ascii="Times New Roman" w:hAnsi="Times New Roman"/>
                <w:b/>
                <w:bCs/>
                <w:color w:val="000000"/>
                <w:sz w:val="18"/>
                <w:szCs w:val="18"/>
              </w:rPr>
              <w:t>产地</w:t>
            </w:r>
          </w:p>
        </w:tc>
        <w:tc>
          <w:tcPr>
            <w:tcW w:w="1417" w:type="dxa"/>
            <w:noWrap w:val="0"/>
            <w:vAlign w:val="center"/>
          </w:tcPr>
          <w:p>
            <w:pPr>
              <w:contextualSpacing/>
              <w:jc w:val="center"/>
              <w:rPr>
                <w:rFonts w:ascii="Times New Roman" w:hAnsi="Times New Roman"/>
                <w:b/>
                <w:bCs/>
                <w:color w:val="000000"/>
                <w:sz w:val="18"/>
                <w:szCs w:val="18"/>
              </w:rPr>
            </w:pPr>
            <w:r>
              <w:rPr>
                <w:rFonts w:ascii="Times New Roman" w:hAnsi="Times New Roman"/>
                <w:b/>
                <w:bCs/>
                <w:color w:val="000000"/>
                <w:sz w:val="18"/>
                <w:szCs w:val="18"/>
              </w:rPr>
              <w:t>规格型号</w:t>
            </w:r>
          </w:p>
        </w:tc>
        <w:tc>
          <w:tcPr>
            <w:tcW w:w="426" w:type="dxa"/>
            <w:noWrap w:val="0"/>
            <w:vAlign w:val="center"/>
          </w:tcPr>
          <w:p>
            <w:pPr>
              <w:contextualSpacing/>
              <w:jc w:val="center"/>
              <w:rPr>
                <w:rFonts w:ascii="Times New Roman" w:hAnsi="Times New Roman"/>
                <w:b/>
                <w:bCs/>
                <w:color w:val="000000"/>
                <w:sz w:val="18"/>
                <w:szCs w:val="18"/>
              </w:rPr>
            </w:pPr>
            <w:r>
              <w:rPr>
                <w:rFonts w:ascii="Times New Roman" w:hAnsi="Times New Roman"/>
                <w:b/>
                <w:bCs/>
                <w:color w:val="000000"/>
                <w:sz w:val="18"/>
                <w:szCs w:val="18"/>
              </w:rPr>
              <w:t>单位</w:t>
            </w:r>
          </w:p>
        </w:tc>
        <w:tc>
          <w:tcPr>
            <w:tcW w:w="425" w:type="dxa"/>
            <w:noWrap w:val="0"/>
            <w:vAlign w:val="center"/>
          </w:tcPr>
          <w:p>
            <w:pPr>
              <w:contextualSpacing/>
              <w:jc w:val="center"/>
              <w:rPr>
                <w:rFonts w:ascii="Times New Roman" w:hAnsi="Times New Roman"/>
                <w:b/>
                <w:bCs/>
                <w:color w:val="000000"/>
                <w:sz w:val="18"/>
                <w:szCs w:val="18"/>
              </w:rPr>
            </w:pPr>
            <w:r>
              <w:rPr>
                <w:rFonts w:ascii="Times New Roman" w:hAnsi="Times New Roman"/>
                <w:b/>
                <w:bCs/>
                <w:color w:val="000000"/>
                <w:sz w:val="18"/>
                <w:szCs w:val="18"/>
              </w:rPr>
              <w:t>数量</w:t>
            </w:r>
          </w:p>
        </w:tc>
        <w:tc>
          <w:tcPr>
            <w:tcW w:w="992" w:type="dxa"/>
            <w:noWrap w:val="0"/>
            <w:vAlign w:val="center"/>
          </w:tcPr>
          <w:p>
            <w:pPr>
              <w:contextualSpacing/>
              <w:jc w:val="center"/>
              <w:rPr>
                <w:rFonts w:ascii="Times New Roman" w:hAnsi="Times New Roman"/>
                <w:b/>
                <w:bCs/>
                <w:color w:val="000000"/>
                <w:sz w:val="18"/>
                <w:szCs w:val="18"/>
              </w:rPr>
            </w:pPr>
            <w:r>
              <w:rPr>
                <w:rFonts w:ascii="Times New Roman" w:hAnsi="Times New Roman"/>
                <w:b/>
                <w:bCs/>
                <w:color w:val="000000"/>
                <w:sz w:val="18"/>
                <w:szCs w:val="18"/>
              </w:rPr>
              <w:t>单价</w:t>
            </w:r>
          </w:p>
          <w:p>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c>
          <w:tcPr>
            <w:tcW w:w="995" w:type="dxa"/>
            <w:noWrap w:val="0"/>
            <w:vAlign w:val="center"/>
          </w:tcPr>
          <w:p>
            <w:pPr>
              <w:contextualSpacing/>
              <w:jc w:val="center"/>
              <w:rPr>
                <w:rFonts w:ascii="Times New Roman" w:hAnsi="Times New Roman"/>
                <w:b/>
                <w:bCs/>
                <w:color w:val="000000"/>
                <w:sz w:val="18"/>
                <w:szCs w:val="18"/>
              </w:rPr>
            </w:pPr>
            <w:r>
              <w:rPr>
                <w:rFonts w:ascii="Times New Roman" w:hAnsi="Times New Roman"/>
                <w:b/>
                <w:bCs/>
                <w:color w:val="000000"/>
                <w:sz w:val="18"/>
                <w:szCs w:val="18"/>
              </w:rPr>
              <w:t>总价</w:t>
            </w:r>
          </w:p>
          <w:p>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pPr>
              <w:contextualSpacing/>
              <w:jc w:val="center"/>
              <w:rPr>
                <w:rFonts w:ascii="Times New Roman" w:hAnsi="Times New Roman"/>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ascii="Times New Roman" w:hAnsi="Times New Roman"/>
              </w:rPr>
              <w:t>1</w:t>
            </w:r>
          </w:p>
        </w:tc>
        <w:tc>
          <w:tcPr>
            <w:tcW w:w="2551" w:type="dxa"/>
            <w:noWrap w:val="0"/>
            <w:vAlign w:val="center"/>
          </w:tcPr>
          <w:p>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985" w:type="dxa"/>
            <w:noWrap w:val="0"/>
            <w:vAlign w:val="center"/>
          </w:tcPr>
          <w:p>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417" w:type="dxa"/>
            <w:noWrap w:val="0"/>
            <w:vAlign w:val="center"/>
          </w:tcPr>
          <w:p>
            <w:pPr>
              <w:contextualSpacing/>
              <w:jc w:val="center"/>
              <w:rPr>
                <w:rFonts w:ascii="Times New Roman" w:hAnsi="Times New Roman"/>
                <w:b/>
                <w:bCs/>
                <w:color w:val="000000"/>
                <w:sz w:val="18"/>
                <w:szCs w:val="18"/>
              </w:rPr>
            </w:pPr>
            <w:r>
              <w:rPr>
                <w:rFonts w:ascii="Times New Roman" w:hAnsi="Times New Roman"/>
                <w:szCs w:val="21"/>
              </w:rPr>
              <w:t>***</w:t>
            </w:r>
          </w:p>
        </w:tc>
        <w:tc>
          <w:tcPr>
            <w:tcW w:w="426" w:type="dxa"/>
            <w:noWrap w:val="0"/>
            <w:vAlign w:val="center"/>
          </w:tcPr>
          <w:p>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425" w:type="dxa"/>
            <w:noWrap w:val="0"/>
            <w:vAlign w:val="center"/>
          </w:tcPr>
          <w:p>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5" w:type="dxa"/>
            <w:noWrap w:val="0"/>
            <w:vAlign w:val="center"/>
          </w:tcPr>
          <w:p>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r>
      <w:permEnd w:id="2"/>
      <w:permEnd w:id="3"/>
      <w:permEnd w:id="4"/>
      <w:permEnd w:id="5"/>
      <w:permEnd w:id="6"/>
      <w:permEnd w:id="7"/>
      <w:permEnd w:id="8"/>
      <w:permEnd w:id="9"/>
      <w:permEnd w:id="1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pPr>
              <w:contextualSpacing/>
              <w:jc w:val="center"/>
              <w:rPr>
                <w:rFonts w:ascii="Times New Roman" w:hAnsi="Times New Roman"/>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ascii="Times New Roman" w:hAnsi="Times New Roman"/>
              </w:rPr>
              <w:t>2</w:t>
            </w:r>
          </w:p>
        </w:tc>
        <w:tc>
          <w:tcPr>
            <w:tcW w:w="2551" w:type="dxa"/>
            <w:noWrap w:val="0"/>
            <w:vAlign w:val="center"/>
          </w:tcPr>
          <w:p>
            <w:pPr>
              <w:contextualSpacing/>
              <w:jc w:val="center"/>
              <w:rPr>
                <w:rFonts w:ascii="Times New Roman" w:hAnsi="Times New Roman"/>
              </w:rPr>
            </w:pPr>
          </w:p>
        </w:tc>
        <w:tc>
          <w:tcPr>
            <w:tcW w:w="1985" w:type="dxa"/>
            <w:noWrap w:val="0"/>
            <w:vAlign w:val="center"/>
          </w:tcPr>
          <w:p>
            <w:pPr>
              <w:contextualSpacing/>
              <w:jc w:val="center"/>
              <w:rPr>
                <w:rFonts w:ascii="Times New Roman" w:hAnsi="Times New Roman"/>
              </w:rPr>
            </w:pPr>
          </w:p>
        </w:tc>
        <w:tc>
          <w:tcPr>
            <w:tcW w:w="992" w:type="dxa"/>
            <w:noWrap w:val="0"/>
            <w:vAlign w:val="center"/>
          </w:tcPr>
          <w:p>
            <w:pPr>
              <w:contextualSpacing/>
              <w:jc w:val="center"/>
              <w:rPr>
                <w:rFonts w:ascii="Times New Roman" w:hAnsi="Times New Roman"/>
              </w:rPr>
            </w:pPr>
          </w:p>
        </w:tc>
        <w:tc>
          <w:tcPr>
            <w:tcW w:w="1417" w:type="dxa"/>
            <w:noWrap w:val="0"/>
            <w:vAlign w:val="center"/>
          </w:tcPr>
          <w:p>
            <w:pPr>
              <w:contextualSpacing/>
              <w:jc w:val="center"/>
              <w:rPr>
                <w:rFonts w:ascii="Times New Roman" w:hAnsi="Times New Roman"/>
              </w:rPr>
            </w:pPr>
          </w:p>
        </w:tc>
        <w:tc>
          <w:tcPr>
            <w:tcW w:w="426" w:type="dxa"/>
            <w:noWrap w:val="0"/>
            <w:vAlign w:val="center"/>
          </w:tcPr>
          <w:p>
            <w:pPr>
              <w:contextualSpacing/>
              <w:jc w:val="center"/>
              <w:rPr>
                <w:rFonts w:ascii="Times New Roman" w:hAnsi="Times New Roman"/>
              </w:rPr>
            </w:pPr>
          </w:p>
        </w:tc>
        <w:tc>
          <w:tcPr>
            <w:tcW w:w="425" w:type="dxa"/>
            <w:noWrap w:val="0"/>
            <w:vAlign w:val="center"/>
          </w:tcPr>
          <w:p>
            <w:pPr>
              <w:contextualSpacing/>
              <w:jc w:val="center"/>
              <w:rPr>
                <w:rFonts w:ascii="Times New Roman" w:hAnsi="Times New Roman"/>
              </w:rPr>
            </w:pPr>
          </w:p>
        </w:tc>
        <w:tc>
          <w:tcPr>
            <w:tcW w:w="992" w:type="dxa"/>
            <w:noWrap w:val="0"/>
            <w:vAlign w:val="center"/>
          </w:tcPr>
          <w:p>
            <w:pPr>
              <w:contextualSpacing/>
              <w:jc w:val="center"/>
              <w:rPr>
                <w:rFonts w:ascii="Times New Roman" w:hAnsi="Times New Roman"/>
              </w:rPr>
            </w:pPr>
          </w:p>
        </w:tc>
        <w:tc>
          <w:tcPr>
            <w:tcW w:w="995" w:type="dxa"/>
            <w:noWrap w:val="0"/>
            <w:vAlign w:val="center"/>
          </w:tcPr>
          <w:p>
            <w:pPr>
              <w:contextualSpacing/>
              <w:jc w:val="center"/>
              <w:rPr>
                <w:rFonts w:ascii="Times New Roman" w:hAnsi="Times New Roman"/>
              </w:rPr>
            </w:pPr>
          </w:p>
        </w:tc>
      </w:tr>
      <w:permEnd w:id="11"/>
      <w:permEnd w:id="12"/>
      <w:permEnd w:id="13"/>
      <w:permEnd w:id="14"/>
      <w:permEnd w:id="15"/>
      <w:permEnd w:id="16"/>
      <w:permEnd w:id="17"/>
      <w:permEnd w:id="18"/>
      <w:permEnd w:id="1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pPr>
              <w:contextualSpacing/>
              <w:jc w:val="center"/>
              <w:rPr>
                <w:rFonts w:ascii="Times New Roman" w:hAnsi="Times New Roman"/>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ascii="Times New Roman" w:hAnsi="Times New Roman"/>
              </w:rPr>
              <w:t>...</w:t>
            </w:r>
          </w:p>
        </w:tc>
        <w:tc>
          <w:tcPr>
            <w:tcW w:w="2551" w:type="dxa"/>
            <w:noWrap w:val="0"/>
            <w:vAlign w:val="center"/>
          </w:tcPr>
          <w:p>
            <w:pPr>
              <w:contextualSpacing/>
              <w:jc w:val="center"/>
              <w:rPr>
                <w:rFonts w:ascii="Times New Roman" w:hAnsi="Times New Roman"/>
              </w:rPr>
            </w:pPr>
          </w:p>
        </w:tc>
        <w:tc>
          <w:tcPr>
            <w:tcW w:w="1985" w:type="dxa"/>
            <w:noWrap w:val="0"/>
            <w:vAlign w:val="center"/>
          </w:tcPr>
          <w:p>
            <w:pPr>
              <w:contextualSpacing/>
              <w:jc w:val="center"/>
              <w:rPr>
                <w:rFonts w:ascii="Times New Roman" w:hAnsi="Times New Roman"/>
              </w:rPr>
            </w:pPr>
          </w:p>
        </w:tc>
        <w:tc>
          <w:tcPr>
            <w:tcW w:w="992" w:type="dxa"/>
            <w:noWrap w:val="0"/>
            <w:vAlign w:val="center"/>
          </w:tcPr>
          <w:p>
            <w:pPr>
              <w:contextualSpacing/>
              <w:jc w:val="center"/>
              <w:rPr>
                <w:rFonts w:ascii="Times New Roman" w:hAnsi="Times New Roman"/>
              </w:rPr>
            </w:pPr>
          </w:p>
        </w:tc>
        <w:tc>
          <w:tcPr>
            <w:tcW w:w="1417" w:type="dxa"/>
            <w:noWrap w:val="0"/>
            <w:vAlign w:val="center"/>
          </w:tcPr>
          <w:p>
            <w:pPr>
              <w:contextualSpacing/>
              <w:jc w:val="center"/>
              <w:rPr>
                <w:rFonts w:ascii="Times New Roman" w:hAnsi="Times New Roman"/>
              </w:rPr>
            </w:pPr>
          </w:p>
        </w:tc>
        <w:tc>
          <w:tcPr>
            <w:tcW w:w="426" w:type="dxa"/>
            <w:noWrap w:val="0"/>
            <w:vAlign w:val="center"/>
          </w:tcPr>
          <w:p>
            <w:pPr>
              <w:contextualSpacing/>
              <w:jc w:val="center"/>
              <w:rPr>
                <w:rFonts w:ascii="Times New Roman" w:hAnsi="Times New Roman"/>
              </w:rPr>
            </w:pPr>
          </w:p>
        </w:tc>
        <w:tc>
          <w:tcPr>
            <w:tcW w:w="425" w:type="dxa"/>
            <w:noWrap w:val="0"/>
            <w:vAlign w:val="center"/>
          </w:tcPr>
          <w:p>
            <w:pPr>
              <w:contextualSpacing/>
              <w:jc w:val="center"/>
              <w:rPr>
                <w:rFonts w:ascii="Times New Roman" w:hAnsi="Times New Roman"/>
              </w:rPr>
            </w:pPr>
          </w:p>
        </w:tc>
        <w:tc>
          <w:tcPr>
            <w:tcW w:w="992" w:type="dxa"/>
            <w:noWrap w:val="0"/>
            <w:vAlign w:val="center"/>
          </w:tcPr>
          <w:p>
            <w:pPr>
              <w:contextualSpacing/>
              <w:jc w:val="center"/>
              <w:rPr>
                <w:rFonts w:ascii="Times New Roman" w:hAnsi="Times New Roman"/>
              </w:rPr>
            </w:pPr>
          </w:p>
        </w:tc>
        <w:tc>
          <w:tcPr>
            <w:tcW w:w="995" w:type="dxa"/>
            <w:noWrap w:val="0"/>
            <w:vAlign w:val="center"/>
          </w:tcPr>
          <w:p>
            <w:pPr>
              <w:contextualSpacing/>
              <w:jc w:val="center"/>
              <w:rPr>
                <w:rFonts w:ascii="Times New Roman" w:hAnsi="Times New Roman"/>
              </w:rPr>
            </w:pPr>
          </w:p>
        </w:tc>
      </w:tr>
      <w:permEnd w:id="20"/>
      <w:permEnd w:id="21"/>
      <w:permEnd w:id="22"/>
      <w:permEnd w:id="23"/>
      <w:permEnd w:id="24"/>
      <w:permEnd w:id="25"/>
      <w:permEnd w:id="26"/>
      <w:permEnd w:id="27"/>
      <w:permEnd w:id="28"/>
    </w:tbl>
    <w:p>
      <w:pPr>
        <w:pStyle w:val="29"/>
        <w:numPr>
          <w:ilvl w:val="0"/>
          <w:numId w:val="14"/>
        </w:numPr>
        <w:ind w:left="0" w:firstLine="0" w:firstLineChars="0"/>
        <w:rPr>
          <w:rFonts w:ascii="Times New Roman" w:hAnsi="Times New Roman"/>
          <w:color w:val="000000"/>
          <w:szCs w:val="21"/>
        </w:rPr>
      </w:pPr>
      <w:r>
        <w:rPr>
          <w:rFonts w:ascii="Times New Roman" w:hAnsi="Times New Roman"/>
          <w:color w:val="000000"/>
          <w:szCs w:val="21"/>
        </w:rPr>
        <w:t>货物具体配置详见附件1：</w:t>
      </w:r>
      <w:r>
        <w:rPr>
          <w:rFonts w:hint="eastAsia" w:ascii="Times New Roman" w:hAnsi="Times New Roman"/>
          <w:color w:val="000000"/>
          <w:szCs w:val="21"/>
        </w:rPr>
        <w:t>《</w:t>
      </w:r>
      <w:r>
        <w:rPr>
          <w:rFonts w:ascii="Times New Roman" w:hAnsi="Times New Roman"/>
          <w:color w:val="000000"/>
          <w:szCs w:val="21"/>
        </w:rPr>
        <w:t>配置清单</w:t>
      </w:r>
      <w:r>
        <w:rPr>
          <w:rFonts w:hint="eastAsia" w:ascii="Times New Roman" w:hAnsi="Times New Roman"/>
          <w:color w:val="000000"/>
          <w:szCs w:val="21"/>
        </w:rPr>
        <w:t>》。</w:t>
      </w:r>
    </w:p>
    <w:p>
      <w:pPr>
        <w:pStyle w:val="29"/>
        <w:numPr>
          <w:ilvl w:val="0"/>
          <w:numId w:val="14"/>
        </w:numPr>
        <w:ind w:left="0" w:firstLine="0" w:firstLineChars="0"/>
        <w:rPr>
          <w:rFonts w:ascii="Times New Roman" w:hAnsi="Times New Roman"/>
          <w:color w:val="000000"/>
          <w:szCs w:val="21"/>
        </w:rPr>
      </w:pPr>
      <w:r>
        <w:rPr>
          <w:rFonts w:ascii="Times New Roman" w:hAnsi="Times New Roman"/>
          <w:color w:val="000000"/>
          <w:szCs w:val="21"/>
        </w:rPr>
        <w:t>货物具体技术参数详见附件2：</w:t>
      </w:r>
      <w:r>
        <w:rPr>
          <w:rFonts w:hint="eastAsia" w:ascii="Times New Roman" w:hAnsi="Times New Roman"/>
          <w:color w:val="000000"/>
          <w:szCs w:val="21"/>
        </w:rPr>
        <w:t>《</w:t>
      </w:r>
      <w:r>
        <w:rPr>
          <w:rFonts w:ascii="Times New Roman" w:hAnsi="Times New Roman"/>
          <w:color w:val="000000"/>
          <w:szCs w:val="21"/>
        </w:rPr>
        <w:t>货物技术参数</w:t>
      </w:r>
      <w:r>
        <w:rPr>
          <w:rFonts w:hint="eastAsia" w:ascii="Times New Roman" w:hAnsi="Times New Roman"/>
          <w:color w:val="000000"/>
          <w:szCs w:val="21"/>
        </w:rPr>
        <w:t>》。</w:t>
      </w:r>
    </w:p>
    <w:p>
      <w:pPr>
        <w:pStyle w:val="29"/>
        <w:numPr>
          <w:ilvl w:val="0"/>
          <w:numId w:val="13"/>
        </w:numPr>
        <w:snapToGrid w:val="0"/>
        <w:ind w:firstLineChars="0"/>
        <w:rPr>
          <w:rFonts w:ascii="Times New Roman" w:hAnsi="Times New Roman"/>
          <w:b/>
          <w:bCs/>
          <w:szCs w:val="21"/>
        </w:rPr>
      </w:pPr>
      <w:r>
        <w:rPr>
          <w:rFonts w:ascii="Times New Roman" w:hAnsi="Times New Roman"/>
          <w:b/>
          <w:bCs/>
          <w:szCs w:val="21"/>
        </w:rPr>
        <w:t>合同总价</w:t>
      </w:r>
    </w:p>
    <w:p>
      <w:pPr>
        <w:pStyle w:val="29"/>
        <w:ind w:firstLine="0" w:firstLineChars="0"/>
        <w:jc w:val="left"/>
        <w:rPr>
          <w:rFonts w:ascii="Times New Roman" w:hAnsi="Times New Roman"/>
          <w:szCs w:val="21"/>
        </w:rPr>
      </w:pPr>
      <w:r>
        <w:rPr>
          <w:rFonts w:ascii="Times New Roman" w:hAnsi="Times New Roman"/>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pPr>
        <w:pStyle w:val="29"/>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pPr>
        <w:pStyle w:val="29"/>
        <w:numPr>
          <w:ilvl w:val="0"/>
          <w:numId w:val="13"/>
        </w:numPr>
        <w:snapToGrid w:val="0"/>
        <w:ind w:firstLineChars="0"/>
        <w:rPr>
          <w:rFonts w:ascii="Times New Roman" w:hAnsi="Times New Roman"/>
          <w:b/>
          <w:bCs/>
          <w:szCs w:val="21"/>
        </w:rPr>
      </w:pPr>
      <w:r>
        <w:rPr>
          <w:rFonts w:ascii="Times New Roman" w:hAnsi="Times New Roman"/>
          <w:b/>
          <w:bCs/>
          <w:szCs w:val="21"/>
        </w:rPr>
        <w:t>质量要求</w:t>
      </w:r>
    </w:p>
    <w:p>
      <w:pPr>
        <w:pStyle w:val="29"/>
        <w:numPr>
          <w:ilvl w:val="0"/>
          <w:numId w:val="15"/>
        </w:numPr>
        <w:snapToGrid w:val="0"/>
        <w:ind w:left="0" w:firstLine="0" w:firstLineChars="0"/>
        <w:rPr>
          <w:rFonts w:ascii="Times New Roman" w:hAnsi="Times New Roman"/>
          <w:szCs w:val="21"/>
        </w:rPr>
      </w:pPr>
      <w:r>
        <w:rPr>
          <w:rFonts w:ascii="Times New Roman" w:hAnsi="Times New Roman"/>
          <w:szCs w:val="21"/>
        </w:rPr>
        <w:t>乙方须</w:t>
      </w:r>
      <w:r>
        <w:rPr>
          <w:rFonts w:hint="eastAsia" w:ascii="Times New Roman" w:hAnsi="Times New Roman"/>
          <w:szCs w:val="21"/>
        </w:rPr>
        <w:t>保证向甲方提</w:t>
      </w:r>
      <w:r>
        <w:rPr>
          <w:rFonts w:ascii="Times New Roman" w:hAnsi="Times New Roman"/>
          <w:szCs w:val="21"/>
        </w:rPr>
        <w:t>供的</w:t>
      </w:r>
      <w:r>
        <w:rPr>
          <w:rFonts w:hint="eastAsia" w:ascii="Times New Roman" w:hAnsi="Times New Roman"/>
          <w:szCs w:val="21"/>
        </w:rPr>
        <w:t>货物</w:t>
      </w:r>
      <w:r>
        <w:rPr>
          <w:rFonts w:ascii="Times New Roman" w:hAnsi="Times New Roman"/>
          <w:szCs w:val="21"/>
        </w:rPr>
        <w:t>（含零部件、配件等）</w:t>
      </w:r>
      <w:r>
        <w:rPr>
          <w:rFonts w:hint="eastAsia" w:ascii="Times New Roman" w:hAnsi="Times New Roman"/>
          <w:szCs w:val="21"/>
        </w:rPr>
        <w:t>是完整、全新的，并在性能、质量和设计方面满足安全、可靠和高效运行与方便维护的全部要求。</w:t>
      </w:r>
    </w:p>
    <w:p>
      <w:pPr>
        <w:pStyle w:val="29"/>
        <w:numPr>
          <w:ilvl w:val="0"/>
          <w:numId w:val="15"/>
        </w:numPr>
        <w:snapToGrid w:val="0"/>
        <w:ind w:left="0" w:firstLine="0" w:firstLineChars="0"/>
        <w:rPr>
          <w:rFonts w:ascii="Times New Roman" w:hAnsi="Times New Roman"/>
          <w:szCs w:val="21"/>
        </w:rPr>
      </w:pPr>
      <w:r>
        <w:rPr>
          <w:rFonts w:ascii="Times New Roman" w:hAnsi="Times New Roman"/>
          <w:szCs w:val="21"/>
        </w:rPr>
        <w:t>货物必须符合或优于国家（行业）标准，以及本项目采购文件的质量要求和技术指标与出厂标准。</w:t>
      </w:r>
    </w:p>
    <w:p>
      <w:pPr>
        <w:pStyle w:val="29"/>
        <w:numPr>
          <w:ilvl w:val="0"/>
          <w:numId w:val="15"/>
        </w:numPr>
        <w:snapToGrid w:val="0"/>
        <w:ind w:left="0" w:firstLine="0" w:firstLineChars="0"/>
        <w:rPr>
          <w:rFonts w:ascii="Times New Roman" w:hAnsi="Times New Roman"/>
          <w:szCs w:val="21"/>
        </w:rPr>
      </w:pPr>
      <w:r>
        <w:rPr>
          <w:rFonts w:ascii="Times New Roman" w:hAnsi="Times New Roman"/>
          <w:szCs w:val="21"/>
        </w:rPr>
        <w:t>货物制造质量出现问题，乙方应负责按照第</w:t>
      </w:r>
      <w:r>
        <w:rPr>
          <w:rFonts w:hint="eastAsia" w:ascii="Times New Roman" w:hAnsi="Times New Roman"/>
          <w:szCs w:val="21"/>
        </w:rPr>
        <w:t>十</w:t>
      </w:r>
      <w:r>
        <w:rPr>
          <w:rFonts w:ascii="Times New Roman" w:hAnsi="Times New Roman"/>
          <w:szCs w:val="21"/>
        </w:rPr>
        <w:t>条承担责任，费用由乙方负担。</w:t>
      </w:r>
    </w:p>
    <w:p>
      <w:pPr>
        <w:pStyle w:val="29"/>
        <w:numPr>
          <w:ilvl w:val="0"/>
          <w:numId w:val="15"/>
        </w:numPr>
        <w:snapToGrid w:val="0"/>
        <w:ind w:left="0" w:firstLine="0" w:firstLineChars="0"/>
        <w:rPr>
          <w:rFonts w:ascii="Times New Roman" w:hAnsi="Times New Roman"/>
          <w:szCs w:val="21"/>
        </w:rPr>
      </w:pPr>
      <w:r>
        <w:rPr>
          <w:rFonts w:ascii="Times New Roman" w:hAnsi="Times New Roman"/>
          <w:szCs w:val="21"/>
        </w:rPr>
        <w:t>如因货物质量问题导致甲方无法正常使用或影响使用效果，由此与患者发生纠纷而导致甲方赔偿，乙方对此承担全部责任。</w:t>
      </w:r>
    </w:p>
    <w:p>
      <w:pPr>
        <w:pStyle w:val="29"/>
        <w:numPr>
          <w:ilvl w:val="0"/>
          <w:numId w:val="15"/>
        </w:numPr>
        <w:snapToGrid w:val="0"/>
        <w:ind w:firstLineChars="0"/>
        <w:rPr>
          <w:rFonts w:ascii="Times New Roman" w:hAnsi="Times New Roman"/>
          <w:szCs w:val="21"/>
        </w:rPr>
      </w:pPr>
      <w:r>
        <w:rPr>
          <w:rFonts w:ascii="Times New Roman" w:hAnsi="Times New Roman"/>
          <w:szCs w:val="21"/>
        </w:rPr>
        <w:t>甲方人员参与合同货物开箱、调试等行为均不免除乙方及厂家对合同货物质量所应负责任。</w:t>
      </w:r>
    </w:p>
    <w:p>
      <w:pPr>
        <w:pStyle w:val="29"/>
        <w:numPr>
          <w:ilvl w:val="0"/>
          <w:numId w:val="15"/>
        </w:numPr>
        <w:snapToGrid w:val="0"/>
        <w:ind w:firstLineChars="0"/>
        <w:rPr>
          <w:rFonts w:ascii="Times New Roman" w:hAnsi="Times New Roman"/>
          <w:szCs w:val="21"/>
        </w:rPr>
      </w:pPr>
      <w:r>
        <w:rPr>
          <w:rFonts w:hint="eastAsia" w:ascii="Times New Roman" w:hAnsi="Times New Roman"/>
          <w:szCs w:val="21"/>
        </w:rPr>
        <w:t>本合同采购的货物涉及成品软件的，乙方应保证以下内容（本合同另有约定除外）：</w:t>
      </w:r>
    </w:p>
    <w:p>
      <w:pPr>
        <w:pStyle w:val="29"/>
        <w:numPr>
          <w:ilvl w:val="0"/>
          <w:numId w:val="16"/>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本合同中提供给甲方的软件产品是其产品原厂发布的最新版本。</w:t>
      </w:r>
    </w:p>
    <w:p>
      <w:pPr>
        <w:pStyle w:val="29"/>
        <w:numPr>
          <w:ilvl w:val="0"/>
          <w:numId w:val="16"/>
        </w:numPr>
        <w:snapToGrid w:val="0"/>
        <w:ind w:left="525" w:hanging="525" w:hangingChars="250"/>
        <w:rPr>
          <w:rFonts w:hint="eastAsia" w:ascii="Times New Roman" w:hAnsi="Times New Roman"/>
          <w:szCs w:val="21"/>
        </w:rPr>
      </w:pPr>
      <w:r>
        <w:rPr>
          <w:rFonts w:hint="eastAsia" w:ascii="Times New Roman" w:hAnsi="Times New Roman"/>
          <w:szCs w:val="21"/>
        </w:rPr>
        <w:t>负责软件功能的升级、维护和文档更新，不再收取任何费用。</w:t>
      </w:r>
    </w:p>
    <w:p>
      <w:pPr>
        <w:pStyle w:val="29"/>
        <w:numPr>
          <w:ilvl w:val="0"/>
          <w:numId w:val="16"/>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本合同中提供给甲方的软件产品不存在定期密码输入等使用和功能上的限制。</w:t>
      </w:r>
    </w:p>
    <w:p>
      <w:pPr>
        <w:pStyle w:val="29"/>
        <w:numPr>
          <w:ilvl w:val="0"/>
          <w:numId w:val="16"/>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6"/>
        </w:numPr>
        <w:snapToGrid w:val="0"/>
        <w:ind w:left="525" w:hanging="525" w:hangingChars="250"/>
        <w:rPr>
          <w:rFonts w:ascii="Times New Roman" w:hAnsi="Times New Roman"/>
          <w:szCs w:val="21"/>
        </w:rPr>
      </w:pPr>
      <w:r>
        <w:rPr>
          <w:rFonts w:hint="eastAsia" w:ascii="Times New Roman" w:hAnsi="Times New Roman"/>
          <w:szCs w:val="21"/>
        </w:rPr>
        <w:t>本合同中提供给甲方的软件产品需要严格遵守相关网络信息安全规定。</w:t>
      </w:r>
    </w:p>
    <w:p>
      <w:pPr>
        <w:pStyle w:val="29"/>
        <w:numPr>
          <w:ilvl w:val="0"/>
          <w:numId w:val="16"/>
        </w:numPr>
        <w:snapToGrid w:val="0"/>
        <w:ind w:left="525" w:hanging="525" w:hangingChars="250"/>
        <w:rPr>
          <w:rFonts w:hint="eastAsia" w:ascii="Times New Roman" w:hAnsi="Times New Roman"/>
          <w:szCs w:val="21"/>
        </w:rPr>
      </w:pPr>
      <w:r>
        <w:rPr>
          <w:rFonts w:hint="eastAsia" w:ascii="Times New Roman" w:hAnsi="Times New Roman"/>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3"/>
        </w:numPr>
        <w:snapToGrid w:val="0"/>
        <w:ind w:firstLineChars="0"/>
        <w:rPr>
          <w:rFonts w:ascii="Times New Roman" w:hAnsi="Times New Roman"/>
          <w:b/>
          <w:bCs/>
          <w:szCs w:val="21"/>
        </w:rPr>
      </w:pPr>
      <w:r>
        <w:rPr>
          <w:rFonts w:hint="eastAsia" w:ascii="Times New Roman" w:hAnsi="Times New Roman"/>
          <w:b/>
          <w:bCs/>
          <w:szCs w:val="21"/>
        </w:rPr>
        <w:t>交付</w:t>
      </w:r>
    </w:p>
    <w:p>
      <w:pPr>
        <w:pStyle w:val="29"/>
        <w:snapToGrid w:val="0"/>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合同签订生效</w:t>
      </w:r>
      <w:r>
        <w:rPr>
          <w:rFonts w:hint="eastAsia" w:ascii="Times New Roman" w:hAnsi="Times New Roman"/>
          <w:szCs w:val="21"/>
        </w:rPr>
        <w:t>后*</w:t>
      </w:r>
      <w:r>
        <w:rPr>
          <w:rFonts w:ascii="Times New Roman" w:hAnsi="Times New Roman"/>
          <w:szCs w:val="21"/>
        </w:rPr>
        <w:t>**</w:t>
      </w:r>
      <w:r>
        <w:rPr>
          <w:rFonts w:ascii="Times New Roman" w:hAnsi="Times New Roman"/>
        </w:rPr>
        <w:t>天</w:t>
      </w:r>
      <w:r>
        <w:rPr>
          <w:rFonts w:ascii="Times New Roman" w:hAnsi="Times New Roman"/>
          <w:szCs w:val="21"/>
        </w:rPr>
        <w:t>内</w:t>
      </w:r>
      <w:r>
        <w:rPr>
          <w:rFonts w:hint="eastAsia" w:ascii="Times New Roman" w:hAnsi="Times New Roman"/>
          <w:szCs w:val="21"/>
        </w:rPr>
        <w:t>由乙方在*</w:t>
      </w:r>
      <w:r>
        <w:rPr>
          <w:rFonts w:ascii="Times New Roman" w:hAnsi="Times New Roman"/>
          <w:szCs w:val="21"/>
        </w:rPr>
        <w:t>**</w:t>
      </w:r>
      <w:r>
        <w:rPr>
          <w:rFonts w:hint="eastAsia" w:ascii="Times New Roman" w:hAnsi="Times New Roman"/>
          <w:szCs w:val="21"/>
        </w:rPr>
        <w:t>向甲方交付本合同约定的全部货物，</w:t>
      </w:r>
      <w:r>
        <w:rPr>
          <w:rFonts w:ascii="Times New Roman" w:hAnsi="Times New Roman"/>
          <w:szCs w:val="21"/>
        </w:rPr>
        <w:t>并于</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日内</w:t>
      </w:r>
      <w:r>
        <w:rPr>
          <w:rFonts w:ascii="Times New Roman" w:hAnsi="Times New Roman"/>
          <w:szCs w:val="21"/>
        </w:rPr>
        <w:t>安装调试完毕</w:t>
      </w:r>
      <w:r>
        <w:rPr>
          <w:rFonts w:hint="eastAsia" w:ascii="Times New Roman" w:hAnsi="Times New Roman"/>
          <w:szCs w:val="21"/>
        </w:rPr>
        <w:t>且具备验收条件。</w:t>
      </w:r>
      <w:r>
        <w:rPr>
          <w:rFonts w:ascii="Times New Roman" w:hAnsi="Times New Roman"/>
          <w:szCs w:val="21"/>
        </w:rPr>
        <w:t>货物验收合格前，毁损灭失的风险由乙方承担。</w:t>
      </w:r>
    </w:p>
    <w:p>
      <w:pPr>
        <w:pStyle w:val="29"/>
        <w:numPr>
          <w:ilvl w:val="0"/>
          <w:numId w:val="13"/>
        </w:numPr>
        <w:snapToGrid w:val="0"/>
        <w:ind w:firstLineChars="0"/>
        <w:rPr>
          <w:rFonts w:hint="eastAsia" w:ascii="Times New Roman" w:hAnsi="Times New Roman"/>
          <w:b/>
          <w:bCs/>
          <w:szCs w:val="21"/>
        </w:rPr>
      </w:pPr>
      <w:r>
        <w:rPr>
          <w:rFonts w:hint="eastAsia" w:ascii="Times New Roman" w:hAnsi="Times New Roman"/>
          <w:b/>
          <w:bCs/>
          <w:szCs w:val="21"/>
        </w:rPr>
        <w:t>验收</w:t>
      </w:r>
    </w:p>
    <w:p>
      <w:pPr>
        <w:pStyle w:val="29"/>
        <w:numPr>
          <w:ilvl w:val="0"/>
          <w:numId w:val="17"/>
        </w:numPr>
        <w:snapToGrid w:val="0"/>
        <w:ind w:left="0" w:firstLine="0" w:firstLineChars="0"/>
        <w:contextualSpacing/>
        <w:rPr>
          <w:rFonts w:ascii="Times New Roman" w:hAnsi="Times New Roman"/>
        </w:rPr>
      </w:pPr>
      <w:r>
        <w:rPr>
          <w:rFonts w:ascii="Times New Roman" w:hAnsi="Times New Roman"/>
        </w:rPr>
        <w:t>甲、乙双方确定，按照本合同约定的验收方案对乙方交付的</w:t>
      </w:r>
      <w:r>
        <w:rPr>
          <w:rFonts w:hint="eastAsia" w:ascii="Times New Roman" w:hAnsi="Times New Roman"/>
        </w:rPr>
        <w:t>货物</w:t>
      </w:r>
      <w:r>
        <w:rPr>
          <w:rFonts w:ascii="Times New Roman" w:hAnsi="Times New Roman"/>
        </w:rPr>
        <w:t>进行验收。</w:t>
      </w:r>
    </w:p>
    <w:p>
      <w:pPr>
        <w:pStyle w:val="29"/>
        <w:numPr>
          <w:ilvl w:val="0"/>
          <w:numId w:val="17"/>
        </w:numPr>
        <w:snapToGrid w:val="0"/>
        <w:ind w:left="0" w:firstLine="0" w:firstLineChars="0"/>
        <w:contextualSpacing/>
        <w:rPr>
          <w:rFonts w:ascii="Times New Roman" w:hAnsi="Times New Roman"/>
        </w:rPr>
      </w:pPr>
      <w:r>
        <w:rPr>
          <w:rFonts w:ascii="Times New Roman" w:hAnsi="Times New Roman"/>
        </w:rPr>
        <w:t>验收方案：</w:t>
      </w:r>
    </w:p>
    <w:p>
      <w:pPr>
        <w:pStyle w:val="29"/>
        <w:numPr>
          <w:ilvl w:val="0"/>
          <w:numId w:val="18"/>
        </w:numPr>
        <w:snapToGrid w:val="0"/>
        <w:ind w:left="525" w:hanging="525" w:hangingChars="250"/>
        <w:contextualSpacing/>
        <w:rPr>
          <w:rFonts w:ascii="Times New Roman" w:hAnsi="Times New Roman"/>
        </w:rPr>
      </w:pPr>
      <w:r>
        <w:rPr>
          <w:rFonts w:ascii="Times New Roman" w:hAnsi="Times New Roman"/>
        </w:rPr>
        <w:t>验收主体：甲方</w:t>
      </w:r>
    </w:p>
    <w:p>
      <w:pPr>
        <w:pStyle w:val="29"/>
        <w:numPr>
          <w:ilvl w:val="0"/>
          <w:numId w:val="18"/>
        </w:numPr>
        <w:snapToGrid w:val="0"/>
        <w:ind w:left="525" w:hanging="525" w:hangingChars="250"/>
        <w:contextualSpacing/>
        <w:rPr>
          <w:rFonts w:ascii="Times New Roman" w:hAnsi="Times New Roman"/>
        </w:rPr>
      </w:pPr>
      <w:r>
        <w:rPr>
          <w:rFonts w:ascii="Times New Roman" w:hAnsi="Times New Roman"/>
        </w:rPr>
        <w:t>验收组织方式：自行验收</w:t>
      </w:r>
    </w:p>
    <w:p>
      <w:pPr>
        <w:pStyle w:val="29"/>
        <w:numPr>
          <w:ilvl w:val="0"/>
          <w:numId w:val="18"/>
        </w:numPr>
        <w:snapToGrid w:val="0"/>
        <w:ind w:left="525" w:hanging="525" w:hangingChars="250"/>
        <w:contextualSpacing/>
        <w:rPr>
          <w:rFonts w:ascii="Times New Roman" w:hAnsi="Times New Roman"/>
          <w:color w:val="333333"/>
          <w:kern w:val="0"/>
          <w:szCs w:val="21"/>
          <w:shd w:val="clear" w:color="auto" w:fill="FFFFFF"/>
        </w:rPr>
      </w:pPr>
      <w:r>
        <w:rPr>
          <w:rFonts w:ascii="Times New Roman" w:hAnsi="Times New Roman"/>
        </w:rPr>
        <w:t>验收程序：</w:t>
      </w:r>
      <w:r>
        <w:rPr/>
        <w:sym w:font="Wingdings 2" w:char="F052"/>
      </w:r>
      <w:r>
        <w:rPr>
          <w:rFonts w:ascii="Times New Roman" w:hAnsi="Times New Roman"/>
          <w:kern w:val="0"/>
          <w:szCs w:val="21"/>
          <w:shd w:val="clear" w:color="auto" w:fill="FFFFFF"/>
        </w:rPr>
        <w:t xml:space="preserve">一次性验收   </w:t>
      </w:r>
      <w:r>
        <w:rPr>
          <w:shd w:val="clear" w:color="auto" w:fill="FFFFFF"/>
        </w:rPr>
        <w:sym w:font="Wingdings" w:char="F0A8"/>
      </w:r>
      <w:r>
        <w:rPr>
          <w:rFonts w:ascii="Times New Roman" w:hAnsi="Times New Roman"/>
          <w:kern w:val="0"/>
          <w:szCs w:val="21"/>
          <w:shd w:val="clear" w:color="auto" w:fill="FFFFFF"/>
        </w:rPr>
        <w:t>分段/分期验收</w:t>
      </w:r>
    </w:p>
    <w:p>
      <w:pPr>
        <w:pStyle w:val="29"/>
        <w:numPr>
          <w:ilvl w:val="0"/>
          <w:numId w:val="18"/>
        </w:numPr>
        <w:snapToGrid w:val="0"/>
        <w:ind w:left="525" w:hanging="525" w:hangingChars="250"/>
        <w:contextualSpacing/>
        <w:rPr>
          <w:rFonts w:ascii="Times New Roman" w:hAnsi="Times New Roman"/>
        </w:rPr>
      </w:pPr>
      <w:r>
        <w:rPr>
          <w:rFonts w:ascii="Times New Roman" w:hAnsi="Times New Roman"/>
        </w:rPr>
        <w:t>验收方式：现场整体验收</w:t>
      </w:r>
    </w:p>
    <w:p>
      <w:pPr>
        <w:pStyle w:val="29"/>
        <w:numPr>
          <w:ilvl w:val="0"/>
          <w:numId w:val="18"/>
        </w:numPr>
        <w:snapToGrid w:val="0"/>
        <w:ind w:left="525" w:hanging="525" w:hangingChars="250"/>
        <w:contextualSpacing/>
        <w:rPr>
          <w:rFonts w:ascii="Times New Roman" w:hAnsi="Times New Roman"/>
        </w:rPr>
      </w:pPr>
      <w:r>
        <w:rPr>
          <w:rFonts w:ascii="Times New Roman" w:hAnsi="Times New Roman"/>
        </w:rPr>
        <w:t>履约验收内容：</w:t>
      </w:r>
      <w:r>
        <w:rPr>
          <w:rFonts w:hint="eastAsia" w:ascii="Times New Roman" w:hAnsi="Times New Roman"/>
        </w:rPr>
        <w:t>按照甲方</w:t>
      </w:r>
      <w:r>
        <w:rPr>
          <w:rFonts w:ascii="Times New Roman" w:hAnsi="Times New Roman"/>
        </w:rPr>
        <w:t>采购文件要求及乙方响应文件情况，由乙方向甲方交付的全部内容。</w:t>
      </w:r>
    </w:p>
    <w:p>
      <w:pPr>
        <w:pStyle w:val="29"/>
        <w:numPr>
          <w:ilvl w:val="0"/>
          <w:numId w:val="18"/>
        </w:numPr>
        <w:snapToGrid w:val="0"/>
        <w:ind w:left="525" w:hanging="525" w:hangingChars="250"/>
        <w:contextualSpacing/>
        <w:rPr>
          <w:rFonts w:ascii="Times New Roman" w:hAnsi="Times New Roman"/>
        </w:rPr>
      </w:pPr>
      <w:r>
        <w:rPr>
          <w:rFonts w:ascii="Times New Roman" w:hAnsi="Times New Roman"/>
        </w:rPr>
        <w:t>履约验收时间：供应商完成本项目涉及的所有</w:t>
      </w:r>
      <w:r>
        <w:rPr>
          <w:rFonts w:hint="eastAsia" w:ascii="Times New Roman" w:hAnsi="Times New Roman"/>
        </w:rPr>
        <w:t>货物</w:t>
      </w:r>
      <w:r>
        <w:rPr>
          <w:rFonts w:ascii="Times New Roman" w:hAnsi="Times New Roman"/>
        </w:rPr>
        <w:t>的安装、调试并具备验收条件后于5日内通知甲方验收，甲方接乙方通知后10日内组织验收。</w:t>
      </w:r>
    </w:p>
    <w:p>
      <w:pPr>
        <w:pStyle w:val="29"/>
        <w:numPr>
          <w:ilvl w:val="0"/>
          <w:numId w:val="18"/>
        </w:numPr>
        <w:snapToGrid w:val="0"/>
        <w:ind w:left="525" w:hanging="525" w:hangingChars="250"/>
        <w:contextualSpacing/>
        <w:rPr>
          <w:rFonts w:ascii="Times New Roman" w:hAnsi="Times New Roman"/>
        </w:rPr>
      </w:pPr>
      <w:r>
        <w:rPr>
          <w:rFonts w:ascii="Times New Roman" w:hAnsi="Times New Roman"/>
        </w:rPr>
        <w:t xml:space="preserve">是否邀请本项目的其他供应商：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pPr>
        <w:pStyle w:val="29"/>
        <w:numPr>
          <w:ilvl w:val="0"/>
          <w:numId w:val="18"/>
        </w:numPr>
        <w:snapToGrid w:val="0"/>
        <w:ind w:left="525" w:hanging="525" w:hangingChars="250"/>
        <w:contextualSpacing/>
        <w:rPr>
          <w:rFonts w:ascii="Times New Roman" w:hAnsi="Times New Roman"/>
        </w:rPr>
      </w:pPr>
      <w:r>
        <w:rPr>
          <w:rFonts w:ascii="Times New Roman" w:hAnsi="Times New Roman"/>
        </w:rPr>
        <w:t xml:space="preserve">是否邀请专家：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pPr>
        <w:pStyle w:val="29"/>
        <w:numPr>
          <w:ilvl w:val="0"/>
          <w:numId w:val="18"/>
        </w:numPr>
        <w:snapToGrid w:val="0"/>
        <w:ind w:left="525" w:hanging="525" w:hangingChars="250"/>
        <w:contextualSpacing/>
        <w:rPr>
          <w:rFonts w:ascii="Times New Roman" w:hAnsi="Times New Roman"/>
        </w:rPr>
      </w:pPr>
      <w:r>
        <w:rPr>
          <w:rFonts w:ascii="Times New Roman" w:hAnsi="Times New Roman"/>
        </w:rPr>
        <w:t xml:space="preserve">是否邀请服务对象：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pPr>
        <w:pStyle w:val="29"/>
        <w:numPr>
          <w:ilvl w:val="0"/>
          <w:numId w:val="18"/>
        </w:numPr>
        <w:snapToGrid w:val="0"/>
        <w:ind w:left="525" w:hanging="525" w:hangingChars="250"/>
        <w:contextualSpacing/>
        <w:rPr>
          <w:rFonts w:ascii="Times New Roman" w:hAnsi="Times New Roman"/>
          <w:szCs w:val="21"/>
        </w:rPr>
      </w:pPr>
      <w:r>
        <w:rPr>
          <w:rFonts w:ascii="Times New Roman" w:hAnsi="Times New Roman"/>
          <w:szCs w:val="21"/>
        </w:rPr>
        <w:t xml:space="preserve">是否邀请第三方检测机构： </w:t>
      </w:r>
      <w:r>
        <w:rPr>
          <w:rFonts w:ascii="Times New Roman" w:hAnsi="Times New Roman"/>
          <w:szCs w:val="21"/>
        </w:rPr>
        <w:sym w:font="Wingdings" w:char="F0A8"/>
      </w:r>
      <w:r>
        <w:rPr>
          <w:rFonts w:ascii="Times New Roman" w:hAnsi="Times New Roman"/>
          <w:szCs w:val="21"/>
        </w:rPr>
        <w:t xml:space="preserve">是   </w:t>
      </w:r>
      <w:r>
        <w:rPr>
          <w:rFonts w:ascii="Times New Roman" w:hAnsi="Times New Roman"/>
          <w:szCs w:val="21"/>
        </w:rPr>
        <w:sym w:font="Wingdings 2" w:char="F052"/>
      </w:r>
      <w:r>
        <w:rPr>
          <w:rFonts w:ascii="Times New Roman" w:hAnsi="Times New Roman"/>
          <w:szCs w:val="21"/>
        </w:rPr>
        <w:t>否</w:t>
      </w:r>
    </w:p>
    <w:p>
      <w:pPr>
        <w:pStyle w:val="29"/>
        <w:numPr>
          <w:ilvl w:val="0"/>
          <w:numId w:val="18"/>
        </w:numPr>
        <w:snapToGrid w:val="0"/>
        <w:ind w:left="525" w:hanging="525" w:hangingChars="250"/>
        <w:contextualSpacing/>
        <w:rPr>
          <w:rFonts w:ascii="Times New Roman" w:hAnsi="Times New Roman"/>
        </w:rPr>
      </w:pPr>
      <w:r>
        <w:rPr>
          <w:rFonts w:ascii="Times New Roman" w:hAnsi="Times New Roman"/>
        </w:rPr>
        <w:t>验收标准：</w:t>
      </w:r>
    </w:p>
    <w:p>
      <w:pPr>
        <w:pStyle w:val="9"/>
        <w:numPr>
          <w:ilvl w:val="0"/>
          <w:numId w:val="19"/>
        </w:numPr>
        <w:snapToGrid w:val="0"/>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pPr>
        <w:pStyle w:val="9"/>
        <w:numPr>
          <w:ilvl w:val="0"/>
          <w:numId w:val="19"/>
        </w:numPr>
        <w:snapToGrid w:val="0"/>
        <w:spacing w:after="0"/>
        <w:ind w:firstLineChars="0"/>
        <w:contextualSpacing/>
        <w:rPr>
          <w:rFonts w:ascii="Times New Roman" w:hAnsi="Times New Roman"/>
          <w:szCs w:val="21"/>
        </w:rPr>
      </w:pPr>
      <w:r>
        <w:rPr>
          <w:rFonts w:ascii="Times New Roman" w:hAnsi="Times New Roman"/>
          <w:szCs w:val="21"/>
        </w:rPr>
        <w:t>甲方采购文件相关技术、服务要求、乙方响应文件相关响应内容。</w:t>
      </w:r>
    </w:p>
    <w:p>
      <w:pPr>
        <w:pStyle w:val="9"/>
        <w:numPr>
          <w:ilvl w:val="0"/>
          <w:numId w:val="19"/>
        </w:numPr>
        <w:snapToGrid w:val="0"/>
        <w:spacing w:after="0"/>
        <w:ind w:firstLineChars="0"/>
        <w:contextualSpacing/>
        <w:rPr>
          <w:rFonts w:ascii="Times New Roman" w:hAnsi="Times New Roman"/>
          <w:szCs w:val="21"/>
        </w:rPr>
      </w:pPr>
      <w:r>
        <w:rPr>
          <w:rFonts w:ascii="Times New Roman" w:hAnsi="Times New Roman"/>
          <w:szCs w:val="21"/>
        </w:rPr>
        <w:t>成交产品生产厂家出具的产品说明书、技术白皮书等技术资料（如涉及）。</w:t>
      </w:r>
    </w:p>
    <w:p>
      <w:pPr>
        <w:pStyle w:val="9"/>
        <w:numPr>
          <w:ilvl w:val="0"/>
          <w:numId w:val="19"/>
        </w:numPr>
        <w:snapToGrid w:val="0"/>
        <w:spacing w:after="0"/>
        <w:ind w:firstLineChars="0"/>
        <w:contextualSpacing/>
        <w:rPr>
          <w:rFonts w:ascii="Times New Roman" w:hAnsi="Times New Roman"/>
          <w:szCs w:val="21"/>
        </w:rPr>
      </w:pPr>
      <w:r>
        <w:rPr>
          <w:rFonts w:ascii="Times New Roman" w:hAnsi="Times New Roman"/>
          <w:szCs w:val="21"/>
        </w:rPr>
        <w:t>如验收时，采购人与供应商认为本项目验收标准中的技术指标、质量要求等内容存在相互抵触或对其理解存在异议，应按照其中更严格的要求、标准等进行验收。</w:t>
      </w:r>
    </w:p>
    <w:p>
      <w:pPr>
        <w:pStyle w:val="9"/>
        <w:numPr>
          <w:ilvl w:val="0"/>
          <w:numId w:val="19"/>
        </w:numPr>
        <w:snapToGrid w:val="0"/>
        <w:spacing w:after="0"/>
        <w:ind w:firstLineChars="0"/>
        <w:contextualSpacing/>
        <w:rPr>
          <w:rFonts w:ascii="Times New Roman" w:hAnsi="Times New Roman"/>
          <w:szCs w:val="21"/>
        </w:rPr>
      </w:pPr>
      <w:r>
        <w:rPr>
          <w:rFonts w:ascii="Times New Roman" w:hAnsi="Times New Roman"/>
          <w:szCs w:val="21"/>
        </w:rPr>
        <w:t>参照《财政部关于进一步加强政府采购需求和履约验收管理的指导意见》（财库〔2016〕205号）的要求进行验收。</w:t>
      </w:r>
    </w:p>
    <w:p>
      <w:pPr>
        <w:pStyle w:val="9"/>
        <w:numPr>
          <w:ilvl w:val="0"/>
          <w:numId w:val="19"/>
        </w:numPr>
        <w:snapToGrid w:val="0"/>
        <w:spacing w:after="0"/>
        <w:ind w:firstLineChars="0"/>
        <w:contextualSpacing/>
        <w:rPr>
          <w:rFonts w:ascii="Times New Roman" w:hAnsi="Times New Roman"/>
          <w:szCs w:val="21"/>
        </w:rPr>
      </w:pPr>
      <w:r>
        <w:rPr>
          <w:rFonts w:ascii="Times New Roman" w:hAnsi="Times New Roman"/>
          <w:szCs w:val="21"/>
        </w:rPr>
        <w:t>其它标准：无。</w:t>
      </w:r>
    </w:p>
    <w:p>
      <w:pPr>
        <w:pStyle w:val="29"/>
        <w:numPr>
          <w:ilvl w:val="0"/>
          <w:numId w:val="18"/>
        </w:numPr>
        <w:snapToGrid w:val="0"/>
        <w:ind w:left="525" w:hanging="525" w:hangingChars="250"/>
        <w:contextualSpacing/>
        <w:rPr>
          <w:rFonts w:ascii="Times New Roman" w:hAnsi="Times New Roman"/>
        </w:rPr>
      </w:pPr>
      <w:r>
        <w:rPr>
          <w:rFonts w:ascii="Times New Roman" w:hAnsi="Times New Roman"/>
        </w:rPr>
        <w:t>履约验收其它事项：无。</w:t>
      </w:r>
      <w:r>
        <w:rPr>
          <w:rFonts w:ascii="Times New Roman" w:hAnsi="Times New Roman"/>
          <w:i/>
          <w:iCs/>
          <w:highlight w:val="yellow"/>
        </w:rPr>
        <w:t>&lt;如有请填写&gt;</w:t>
      </w:r>
    </w:p>
    <w:p>
      <w:pPr>
        <w:pStyle w:val="29"/>
        <w:numPr>
          <w:ilvl w:val="0"/>
          <w:numId w:val="17"/>
        </w:numPr>
        <w:snapToGrid w:val="0"/>
        <w:ind w:left="0" w:firstLine="0" w:firstLineChars="0"/>
        <w:contextualSpacing/>
        <w:rPr>
          <w:rFonts w:ascii="Times New Roman" w:hAnsi="Times New Roman"/>
          <w:szCs w:val="21"/>
        </w:rPr>
      </w:pPr>
      <w:r>
        <w:rPr>
          <w:rFonts w:hint="eastAsia" w:ascii="Times New Roman" w:hAnsi="Times New Roman"/>
          <w:szCs w:val="21"/>
        </w:rPr>
        <w:t>乙方按照本合同向甲方交付的货物：</w:t>
      </w:r>
      <w:bookmarkStart w:id="95" w:name="OLE_LINK3"/>
      <w:r>
        <w:rPr>
          <w:rFonts w:hint="eastAsia" w:ascii="Times New Roman" w:hAnsi="Times New Roman"/>
          <w:i/>
          <w:iCs/>
          <w:color w:val="000000"/>
          <w:szCs w:val="21"/>
          <w:highlight w:val="yellow"/>
        </w:rPr>
        <w:t>&lt;根据项目实际情况选择</w:t>
      </w:r>
      <w:bookmarkEnd w:id="95"/>
      <w:r>
        <w:rPr>
          <w:rFonts w:hint="eastAsia" w:ascii="Times New Roman" w:hAnsi="Times New Roman"/>
          <w:i/>
          <w:iCs/>
          <w:color w:val="000000"/>
          <w:szCs w:val="21"/>
          <w:highlight w:val="yellow"/>
        </w:rPr>
        <w:t>&gt;</w:t>
      </w:r>
    </w:p>
    <w:p>
      <w:pPr>
        <w:pStyle w:val="29"/>
        <w:snapToGrid w:val="0"/>
        <w:ind w:left="315" w:leftChars="150" w:firstLine="0" w:firstLineChars="0"/>
        <w:rPr>
          <w:rFonts w:ascii="Times New Roman" w:hAnsi="Times New Roman"/>
          <w:szCs w:val="21"/>
          <w:u w:val="single"/>
        </w:rPr>
      </w:pPr>
      <w:r>
        <w:rPr>
          <w:rFonts w:hint="eastAsia" w:ascii="Times New Roman" w:hAnsi="Times New Roman"/>
          <w:szCs w:val="21"/>
        </w:rPr>
        <w:sym w:font="Wingdings 2" w:char="00A3"/>
      </w:r>
      <w:r>
        <w:rPr>
          <w:rFonts w:hint="eastAsia" w:ascii="Times New Roman" w:hAnsi="Times New Roman"/>
          <w:szCs w:val="21"/>
          <w:u w:val="single"/>
        </w:rPr>
        <w:t>有试运行期</w:t>
      </w:r>
      <w:r>
        <w:rPr>
          <w:rFonts w:hint="eastAsia" w:ascii="Times New Roman" w:hAnsi="Times New Roman"/>
          <w:szCs w:val="21"/>
        </w:rPr>
        <w:t>，试运行期为*</w:t>
      </w:r>
      <w:r>
        <w:rPr>
          <w:rFonts w:ascii="Times New Roman" w:hAnsi="Times New Roman"/>
          <w:szCs w:val="21"/>
        </w:rPr>
        <w:t>**</w:t>
      </w:r>
      <w:r>
        <w:rPr>
          <w:rFonts w:hint="eastAsia" w:ascii="Times New Roman" w:hAnsi="Times New Roman"/>
          <w:szCs w:val="21"/>
        </w:rPr>
        <w:t>，</w:t>
      </w:r>
      <w:r>
        <w:rPr>
          <w:rFonts w:ascii="Times New Roman" w:hAnsi="Times New Roman"/>
          <w:szCs w:val="21"/>
        </w:rPr>
        <w:t>试运行期间，如发现</w:t>
      </w:r>
      <w:r>
        <w:rPr>
          <w:rFonts w:hint="eastAsia" w:ascii="Times New Roman" w:hAnsi="Times New Roman"/>
          <w:szCs w:val="21"/>
        </w:rPr>
        <w:t>货物有</w:t>
      </w:r>
      <w:r>
        <w:rPr>
          <w:rFonts w:ascii="Times New Roman" w:hAnsi="Times New Roman"/>
          <w:szCs w:val="21"/>
        </w:rPr>
        <w:t>缺陷，或</w:t>
      </w:r>
      <w:r>
        <w:rPr>
          <w:rFonts w:hint="eastAsia" w:ascii="Times New Roman" w:hAnsi="Times New Roman"/>
          <w:szCs w:val="21"/>
        </w:rPr>
        <w:t>性能和</w:t>
      </w:r>
      <w:r>
        <w:rPr>
          <w:rFonts w:ascii="Times New Roman" w:hAnsi="Times New Roman"/>
          <w:szCs w:val="21"/>
        </w:rPr>
        <w:t>质量不</w:t>
      </w:r>
      <w:r>
        <w:rPr>
          <w:rFonts w:hint="eastAsia" w:ascii="Times New Roman" w:hAnsi="Times New Roman"/>
          <w:szCs w:val="21"/>
        </w:rPr>
        <w:t>符合本项目</w:t>
      </w:r>
      <w:r>
        <w:rPr>
          <w:rFonts w:ascii="Times New Roman" w:hAnsi="Times New Roman"/>
          <w:szCs w:val="21"/>
        </w:rPr>
        <w:t>要求</w:t>
      </w:r>
      <w:r>
        <w:rPr>
          <w:rFonts w:hint="eastAsia" w:ascii="Times New Roman" w:hAnsi="Times New Roman"/>
          <w:szCs w:val="21"/>
        </w:rPr>
        <w:t>时</w:t>
      </w:r>
      <w:r>
        <w:rPr>
          <w:rFonts w:ascii="Times New Roman" w:hAnsi="Times New Roman"/>
          <w:szCs w:val="21"/>
        </w:rPr>
        <w:t>，</w:t>
      </w:r>
      <w:r>
        <w:rPr>
          <w:rFonts w:hint="eastAsia" w:ascii="Times New Roman" w:hAnsi="Times New Roman"/>
          <w:szCs w:val="21"/>
        </w:rPr>
        <w:t>乙方须对相关货物进行更换和相应处理，同时试运行期时限按照上述修改、更正期进行相应顺延。</w:t>
      </w:r>
    </w:p>
    <w:p>
      <w:pPr>
        <w:pStyle w:val="29"/>
        <w:snapToGrid w:val="0"/>
        <w:ind w:left="315" w:leftChars="150" w:firstLine="0" w:firstLineChars="0"/>
        <w:rPr>
          <w:rFonts w:hint="eastAsia" w:ascii="Times New Roman" w:hAnsi="Times New Roman"/>
          <w:szCs w:val="21"/>
        </w:rPr>
      </w:pPr>
      <w:r>
        <w:rPr>
          <w:rFonts w:hint="eastAsia" w:ascii="Times New Roman" w:hAnsi="Times New Roman"/>
          <w:szCs w:val="21"/>
        </w:rPr>
        <w:sym w:font="Wingdings 2" w:char="0052"/>
      </w:r>
      <w:r>
        <w:rPr>
          <w:rFonts w:hint="eastAsia" w:ascii="Times New Roman" w:hAnsi="Times New Roman"/>
          <w:szCs w:val="21"/>
          <w:u w:val="single"/>
        </w:rPr>
        <w:t>无试运行期</w:t>
      </w:r>
    </w:p>
    <w:p>
      <w:pPr>
        <w:pStyle w:val="29"/>
        <w:numPr>
          <w:ilvl w:val="0"/>
          <w:numId w:val="17"/>
        </w:numPr>
        <w:snapToGrid w:val="0"/>
        <w:ind w:left="0" w:firstLine="0" w:firstLineChars="0"/>
        <w:rPr>
          <w:rFonts w:ascii="Times New Roman" w:hAnsi="Times New Roman"/>
          <w:szCs w:val="21"/>
        </w:rPr>
      </w:pPr>
      <w:r>
        <w:rPr>
          <w:rFonts w:hint="eastAsia" w:ascii="Times New Roman" w:hAnsi="Times New Roman"/>
          <w:szCs w:val="21"/>
        </w:rPr>
        <w:t>若验收交付内容涉及试运行的，经试运行达到设计使用要求、技术质量标准并经甲方认可后视为验收通过。</w:t>
      </w:r>
    </w:p>
    <w:p>
      <w:pPr>
        <w:pStyle w:val="29"/>
        <w:numPr>
          <w:ilvl w:val="0"/>
          <w:numId w:val="17"/>
        </w:numPr>
        <w:snapToGrid w:val="0"/>
        <w:ind w:left="0" w:firstLine="0" w:firstLineChars="0"/>
        <w:rPr>
          <w:rFonts w:hint="eastAsia" w:ascii="Times New Roman" w:hAnsi="Times New Roman"/>
          <w:szCs w:val="21"/>
        </w:rPr>
      </w:pPr>
      <w:r>
        <w:rPr>
          <w:rFonts w:ascii="Times New Roman" w:hAnsi="Times New Roman"/>
          <w:szCs w:val="21"/>
        </w:rPr>
        <w:t>如验收合格，双方签署验收报告</w:t>
      </w:r>
      <w:r>
        <w:rPr>
          <w:rFonts w:hint="eastAsia" w:ascii="Times New Roman" w:hAnsi="Times New Roman"/>
          <w:szCs w:val="21"/>
        </w:rPr>
        <w:t>；</w:t>
      </w:r>
      <w:r>
        <w:rPr>
          <w:rFonts w:ascii="Times New Roman" w:hAnsi="Times New Roman"/>
          <w:szCs w:val="21"/>
        </w:rPr>
        <w:t>如</w:t>
      </w:r>
      <w:r>
        <w:rPr>
          <w:rFonts w:hint="eastAsia" w:ascii="Times New Roman" w:hAnsi="Times New Roman"/>
          <w:szCs w:val="21"/>
        </w:rPr>
        <w:t>验收不合格</w:t>
      </w:r>
      <w:r>
        <w:rPr>
          <w:rFonts w:ascii="Times New Roman" w:hAnsi="Times New Roman"/>
          <w:szCs w:val="21"/>
        </w:rPr>
        <w:t>，甲方应</w:t>
      </w:r>
      <w:r>
        <w:rPr>
          <w:rFonts w:hint="eastAsia" w:ascii="Times New Roman" w:hAnsi="Times New Roman"/>
          <w:szCs w:val="21"/>
        </w:rPr>
        <w:t>进行</w:t>
      </w:r>
      <w:r>
        <w:rPr>
          <w:rFonts w:ascii="Times New Roman" w:hAnsi="Times New Roman"/>
          <w:szCs w:val="21"/>
        </w:rPr>
        <w:t>详尽的</w:t>
      </w:r>
      <w:r>
        <w:rPr>
          <w:rFonts w:hint="eastAsia" w:ascii="Times New Roman" w:hAnsi="Times New Roman"/>
          <w:szCs w:val="21"/>
        </w:rPr>
        <w:t>现场</w:t>
      </w:r>
      <w:r>
        <w:rPr>
          <w:rFonts w:ascii="Times New Roman" w:hAnsi="Times New Roman"/>
          <w:szCs w:val="21"/>
        </w:rPr>
        <w:t>记录，或由甲乙双方签署备忘录，此现场记录或备忘录可用作</w:t>
      </w:r>
      <w:r>
        <w:rPr>
          <w:rFonts w:hint="eastAsia" w:ascii="Times New Roman" w:hAnsi="Times New Roman"/>
          <w:szCs w:val="21"/>
        </w:rPr>
        <w:t>修改和更正相关问题</w:t>
      </w:r>
      <w:r>
        <w:rPr>
          <w:rFonts w:ascii="Times New Roman" w:hAnsi="Times New Roman"/>
          <w:szCs w:val="21"/>
        </w:rPr>
        <w:t>的有效证据，由此产生的时间延误与</w:t>
      </w:r>
      <w:r>
        <w:rPr>
          <w:rFonts w:hint="eastAsia" w:ascii="Times New Roman" w:hAnsi="Times New Roman"/>
          <w:szCs w:val="21"/>
        </w:rPr>
        <w:t>经济损失</w:t>
      </w:r>
      <w:r>
        <w:rPr>
          <w:rFonts w:ascii="Times New Roman" w:hAnsi="Times New Roman"/>
          <w:szCs w:val="21"/>
        </w:rPr>
        <w:t>由乙方承担，验收期限相应顺延</w:t>
      </w:r>
      <w:r>
        <w:rPr>
          <w:rFonts w:hint="eastAsia" w:ascii="Times New Roman" w:hAnsi="Times New Roman"/>
          <w:szCs w:val="21"/>
        </w:rPr>
        <w:t>，且</w:t>
      </w:r>
      <w:r>
        <w:rPr>
          <w:rFonts w:ascii="Times New Roman" w:hAnsi="Times New Roman"/>
          <w:szCs w:val="21"/>
        </w:rPr>
        <w:t>甲方有权拒绝签署验收报告，</w:t>
      </w:r>
      <w:r>
        <w:rPr>
          <w:rFonts w:hint="eastAsia" w:ascii="Times New Roman" w:hAnsi="Times New Roman"/>
          <w:szCs w:val="21"/>
        </w:rPr>
        <w:t>并</w:t>
      </w:r>
      <w:r>
        <w:rPr>
          <w:rFonts w:ascii="Times New Roman" w:hAnsi="Times New Roman"/>
          <w:szCs w:val="21"/>
        </w:rPr>
        <w:t>要求乙方无条件</w:t>
      </w:r>
      <w:r>
        <w:rPr>
          <w:rFonts w:hint="eastAsia" w:ascii="Times New Roman" w:hAnsi="Times New Roman"/>
          <w:szCs w:val="21"/>
        </w:rPr>
        <w:t>修改和更正</w:t>
      </w:r>
      <w:r>
        <w:rPr>
          <w:rFonts w:ascii="Times New Roman" w:hAnsi="Times New Roman"/>
          <w:szCs w:val="21"/>
        </w:rPr>
        <w:t>，</w:t>
      </w:r>
      <w:r>
        <w:rPr>
          <w:rFonts w:hint="eastAsia" w:ascii="Times New Roman" w:hAnsi="Times New Roman"/>
          <w:szCs w:val="21"/>
        </w:rPr>
        <w:t>而后进行再次验收，乙方应承担因此额外产生的全部费用。如果仍不合格，甲方有权终止本合同并视作乙方不能交付而须支付合同总价</w:t>
      </w:r>
      <w:r>
        <w:rPr>
          <w:rFonts w:hint="eastAsia" w:ascii="Times New Roman" w:hAnsi="Times New Roman"/>
          <w:szCs w:val="21"/>
          <w:u w:val="single"/>
        </w:rPr>
        <w:t>10</w:t>
      </w:r>
      <w:r>
        <w:rPr>
          <w:rFonts w:ascii="Times New Roman" w:hAnsi="Times New Roman"/>
          <w:szCs w:val="21"/>
        </w:rPr>
        <w:t>%的</w:t>
      </w:r>
      <w:r>
        <w:rPr>
          <w:rFonts w:hint="eastAsia" w:ascii="Times New Roman" w:hAnsi="Times New Roman"/>
          <w:szCs w:val="21"/>
        </w:rPr>
        <w:t>违约金给甲方，违约金不能弥补甲方损失的，乙方应全额赔偿。</w:t>
      </w:r>
    </w:p>
    <w:p>
      <w:pPr>
        <w:pStyle w:val="29"/>
        <w:numPr>
          <w:ilvl w:val="0"/>
          <w:numId w:val="13"/>
        </w:numPr>
        <w:snapToGrid w:val="0"/>
        <w:ind w:firstLineChars="0"/>
        <w:rPr>
          <w:rFonts w:ascii="Times New Roman" w:hAnsi="Times New Roman"/>
          <w:b/>
          <w:bCs/>
          <w:szCs w:val="21"/>
        </w:rPr>
      </w:pPr>
      <w:r>
        <w:rPr>
          <w:rFonts w:ascii="Times New Roman" w:hAnsi="Times New Roman"/>
          <w:b/>
          <w:bCs/>
          <w:szCs w:val="21"/>
        </w:rPr>
        <w:t>主体资格及知识产权</w:t>
      </w:r>
    </w:p>
    <w:p>
      <w:pPr>
        <w:pStyle w:val="29"/>
        <w:numPr>
          <w:ilvl w:val="0"/>
          <w:numId w:val="20"/>
        </w:numPr>
        <w:snapToGrid w:val="0"/>
        <w:ind w:left="0" w:firstLine="0" w:firstLineChars="0"/>
        <w:rPr>
          <w:rFonts w:ascii="Times New Roman" w:hAnsi="Times New Roman"/>
          <w:szCs w:val="21"/>
        </w:rPr>
      </w:pPr>
      <w:r>
        <w:rPr>
          <w:rFonts w:ascii="Times New Roman" w:hAnsi="Times New Roman"/>
          <w:szCs w:val="21"/>
        </w:rPr>
        <w:t>主体资格：</w:t>
      </w:r>
    </w:p>
    <w:p>
      <w:pPr>
        <w:snapToGrid w:val="0"/>
        <w:ind w:firstLine="420" w:firstLineChars="200"/>
        <w:rPr>
          <w:rFonts w:ascii="Times New Roman" w:hAnsi="Times New Roman"/>
          <w:szCs w:val="21"/>
        </w:rPr>
      </w:pPr>
      <w:r>
        <w:rPr>
          <w:rFonts w:ascii="Times New Roman" w:hAnsi="Times New Roman"/>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20"/>
        </w:numPr>
        <w:snapToGrid w:val="0"/>
        <w:ind w:left="0" w:firstLine="0" w:firstLineChars="0"/>
        <w:rPr>
          <w:rFonts w:ascii="Times New Roman" w:hAnsi="Times New Roman"/>
          <w:szCs w:val="21"/>
        </w:rPr>
      </w:pPr>
      <w:r>
        <w:rPr>
          <w:rFonts w:ascii="Times New Roman" w:hAnsi="Times New Roman"/>
          <w:szCs w:val="21"/>
        </w:rPr>
        <w:t>知识产权：</w:t>
      </w:r>
    </w:p>
    <w:p>
      <w:pPr>
        <w:pStyle w:val="29"/>
        <w:numPr>
          <w:ilvl w:val="0"/>
          <w:numId w:val="21"/>
        </w:numPr>
        <w:snapToGrid w:val="0"/>
        <w:ind w:firstLineChars="0"/>
        <w:rPr>
          <w:rFonts w:ascii="Times New Roman" w:hAnsi="Times New Roman"/>
          <w:szCs w:val="21"/>
        </w:rPr>
      </w:pPr>
      <w:r>
        <w:rPr>
          <w:rFonts w:ascii="Times New Roman" w:hAnsi="Times New Roman"/>
          <w:szCs w:val="21"/>
        </w:rPr>
        <w:t>乙方必须保证，甲方在中华人民共和国境内使用货物或者货物的某一部分时，如有第三方向甲方提出侵犯其专利权、商标权或其他知识产权的主张，由此造成的一切责任由乙方承担。</w:t>
      </w:r>
    </w:p>
    <w:p>
      <w:pPr>
        <w:pStyle w:val="29"/>
        <w:numPr>
          <w:ilvl w:val="0"/>
          <w:numId w:val="21"/>
        </w:numPr>
        <w:snapToGrid w:val="0"/>
        <w:ind w:firstLineChars="0"/>
        <w:rPr>
          <w:rFonts w:ascii="Times New Roman" w:hAnsi="Times New Roman"/>
          <w:szCs w:val="21"/>
        </w:rPr>
      </w:pPr>
      <w:r>
        <w:rPr>
          <w:rFonts w:ascii="Times New Roman" w:hAnsi="Times New Roman"/>
          <w:szCs w:val="21"/>
        </w:rPr>
        <w:t>本合同费用包含向所有权人支付的专利权、商标权或其他知识产权的有关费用及税费。</w:t>
      </w:r>
    </w:p>
    <w:p>
      <w:pPr>
        <w:pStyle w:val="29"/>
        <w:numPr>
          <w:ilvl w:val="0"/>
          <w:numId w:val="21"/>
        </w:numPr>
        <w:snapToGrid w:val="0"/>
        <w:ind w:firstLineChars="0"/>
        <w:rPr>
          <w:rFonts w:ascii="Times New Roman" w:hAnsi="Times New Roman"/>
          <w:szCs w:val="21"/>
        </w:rPr>
      </w:pPr>
      <w:r>
        <w:rPr>
          <w:rFonts w:ascii="Times New Roman" w:hAnsi="Times New Roman"/>
          <w:szCs w:val="21"/>
        </w:rPr>
        <w:t>乙方承诺</w:t>
      </w:r>
      <w:r>
        <w:rPr>
          <w:rFonts w:hint="eastAsia" w:ascii="Times New Roman" w:hAnsi="Times New Roman"/>
          <w:szCs w:val="21"/>
        </w:rPr>
        <w:t>向甲方提供的</w:t>
      </w:r>
      <w:r>
        <w:rPr>
          <w:rFonts w:ascii="Times New Roman" w:hAnsi="Times New Roman"/>
          <w:szCs w:val="21"/>
        </w:rPr>
        <w:t>货物上安装的软件已获得软件厂商的正规授权。</w:t>
      </w:r>
    </w:p>
    <w:p>
      <w:pPr>
        <w:pStyle w:val="29"/>
        <w:numPr>
          <w:ilvl w:val="0"/>
          <w:numId w:val="21"/>
        </w:numPr>
        <w:snapToGrid w:val="0"/>
        <w:ind w:firstLineChars="0"/>
        <w:rPr>
          <w:rFonts w:ascii="Times New Roman" w:hAnsi="Times New Roman"/>
          <w:szCs w:val="21"/>
        </w:rPr>
      </w:pPr>
      <w:r>
        <w:rPr>
          <w:rFonts w:hint="eastAsia" w:ascii="Times New Roman" w:hAnsi="Times New Roman"/>
          <w:szCs w:val="21"/>
        </w:rPr>
        <w:t>甲、乙双方共同研发的该系统软件产品，知识产权归甲、乙双方共同拥有，软件所有数据归甲方所有</w:t>
      </w:r>
    </w:p>
    <w:p>
      <w:pPr>
        <w:pStyle w:val="29"/>
        <w:numPr>
          <w:ilvl w:val="0"/>
          <w:numId w:val="21"/>
        </w:numPr>
        <w:snapToGrid w:val="0"/>
        <w:ind w:firstLineChars="0"/>
        <w:rPr>
          <w:rFonts w:ascii="Times New Roman" w:hAnsi="Times New Roman"/>
          <w:szCs w:val="21"/>
        </w:rPr>
      </w:pPr>
      <w:r>
        <w:rPr>
          <w:rFonts w:hint="eastAsia" w:ascii="Times New Roman" w:hAnsi="Times New Roman"/>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3"/>
        </w:numPr>
        <w:snapToGrid w:val="0"/>
        <w:ind w:left="0" w:firstLine="0" w:firstLineChars="0"/>
        <w:rPr>
          <w:rFonts w:ascii="Times New Roman" w:hAnsi="Times New Roman"/>
          <w:b/>
          <w:bCs/>
          <w:szCs w:val="21"/>
        </w:rPr>
      </w:pPr>
      <w:r>
        <w:rPr>
          <w:rFonts w:ascii="Times New Roman" w:hAnsi="Times New Roman"/>
          <w:b/>
          <w:bCs/>
          <w:szCs w:val="21"/>
        </w:rPr>
        <w:t>付款方式</w:t>
      </w:r>
    </w:p>
    <w:p>
      <w:pPr>
        <w:pStyle w:val="29"/>
        <w:numPr>
          <w:ilvl w:val="0"/>
          <w:numId w:val="22"/>
        </w:numPr>
        <w:snapToGrid w:val="0"/>
        <w:ind w:firstLineChars="0"/>
        <w:rPr>
          <w:rFonts w:ascii="Times New Roman" w:hAnsi="Times New Roman"/>
          <w:szCs w:val="21"/>
        </w:rPr>
      </w:pPr>
      <w:r>
        <w:rPr>
          <w:rFonts w:hint="eastAsia" w:ascii="Times New Roman" w:hAnsi="Times New Roman"/>
          <w:szCs w:val="21"/>
        </w:rPr>
        <w:t>履约保证金：</w:t>
      </w:r>
    </w:p>
    <w:p>
      <w:pPr>
        <w:pStyle w:val="9"/>
        <w:snapToGrid w:val="0"/>
        <w:spacing w:after="0"/>
        <w:ind w:left="420" w:leftChars="200" w:firstLine="0" w:firstLineChars="0"/>
        <w:contextualSpacing/>
        <w:rPr>
          <w:rFonts w:hint="eastAsia"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乙方在合同签订生效之日起的***个工作日内，按合同总价***%支付履约保证金</w:t>
      </w:r>
      <w:r>
        <w:rPr>
          <w:rFonts w:hint="eastAsia" w:ascii="Times New Roman" w:hAnsi="Times New Roman"/>
          <w:color w:val="000000"/>
          <w:szCs w:val="21"/>
        </w:rPr>
        <w:t>；</w:t>
      </w:r>
      <w:r>
        <w:rPr>
          <w:rFonts w:ascii="Times New Roman" w:hAnsi="Times New Roman"/>
          <w:color w:val="000000"/>
          <w:szCs w:val="21"/>
        </w:rPr>
        <w:t>货物自验收合格之日满1年，甲方接到乙方付款申请后30个工作日内，甲方一次性无息退还乙方的履约保证金</w:t>
      </w:r>
      <w:r>
        <w:rPr>
          <w:rFonts w:hint="eastAsia" w:ascii="Times New Roman" w:hAnsi="Times New Roman"/>
          <w:color w:val="000000"/>
          <w:szCs w:val="21"/>
        </w:rPr>
        <w:t>；</w:t>
      </w:r>
      <w:r>
        <w:rPr>
          <w:rFonts w:ascii="Times New Roman" w:hAnsi="Times New Roman"/>
          <w:color w:val="000000"/>
          <w:szCs w:val="21"/>
        </w:rPr>
        <w:t>经验收</w:t>
      </w:r>
      <w:r>
        <w:rPr>
          <w:rFonts w:hint="eastAsia" w:ascii="Times New Roman" w:hAnsi="Times New Roman"/>
          <w:color w:val="000000"/>
          <w:szCs w:val="21"/>
        </w:rPr>
        <w:t>后</w:t>
      </w:r>
      <w:r>
        <w:rPr>
          <w:rFonts w:ascii="Times New Roman" w:hAnsi="Times New Roman"/>
          <w:color w:val="000000"/>
          <w:szCs w:val="21"/>
        </w:rPr>
        <w:t>乙方履约不合格的，履约保证金不予退还。</w:t>
      </w:r>
    </w:p>
    <w:p>
      <w:pPr>
        <w:pStyle w:val="9"/>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本合同不涉及履约保证金。</w:t>
      </w:r>
    </w:p>
    <w:p>
      <w:pPr>
        <w:pStyle w:val="29"/>
        <w:numPr>
          <w:ilvl w:val="0"/>
          <w:numId w:val="22"/>
        </w:numPr>
        <w:snapToGrid w:val="0"/>
        <w:ind w:firstLineChars="0"/>
        <w:rPr>
          <w:rFonts w:ascii="Times New Roman" w:hAnsi="Times New Roman"/>
          <w:szCs w:val="21"/>
        </w:rPr>
      </w:pPr>
      <w:r>
        <w:rPr>
          <w:rFonts w:hint="eastAsia" w:ascii="Times New Roman" w:hAnsi="Times New Roman"/>
          <w:szCs w:val="21"/>
        </w:rPr>
        <w:t>本合同价款采用以下方式支付，以人民币结算：</w:t>
      </w:r>
    </w:p>
    <w:p>
      <w:pPr>
        <w:pStyle w:val="9"/>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hint="eastAsia" w:ascii="Times New Roman" w:hAnsi="Times New Roman"/>
          <w:color w:val="000000"/>
          <w:szCs w:val="21"/>
        </w:rPr>
        <w:t>一次性支付：</w:t>
      </w:r>
    </w:p>
    <w:p>
      <w:pPr>
        <w:pStyle w:val="9"/>
        <w:snapToGrid w:val="0"/>
        <w:spacing w:after="0"/>
        <w:ind w:left="840" w:leftChars="400" w:firstLineChars="200"/>
        <w:contextualSpacing/>
        <w:rPr>
          <w:rFonts w:ascii="Times New Roman" w:hAnsi="Times New Roman"/>
          <w:color w:val="000000"/>
          <w:szCs w:val="21"/>
        </w:rPr>
      </w:pPr>
      <w:r>
        <w:rPr>
          <w:rFonts w:hint="eastAsia" w:ascii="Times New Roman" w:hAnsi="Times New Roman"/>
          <w:color w:val="000000"/>
          <w:szCs w:val="21"/>
        </w:rPr>
        <w:t>甲方验收合格后</w:t>
      </w:r>
      <w:r>
        <w:rPr>
          <w:rFonts w:ascii="Times New Roman" w:hAnsi="Times New Roman"/>
          <w:color w:val="000000"/>
          <w:szCs w:val="21"/>
        </w:rPr>
        <w:t>5</w:t>
      </w:r>
      <w:r>
        <w:rPr>
          <w:rFonts w:hint="eastAsia" w:ascii="Times New Roman" w:hAnsi="Times New Roman"/>
          <w:color w:val="000000"/>
          <w:szCs w:val="21"/>
        </w:rPr>
        <w:t>日内，乙方须向甲方出具</w:t>
      </w:r>
      <w:r>
        <w:rPr>
          <w:lang w:bidi="ar"/>
        </w:rPr>
        <w:t>合法有效票据及其它相关请款资料</w:t>
      </w:r>
      <w:r>
        <w:rPr>
          <w:rFonts w:hint="eastAsia" w:ascii="Times New Roman" w:hAnsi="Times New Roman"/>
          <w:color w:val="000000"/>
          <w:szCs w:val="21"/>
        </w:rPr>
        <w:t>，甲方自收到上述发票及凭证资料后</w:t>
      </w:r>
      <w:r>
        <w:rPr>
          <w:rFonts w:ascii="Times New Roman" w:hAnsi="Times New Roman"/>
          <w:color w:val="000000"/>
          <w:szCs w:val="21"/>
        </w:rPr>
        <w:t>55</w:t>
      </w:r>
      <w:r>
        <w:rPr>
          <w:rFonts w:hint="eastAsia" w:ascii="Times New Roman" w:hAnsi="Times New Roman"/>
          <w:color w:val="000000"/>
          <w:szCs w:val="21"/>
        </w:rPr>
        <w:t>日内支付合同总价</w:t>
      </w:r>
      <w:r>
        <w:rPr>
          <w:rFonts w:ascii="Times New Roman" w:hAnsi="Times New Roman"/>
          <w:color w:val="000000"/>
          <w:szCs w:val="21"/>
        </w:rPr>
        <w:t>100%</w:t>
      </w:r>
      <w:r>
        <w:rPr>
          <w:rFonts w:hint="eastAsia" w:ascii="Times New Roman" w:hAnsi="Times New Roman"/>
          <w:color w:val="000000"/>
          <w:szCs w:val="21"/>
        </w:rPr>
        <w:t>的货款给乙方。</w:t>
      </w:r>
    </w:p>
    <w:p>
      <w:pPr>
        <w:pStyle w:val="9"/>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分阶段支付，支付期限及额度如下：</w:t>
      </w:r>
    </w:p>
    <w:p>
      <w:pPr>
        <w:pStyle w:val="9"/>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（1）预付款：本合同生效后</w:t>
      </w:r>
      <w:r>
        <w:rPr>
          <w:rFonts w:ascii="Times New Roman" w:hAnsi="Times New Roman"/>
          <w:color w:val="000000"/>
          <w:szCs w:val="21"/>
        </w:rPr>
        <w:t>***</w:t>
      </w:r>
      <w:r>
        <w:rPr>
          <w:rFonts w:hint="eastAsia" w:ascii="Times New Roman" w:hAnsi="Times New Roman"/>
          <w:color w:val="000000"/>
          <w:szCs w:val="21"/>
        </w:rPr>
        <w:t>个工作日内，甲方预付项目费用总额的*</w:t>
      </w:r>
      <w:r>
        <w:rPr>
          <w:rFonts w:ascii="Times New Roman" w:hAnsi="Times New Roman"/>
          <w:color w:val="000000"/>
          <w:szCs w:val="21"/>
        </w:rPr>
        <w:t>**%</w:t>
      </w:r>
      <w:r>
        <w:rPr>
          <w:rFonts w:hint="eastAsia" w:ascii="Times New Roman" w:hAnsi="Times New Roman"/>
          <w:color w:val="000000"/>
          <w:szCs w:val="21"/>
        </w:rPr>
        <w:t xml:space="preserve">，即人民币（大写） </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pPr>
        <w:pStyle w:val="9"/>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（2）进度款，甲方应当按照下列方式支付进度款：</w:t>
      </w:r>
    </w:p>
    <w:p>
      <w:pPr>
        <w:pStyle w:val="9"/>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乙方按照本合同约定完成阶段性工作后，甲方应于每一阶段性工作成果验收合格之日起</w:t>
      </w:r>
      <w:r>
        <w:rPr>
          <w:rFonts w:ascii="Times New Roman" w:hAnsi="Times New Roman"/>
          <w:color w:val="000000"/>
          <w:szCs w:val="21"/>
        </w:rPr>
        <w:t>***</w:t>
      </w:r>
      <w:r>
        <w:rPr>
          <w:rFonts w:hint="eastAsia" w:ascii="Times New Roman" w:hAnsi="Times New Roman"/>
          <w:color w:val="000000"/>
          <w:szCs w:val="21"/>
        </w:rPr>
        <w:t>个工作日内，向乙方支付相应的费用。</w:t>
      </w:r>
    </w:p>
    <w:p>
      <w:pPr>
        <w:pStyle w:val="9"/>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乙方完成</w:t>
      </w:r>
      <w:r>
        <w:rPr>
          <w:rFonts w:ascii="Times New Roman" w:hAnsi="Times New Roman"/>
          <w:color w:val="000000"/>
          <w:szCs w:val="21"/>
        </w:rPr>
        <w:t>***</w:t>
      </w:r>
      <w:r>
        <w:rPr>
          <w:rFonts w:hint="eastAsia" w:ascii="Times New Roman" w:hAnsi="Times New Roman"/>
          <w:color w:val="000000"/>
          <w:szCs w:val="21"/>
        </w:rPr>
        <w:t>，甲方支付项目费用总额的</w:t>
      </w:r>
      <w:r>
        <w:rPr>
          <w:rFonts w:ascii="Times New Roman" w:hAnsi="Times New Roman"/>
          <w:color w:val="000000"/>
          <w:szCs w:val="21"/>
        </w:rPr>
        <w:t>***%</w:t>
      </w:r>
      <w:r>
        <w:rPr>
          <w:rFonts w:hint="eastAsia" w:ascii="Times New Roman" w:hAnsi="Times New Roman"/>
          <w:color w:val="000000"/>
          <w:szCs w:val="21"/>
        </w:rPr>
        <w:t>，即 人民币（大写）</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pPr>
        <w:pStyle w:val="9"/>
        <w:snapToGrid w:val="0"/>
        <w:spacing w:after="0"/>
        <w:ind w:left="945" w:leftChars="400" w:hanging="105" w:hangingChars="50"/>
        <w:contextualSpacing/>
        <w:jc w:val="left"/>
        <w:rPr>
          <w:rFonts w:ascii="Times New Roman" w:hAnsi="Times New Roman"/>
          <w:color w:val="000000"/>
          <w:szCs w:val="21"/>
        </w:rPr>
      </w:pPr>
      <w:r>
        <w:rPr>
          <w:rFonts w:hint="eastAsia" w:ascii="Times New Roman" w:hAnsi="Times New Roman"/>
          <w:color w:val="000000"/>
          <w:szCs w:val="21"/>
        </w:rPr>
        <w:t>（3）结算款：本项目竣工验收合格后</w:t>
      </w:r>
      <w:r>
        <w:rPr>
          <w:rFonts w:ascii="Times New Roman" w:hAnsi="Times New Roman"/>
          <w:color w:val="000000"/>
          <w:szCs w:val="21"/>
        </w:rPr>
        <w:t>***</w:t>
      </w:r>
      <w:r>
        <w:rPr>
          <w:rFonts w:hint="eastAsia" w:ascii="Times New Roman" w:hAnsi="Times New Roman"/>
          <w:color w:val="000000"/>
          <w:szCs w:val="21"/>
        </w:rPr>
        <w:t>个工作日内，甲方向乙方支付剩余价款人民币（大写）</w:t>
      </w:r>
      <w:r>
        <w:rPr>
          <w:rFonts w:ascii="Times New Roman" w:hAnsi="Times New Roman"/>
          <w:color w:val="000000"/>
          <w:szCs w:val="21"/>
        </w:rPr>
        <w:t xml:space="preserve">*** </w:t>
      </w:r>
      <w:r>
        <w:rPr>
          <w:rFonts w:hint="eastAsia" w:ascii="Times New Roman" w:hAnsi="Times New Roman"/>
          <w:color w:val="000000"/>
          <w:szCs w:val="21"/>
        </w:rPr>
        <w:t>圆整（RMB</w:t>
      </w:r>
      <w:r>
        <w:rPr>
          <w:rFonts w:ascii="Times New Roman" w:hAnsi="Times New Roman"/>
          <w:color w:val="000000"/>
          <w:szCs w:val="21"/>
        </w:rPr>
        <w:t xml:space="preserve"> ***</w:t>
      </w:r>
      <w:r>
        <w:rPr>
          <w:rFonts w:hint="eastAsia" w:ascii="Times New Roman" w:hAnsi="Times New Roman"/>
          <w:color w:val="000000"/>
          <w:szCs w:val="21"/>
        </w:rPr>
        <w:t xml:space="preserve"> 元）。</w:t>
      </w:r>
    </w:p>
    <w:p>
      <w:pPr>
        <w:pStyle w:val="29"/>
        <w:numPr>
          <w:ilvl w:val="0"/>
          <w:numId w:val="22"/>
        </w:numPr>
        <w:snapToGrid w:val="0"/>
        <w:ind w:left="0" w:firstLine="0" w:firstLineChars="0"/>
        <w:rPr>
          <w:rFonts w:ascii="Times New Roman" w:hAnsi="Times New Roman"/>
          <w:szCs w:val="21"/>
        </w:rPr>
      </w:pPr>
      <w:r>
        <w:rPr>
          <w:rFonts w:hint="eastAsia" w:ascii="Times New Roman" w:hAnsi="Times New Roman"/>
          <w:szCs w:val="21"/>
        </w:rPr>
        <w:t>甲方付款前，乙方需出具</w:t>
      </w:r>
      <w:r>
        <w:rPr>
          <w:lang w:bidi="ar"/>
        </w:rPr>
        <w:t>合法有效票据及其它相关请款资料</w:t>
      </w:r>
      <w:r>
        <w:rPr>
          <w:rFonts w:hint="eastAsia" w:ascii="Times New Roman" w:hAnsi="Times New Roman"/>
          <w:szCs w:val="21"/>
        </w:rPr>
        <w:t>，否则甲方有权拒绝支付且不承担任何违约责任，且乙方不得因此停止履约。</w:t>
      </w:r>
    </w:p>
    <w:p>
      <w:pPr>
        <w:pStyle w:val="29"/>
        <w:numPr>
          <w:ilvl w:val="0"/>
          <w:numId w:val="22"/>
        </w:numPr>
        <w:snapToGrid w:val="0"/>
        <w:ind w:left="0" w:firstLine="0" w:firstLineChars="0"/>
        <w:rPr>
          <w:rFonts w:ascii="Times New Roman" w:hAnsi="Times New Roman"/>
          <w:szCs w:val="21"/>
        </w:rPr>
      </w:pPr>
      <w:r>
        <w:rPr>
          <w:rFonts w:ascii="Times New Roman" w:hAnsi="Times New Roman"/>
          <w:szCs w:val="21"/>
        </w:rPr>
        <w:t>乙方开票信息</w:t>
      </w:r>
      <w:r>
        <w:rPr>
          <w:rFonts w:hint="eastAsia" w:ascii="Times New Roman" w:hAnsi="Times New Roman"/>
          <w:szCs w:val="21"/>
        </w:rPr>
        <w:t>中的货物</w:t>
      </w:r>
      <w:r>
        <w:rPr>
          <w:rFonts w:ascii="Times New Roman" w:hAnsi="Times New Roman"/>
          <w:szCs w:val="21"/>
        </w:rPr>
        <w:t>名称与</w:t>
      </w:r>
      <w:r>
        <w:rPr>
          <w:rFonts w:hint="eastAsia" w:ascii="Times New Roman" w:hAnsi="Times New Roman"/>
          <w:szCs w:val="21"/>
        </w:rPr>
        <w:t>合同</w:t>
      </w:r>
      <w:r>
        <w:rPr>
          <w:rFonts w:ascii="Times New Roman" w:hAnsi="Times New Roman"/>
          <w:szCs w:val="21"/>
        </w:rPr>
        <w:t>中</w:t>
      </w:r>
      <w:r>
        <w:rPr>
          <w:rFonts w:hint="eastAsia" w:ascii="Times New Roman" w:hAnsi="Times New Roman"/>
          <w:szCs w:val="21"/>
        </w:rPr>
        <w:t>货物</w:t>
      </w:r>
      <w:r>
        <w:rPr>
          <w:rFonts w:ascii="Times New Roman" w:hAnsi="Times New Roman"/>
          <w:szCs w:val="21"/>
        </w:rPr>
        <w:t>名称</w:t>
      </w:r>
      <w:r>
        <w:rPr>
          <w:rFonts w:hint="eastAsia" w:ascii="Times New Roman" w:hAnsi="Times New Roman"/>
          <w:szCs w:val="21"/>
        </w:rPr>
        <w:t>应</w:t>
      </w:r>
      <w:r>
        <w:rPr>
          <w:rFonts w:ascii="Times New Roman" w:hAnsi="Times New Roman"/>
          <w:szCs w:val="21"/>
        </w:rPr>
        <w:t>一致。</w:t>
      </w:r>
    </w:p>
    <w:p>
      <w:pPr>
        <w:pStyle w:val="29"/>
        <w:numPr>
          <w:ilvl w:val="0"/>
          <w:numId w:val="22"/>
        </w:numPr>
        <w:snapToGrid w:val="0"/>
        <w:ind w:left="0" w:firstLine="0" w:firstLineChars="0"/>
        <w:rPr>
          <w:rFonts w:ascii="Times New Roman" w:hAnsi="Times New Roman"/>
          <w:szCs w:val="21"/>
        </w:rPr>
      </w:pPr>
      <w:r>
        <w:rPr>
          <w:rFonts w:ascii="Times New Roman" w:hAnsi="Times New Roman"/>
          <w:szCs w:val="21"/>
        </w:rPr>
        <w:t>乙方开票信息应与合同预留账户信息一致</w:t>
      </w:r>
      <w:r>
        <w:rPr>
          <w:rFonts w:hint="eastAsia" w:ascii="Times New Roman" w:hAnsi="Times New Roman"/>
          <w:szCs w:val="21"/>
        </w:rPr>
        <w:t>，</w:t>
      </w:r>
      <w:r>
        <w:rPr>
          <w:rFonts w:ascii="Times New Roman" w:hAnsi="Times New Roman"/>
          <w:szCs w:val="21"/>
        </w:rPr>
        <w:t>如有变更，乙方应当在变更后3日内通知甲方</w:t>
      </w:r>
      <w:r>
        <w:rPr>
          <w:rFonts w:hint="eastAsia" w:ascii="Times New Roman" w:hAnsi="Times New Roman"/>
          <w:szCs w:val="21"/>
        </w:rPr>
        <w:t>，</w:t>
      </w:r>
      <w:r>
        <w:rPr>
          <w:rFonts w:ascii="Times New Roman" w:hAnsi="Times New Roman"/>
          <w:szCs w:val="21"/>
        </w:rPr>
        <w:t>否则，由此造成的损失由乙方自行承担。</w:t>
      </w:r>
    </w:p>
    <w:p>
      <w:pPr>
        <w:pStyle w:val="29"/>
        <w:numPr>
          <w:ilvl w:val="0"/>
          <w:numId w:val="13"/>
        </w:numPr>
        <w:snapToGrid w:val="0"/>
        <w:ind w:left="0" w:firstLine="0" w:firstLineChars="0"/>
        <w:rPr>
          <w:rFonts w:ascii="Times New Roman" w:hAnsi="Times New Roman"/>
          <w:b/>
          <w:bCs/>
          <w:szCs w:val="21"/>
        </w:rPr>
      </w:pPr>
      <w:r>
        <w:rPr>
          <w:rFonts w:ascii="Times New Roman" w:hAnsi="Times New Roman"/>
          <w:b/>
          <w:bCs/>
          <w:szCs w:val="21"/>
        </w:rPr>
        <w:t>售后服务</w:t>
      </w:r>
    </w:p>
    <w:p>
      <w:pPr>
        <w:pStyle w:val="29"/>
        <w:numPr>
          <w:ilvl w:val="0"/>
          <w:numId w:val="23"/>
        </w:numPr>
        <w:snapToGrid w:val="0"/>
        <w:ind w:firstLineChars="0"/>
        <w:rPr>
          <w:rFonts w:ascii="Times New Roman" w:hAnsi="Times New Roman"/>
          <w:szCs w:val="21"/>
        </w:rPr>
      </w:pPr>
      <w:r>
        <w:rPr>
          <w:rFonts w:ascii="Times New Roman" w:hAnsi="Times New Roman"/>
          <w:szCs w:val="21"/>
        </w:rPr>
        <w:t>乙方应对甲方工作人员进行培训：***</w:t>
      </w:r>
      <w:r>
        <w:rPr>
          <w:rFonts w:hint="eastAsia" w:ascii="Times New Roman" w:hAnsi="Times New Roman"/>
          <w:i/>
          <w:iCs/>
          <w:szCs w:val="21"/>
          <w:highlight w:val="yellow"/>
        </w:rPr>
        <w:t>&lt;具体培训内容</w:t>
      </w:r>
      <w:r>
        <w:rPr>
          <w:rFonts w:ascii="Times New Roman" w:hAnsi="Times New Roman"/>
          <w:i/>
          <w:iCs/>
          <w:szCs w:val="21"/>
          <w:highlight w:val="yellow"/>
        </w:rPr>
        <w:t>可根据项目具体情况编制</w:t>
      </w:r>
      <w:r>
        <w:rPr>
          <w:rFonts w:hint="eastAsia" w:ascii="Times New Roman" w:hAnsi="Times New Roman"/>
          <w:i/>
          <w:iCs/>
          <w:szCs w:val="21"/>
          <w:highlight w:val="yellow"/>
        </w:rPr>
        <w:t>&gt;</w:t>
      </w:r>
      <w:r>
        <w:rPr>
          <w:rFonts w:ascii="Times New Roman" w:hAnsi="Times New Roman"/>
        </w:rPr>
        <w:t>。</w:t>
      </w:r>
      <w:r>
        <w:rPr>
          <w:rFonts w:ascii="Times New Roman" w:hAnsi="Times New Roman"/>
          <w:szCs w:val="21"/>
        </w:rPr>
        <w:t>货物</w:t>
      </w:r>
      <w:r>
        <w:rPr>
          <w:rFonts w:hint="eastAsia" w:ascii="Times New Roman" w:hAnsi="Times New Roman"/>
          <w:szCs w:val="21"/>
        </w:rPr>
        <w:t>如需</w:t>
      </w:r>
      <w:r>
        <w:rPr>
          <w:rFonts w:ascii="Times New Roman" w:hAnsi="Times New Roman"/>
          <w:szCs w:val="21"/>
        </w:rPr>
        <w:t>安装调试</w:t>
      </w:r>
      <w:r>
        <w:rPr>
          <w:rFonts w:hint="eastAsia" w:ascii="Times New Roman" w:hAnsi="Times New Roman"/>
          <w:szCs w:val="21"/>
        </w:rPr>
        <w:t>，</w:t>
      </w:r>
      <w:r>
        <w:rPr>
          <w:rFonts w:ascii="Times New Roman" w:hAnsi="Times New Roman"/>
          <w:szCs w:val="21"/>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rPr>
        <w:t>方法</w:t>
      </w:r>
      <w:r>
        <w:rPr>
          <w:rFonts w:ascii="Times New Roman" w:hAnsi="Times New Roman"/>
          <w:szCs w:val="21"/>
        </w:rPr>
        <w:t>，保证正常运行并能排除一般</w:t>
      </w:r>
      <w:r>
        <w:rPr>
          <w:rFonts w:hint="eastAsia" w:ascii="Times New Roman" w:hAnsi="Times New Roman"/>
          <w:szCs w:val="21"/>
        </w:rPr>
        <w:t>性</w:t>
      </w:r>
      <w:r>
        <w:rPr>
          <w:rFonts w:ascii="Times New Roman" w:hAnsi="Times New Roman"/>
          <w:szCs w:val="21"/>
        </w:rPr>
        <w:t>故障。乙方应对</w:t>
      </w:r>
      <w:r>
        <w:rPr>
          <w:rFonts w:hint="eastAsia" w:ascii="Times New Roman" w:hAnsi="Times New Roman"/>
          <w:szCs w:val="21"/>
        </w:rPr>
        <w:t>甲方</w:t>
      </w:r>
      <w:r>
        <w:rPr>
          <w:rFonts w:ascii="Times New Roman" w:hAnsi="Times New Roman"/>
          <w:szCs w:val="21"/>
        </w:rPr>
        <w:t>维修工程师进行全系统维修培训。</w:t>
      </w:r>
    </w:p>
    <w:p>
      <w:pPr>
        <w:pStyle w:val="29"/>
        <w:numPr>
          <w:ilvl w:val="0"/>
          <w:numId w:val="23"/>
        </w:numPr>
        <w:snapToGrid w:val="0"/>
        <w:ind w:firstLineChars="0"/>
        <w:rPr>
          <w:rFonts w:ascii="Times New Roman" w:hAnsi="Times New Roman"/>
          <w:szCs w:val="21"/>
        </w:rPr>
      </w:pPr>
      <w:r>
        <w:rPr>
          <w:rFonts w:ascii="Times New Roman" w:hAnsi="Times New Roman"/>
          <w:szCs w:val="21"/>
        </w:rPr>
        <w:t>质保期为验收合格后 *** 年（合同签订后甲方出具验收报告之日起）</w:t>
      </w:r>
    </w:p>
    <w:p>
      <w:pPr>
        <w:pStyle w:val="29"/>
        <w:numPr>
          <w:ilvl w:val="0"/>
          <w:numId w:val="23"/>
        </w:numPr>
        <w:snapToGrid w:val="0"/>
        <w:ind w:firstLineChars="0"/>
        <w:contextualSpacing/>
        <w:rPr>
          <w:rFonts w:ascii="Times New Roman" w:hAnsi="Times New Roman"/>
          <w:szCs w:val="21"/>
        </w:rPr>
      </w:pPr>
      <w:r>
        <w:rPr>
          <w:rFonts w:ascii="Times New Roman" w:hAnsi="Times New Roman"/>
          <w:szCs w:val="21"/>
        </w:rPr>
        <w:t>质保范围：</w:t>
      </w:r>
      <w:r>
        <w:rPr>
          <w:rFonts w:ascii="Times New Roman" w:hAnsi="Times New Roman"/>
        </w:rPr>
        <w:t>整机含所有部件（质保期内涉及维修,产品更换,人工费用等一切费用包含在本合同总价中</w:t>
      </w:r>
      <w:r>
        <w:rPr>
          <w:rFonts w:hint="eastAsia" w:ascii="Times New Roman" w:hAnsi="Times New Roman"/>
        </w:rPr>
        <w:t>）</w:t>
      </w:r>
      <w:r>
        <w:rPr>
          <w:rFonts w:ascii="Times New Roman" w:hAnsi="Times New Roman"/>
        </w:rPr>
        <w:t>。</w:t>
      </w:r>
      <w:r>
        <w:rPr>
          <w:rFonts w:ascii="Times New Roman" w:hAnsi="Times New Roman"/>
          <w:szCs w:val="21"/>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rPr>
        <w:t>货物</w:t>
      </w:r>
      <w:r>
        <w:rPr>
          <w:rFonts w:eastAsia="Songti SC"/>
        </w:rPr>
        <w:t>在质保期内因同一故障</w:t>
      </w:r>
      <w:r>
        <w:rPr>
          <w:rFonts w:ascii="Times New Roman" w:hAnsi="Times New Roman"/>
          <w:szCs w:val="21"/>
        </w:rPr>
        <w:t>经乙方两次维修仍不能达到本合同约定的</w:t>
      </w:r>
      <w:r>
        <w:rPr>
          <w:rFonts w:hint="eastAsia" w:ascii="Times New Roman" w:hAnsi="Times New Roman"/>
        </w:rPr>
        <w:t>技术要求及国家法律法规规定的</w:t>
      </w:r>
      <w:r>
        <w:rPr>
          <w:rFonts w:ascii="Times New Roman" w:hAnsi="Times New Roman"/>
          <w:szCs w:val="21"/>
        </w:rPr>
        <w:t>质量标准，甲方有权采取要求乙方更换全新货物</w:t>
      </w:r>
      <w:r>
        <w:rPr>
          <w:rFonts w:hint="eastAsia" w:ascii="Times New Roman" w:hAnsi="Times New Roman"/>
          <w:szCs w:val="21"/>
        </w:rPr>
        <w:t>或</w:t>
      </w:r>
      <w:r>
        <w:rPr>
          <w:rFonts w:ascii="Times New Roman" w:hAnsi="Times New Roman"/>
          <w:szCs w:val="21"/>
        </w:rPr>
        <w:t>退货并追究乙方违约责任等措施。质保期内，如需更换零配件，乙方应保证所更换的零配件与原货物相同规格和品质，费用包括在合同总价中。</w:t>
      </w:r>
    </w:p>
    <w:p>
      <w:pPr>
        <w:pStyle w:val="29"/>
        <w:numPr>
          <w:ilvl w:val="0"/>
          <w:numId w:val="23"/>
        </w:numPr>
        <w:snapToGrid w:val="0"/>
        <w:ind w:firstLineChars="0"/>
        <w:rPr>
          <w:rFonts w:ascii="Times New Roman" w:hAnsi="Times New Roman"/>
          <w:szCs w:val="21"/>
        </w:rPr>
      </w:pPr>
      <w:r>
        <w:rPr>
          <w:rFonts w:ascii="Times New Roman" w:hAnsi="Times New Roman"/>
          <w:szCs w:val="21"/>
        </w:rPr>
        <w:t>乙方须指派专人负责与甲方联系售后服务事宜</w:t>
      </w:r>
      <w:r>
        <w:rPr>
          <w:rFonts w:hint="eastAsia" w:ascii="Times New Roman" w:hAnsi="Times New Roman"/>
          <w:szCs w:val="21"/>
        </w:rPr>
        <w:t>，</w:t>
      </w:r>
      <w:r>
        <w:rPr>
          <w:rFonts w:ascii="Times New Roman" w:hAnsi="Times New Roman"/>
          <w:szCs w:val="21"/>
        </w:rPr>
        <w:t>联系人：***</w:t>
      </w:r>
      <w:r>
        <w:rPr>
          <w:rFonts w:hint="eastAsia" w:ascii="Times New Roman" w:hAnsi="Times New Roman"/>
          <w:szCs w:val="21"/>
        </w:rPr>
        <w:t>，</w:t>
      </w:r>
      <w:r>
        <w:rPr>
          <w:rFonts w:ascii="Times New Roman" w:hAnsi="Times New Roman"/>
          <w:szCs w:val="21"/>
        </w:rPr>
        <w:t>联系电话：</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w:t>
      </w:r>
    </w:p>
    <w:p>
      <w:pPr>
        <w:pStyle w:val="29"/>
        <w:numPr>
          <w:ilvl w:val="0"/>
          <w:numId w:val="23"/>
        </w:numPr>
        <w:snapToGrid w:val="0"/>
        <w:ind w:firstLineChars="0"/>
        <w:rPr>
          <w:rFonts w:ascii="Times New Roman" w:hAnsi="Times New Roman"/>
          <w:szCs w:val="21"/>
        </w:rPr>
      </w:pPr>
      <w:r>
        <w:rPr>
          <w:rFonts w:eastAsia="Songti SC"/>
        </w:rPr>
        <w:t>质保期内，</w:t>
      </w:r>
      <w:r>
        <w:rPr>
          <w:rFonts w:hint="eastAsia" w:eastAsia="Songti SC"/>
        </w:rPr>
        <w:t>货物因自身故障导致的</w:t>
      </w:r>
      <w:r>
        <w:rPr>
          <w:rFonts w:eastAsia="Songti SC"/>
        </w:rPr>
        <w:t>停机率不应超过5%（一年按365天计算），否则</w:t>
      </w:r>
      <w:r>
        <w:rPr>
          <w:rFonts w:hint="eastAsia" w:eastAsia="Songti SC"/>
        </w:rPr>
        <w:t>乙方</w:t>
      </w:r>
      <w:r>
        <w:rPr>
          <w:rFonts w:eastAsia="Songti SC"/>
        </w:rPr>
        <w:t>应就超出部分（</w:t>
      </w:r>
      <w:r>
        <w:rPr>
          <w:rFonts w:hint="eastAsia" w:eastAsia="Songti SC"/>
        </w:rPr>
        <w:t>乙方</w:t>
      </w:r>
      <w:r>
        <w:rPr>
          <w:rFonts w:eastAsia="Songti SC"/>
        </w:rPr>
        <w:t>已提供备用机并保障</w:t>
      </w:r>
      <w:r>
        <w:rPr>
          <w:rFonts w:hint="eastAsia" w:eastAsia="Songti SC"/>
        </w:rPr>
        <w:t>甲方</w:t>
      </w:r>
      <w:r>
        <w:rPr>
          <w:rFonts w:eastAsia="Songti SC"/>
        </w:rPr>
        <w:t>正常使用的时间，不计算为停机时间）按天数向</w:t>
      </w:r>
      <w:r>
        <w:rPr>
          <w:rFonts w:hint="eastAsia" w:eastAsia="Songti SC"/>
        </w:rPr>
        <w:t>甲方</w:t>
      </w:r>
      <w:r>
        <w:rPr>
          <w:rFonts w:eastAsia="Songti SC"/>
        </w:rPr>
        <w:t>赔偿经济损失</w:t>
      </w:r>
      <w:r>
        <w:rPr>
          <w:rFonts w:ascii="Times New Roman" w:hAnsi="Times New Roman"/>
          <w:szCs w:val="21"/>
        </w:rPr>
        <w:t>。</w:t>
      </w:r>
    </w:p>
    <w:p>
      <w:pPr>
        <w:pStyle w:val="29"/>
        <w:numPr>
          <w:ilvl w:val="0"/>
          <w:numId w:val="23"/>
        </w:numPr>
        <w:snapToGrid w:val="0"/>
        <w:ind w:firstLineChars="0"/>
        <w:rPr>
          <w:rFonts w:ascii="Times New Roman" w:hAnsi="Times New Roman"/>
          <w:szCs w:val="21"/>
        </w:rPr>
      </w:pPr>
      <w:r>
        <w:rPr>
          <w:rFonts w:ascii="Times New Roman" w:hAnsi="Times New Roman"/>
          <w:szCs w:val="21"/>
        </w:rPr>
        <w:t>若货物涉及计算机软件系统的，乙方有义务为甲方此后对货物完全的使用（含维护）提供便利及支持，包括但不限于源代码、密码的提供，乙方不得拒绝或收取额外费用。</w:t>
      </w:r>
    </w:p>
    <w:p>
      <w:pPr>
        <w:pStyle w:val="29"/>
        <w:numPr>
          <w:ilvl w:val="0"/>
          <w:numId w:val="23"/>
        </w:numPr>
        <w:snapToGrid w:val="0"/>
        <w:ind w:firstLineChars="0"/>
        <w:rPr>
          <w:rFonts w:ascii="Times New Roman" w:hAnsi="Times New Roman"/>
          <w:szCs w:val="21"/>
        </w:rPr>
      </w:pPr>
      <w:r>
        <w:rPr>
          <w:rFonts w:ascii="Times New Roman" w:hAnsi="Times New Roman"/>
        </w:rPr>
        <w:t>质保期内，如</w:t>
      </w:r>
      <w:r>
        <w:rPr>
          <w:rFonts w:hint="eastAsia" w:ascii="Times New Roman" w:hAnsi="Times New Roman"/>
        </w:rPr>
        <w:t>货物</w:t>
      </w:r>
      <w:r>
        <w:rPr>
          <w:rFonts w:ascii="Times New Roman" w:hAnsi="Times New Roman"/>
        </w:rPr>
        <w:t>因维修无法使用，</w:t>
      </w:r>
      <w:r>
        <w:rPr>
          <w:rFonts w:hint="eastAsia" w:ascii="Times New Roman" w:hAnsi="Times New Roman"/>
        </w:rPr>
        <w:t>乙方</w:t>
      </w:r>
      <w:r>
        <w:rPr>
          <w:rFonts w:ascii="Times New Roman" w:hAnsi="Times New Roman"/>
        </w:rPr>
        <w:t>应根据</w:t>
      </w:r>
      <w:r>
        <w:rPr>
          <w:rFonts w:hint="eastAsia" w:ascii="Times New Roman" w:hAnsi="Times New Roman"/>
        </w:rPr>
        <w:t>甲方</w:t>
      </w:r>
      <w:r>
        <w:rPr>
          <w:rFonts w:ascii="Times New Roman" w:hAnsi="Times New Roman"/>
        </w:rPr>
        <w:t>需要向</w:t>
      </w:r>
      <w:r>
        <w:rPr>
          <w:rFonts w:hint="eastAsia" w:ascii="Times New Roman" w:hAnsi="Times New Roman"/>
        </w:rPr>
        <w:t>甲方</w:t>
      </w:r>
      <w:r>
        <w:rPr>
          <w:rFonts w:ascii="Times New Roman" w:hAnsi="Times New Roman"/>
        </w:rPr>
        <w:t>提供</w:t>
      </w:r>
      <w:r>
        <w:rPr>
          <w:rFonts w:ascii="Times New Roman" w:hAnsi="Times New Roman"/>
          <w:szCs w:val="21"/>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pPr>
        <w:pStyle w:val="29"/>
        <w:numPr>
          <w:ilvl w:val="0"/>
          <w:numId w:val="23"/>
        </w:numPr>
        <w:snapToGrid w:val="0"/>
        <w:ind w:firstLineChars="0"/>
        <w:rPr>
          <w:rFonts w:ascii="Times New Roman" w:hAnsi="Times New Roman"/>
          <w:szCs w:val="21"/>
        </w:rPr>
      </w:pPr>
      <w:r>
        <w:rPr>
          <w:rFonts w:ascii="Times New Roman" w:hAnsi="Times New Roman"/>
          <w:szCs w:val="21"/>
        </w:rPr>
        <w:t>售后服务涉及费用均包含在合同总价中。</w:t>
      </w:r>
    </w:p>
    <w:p>
      <w:pPr>
        <w:pStyle w:val="29"/>
        <w:numPr>
          <w:ilvl w:val="0"/>
          <w:numId w:val="23"/>
        </w:numPr>
        <w:snapToGrid w:val="0"/>
        <w:ind w:firstLineChars="0"/>
        <w:rPr>
          <w:rFonts w:ascii="Times New Roman" w:hAnsi="Times New Roman"/>
          <w:szCs w:val="21"/>
        </w:rPr>
      </w:pPr>
      <w:r>
        <w:rPr>
          <w:rFonts w:ascii="Times New Roman" w:hAnsi="Times New Roman"/>
          <w:szCs w:val="21"/>
        </w:rPr>
        <w:t>质保期外，若出现停机或不能使用等故障，乙方</w:t>
      </w:r>
      <w:r>
        <w:rPr>
          <w:rFonts w:hint="eastAsia" w:ascii="Times New Roman" w:hAnsi="Times New Roman"/>
          <w:szCs w:val="21"/>
        </w:rPr>
        <w:t>应</w:t>
      </w:r>
      <w:r>
        <w:rPr>
          <w:rFonts w:ascii="Times New Roman" w:hAnsi="Times New Roman"/>
          <w:szCs w:val="21"/>
        </w:rPr>
        <w:t>按维修响应要求</w:t>
      </w:r>
      <w:r>
        <w:rPr>
          <w:rFonts w:hint="eastAsia" w:ascii="Times New Roman" w:hAnsi="Times New Roman"/>
          <w:szCs w:val="21"/>
        </w:rPr>
        <w:t>提供相应的技术支持提供，</w:t>
      </w:r>
      <w:r>
        <w:rPr>
          <w:rFonts w:ascii="Times New Roman" w:hAnsi="Times New Roman"/>
          <w:szCs w:val="21"/>
        </w:rPr>
        <w:t>如乙方未能按上述约定及时履行维修义务，甲方有权按实际经济损失要求赔偿并追究相应的法律责任。</w:t>
      </w:r>
    </w:p>
    <w:p>
      <w:pPr>
        <w:pStyle w:val="29"/>
        <w:numPr>
          <w:ilvl w:val="0"/>
          <w:numId w:val="23"/>
        </w:numPr>
        <w:snapToGrid w:val="0"/>
        <w:ind w:firstLineChars="0"/>
        <w:rPr>
          <w:rFonts w:ascii="Times New Roman" w:hAnsi="Times New Roman"/>
          <w:szCs w:val="21"/>
        </w:rPr>
      </w:pPr>
      <w:r>
        <w:rPr>
          <w:rFonts w:ascii="Times New Roman" w:hAnsi="Times New Roman"/>
          <w:szCs w:val="21"/>
        </w:rPr>
        <w:tab/>
      </w:r>
      <w:r>
        <w:rPr>
          <w:rFonts w:ascii="Times New Roman" w:hAnsi="Times New Roman"/>
          <w:szCs w:val="21"/>
        </w:rPr>
        <w:t>因乙方原因不能够达到上述货物质保及售后服务的约定，按甲方实际</w:t>
      </w:r>
      <w:r>
        <w:rPr>
          <w:rFonts w:hint="eastAsia" w:ascii="Times New Roman" w:hAnsi="Times New Roman"/>
          <w:szCs w:val="21"/>
        </w:rPr>
        <w:t>无法使用货物的</w:t>
      </w:r>
      <w:r>
        <w:rPr>
          <w:rFonts w:ascii="Times New Roman" w:hAnsi="Times New Roman"/>
          <w:szCs w:val="21"/>
        </w:rPr>
        <w:t>天数自动延长其质保期,甲方有权延后</w:t>
      </w:r>
      <w:r>
        <w:rPr>
          <w:rFonts w:hint="eastAsia" w:ascii="Times New Roman" w:hAnsi="Times New Roman"/>
          <w:szCs w:val="21"/>
        </w:rPr>
        <w:t>履约保证金</w:t>
      </w:r>
      <w:r>
        <w:rPr>
          <w:rFonts w:ascii="Times New Roman" w:hAnsi="Times New Roman"/>
          <w:szCs w:val="21"/>
        </w:rPr>
        <w:t>的</w:t>
      </w:r>
      <w:r>
        <w:rPr>
          <w:rFonts w:hint="eastAsia" w:ascii="Times New Roman" w:hAnsi="Times New Roman"/>
          <w:szCs w:val="21"/>
        </w:rPr>
        <w:t>退还</w:t>
      </w:r>
      <w:r>
        <w:rPr>
          <w:rFonts w:ascii="Times New Roman" w:hAnsi="Times New Roman"/>
          <w:szCs w:val="21"/>
        </w:rPr>
        <w:t>时间，并追究乙方因此引发的相应的法律责任。</w:t>
      </w:r>
    </w:p>
    <w:p>
      <w:pPr>
        <w:pStyle w:val="29"/>
        <w:numPr>
          <w:ilvl w:val="0"/>
          <w:numId w:val="13"/>
        </w:numPr>
        <w:snapToGrid w:val="0"/>
        <w:ind w:left="0" w:firstLine="0" w:firstLineChars="0"/>
        <w:rPr>
          <w:rFonts w:ascii="Times New Roman" w:hAnsi="Times New Roman"/>
          <w:b/>
          <w:bCs/>
          <w:szCs w:val="21"/>
        </w:rPr>
      </w:pPr>
      <w:r>
        <w:rPr>
          <w:rFonts w:hint="eastAsia" w:ascii="Times New Roman" w:hAnsi="Times New Roman"/>
          <w:b/>
          <w:bCs/>
          <w:szCs w:val="21"/>
        </w:rPr>
        <w:t>双方的权利和义务</w:t>
      </w:r>
    </w:p>
    <w:p>
      <w:pPr>
        <w:pStyle w:val="29"/>
        <w:numPr>
          <w:ilvl w:val="0"/>
          <w:numId w:val="24"/>
        </w:numPr>
        <w:snapToGrid w:val="0"/>
        <w:ind w:firstLineChars="0"/>
        <w:rPr>
          <w:rFonts w:hint="eastAsia" w:ascii="Times New Roman" w:hAnsi="Times New Roman"/>
          <w:szCs w:val="21"/>
        </w:rPr>
      </w:pPr>
      <w:r>
        <w:rPr>
          <w:rFonts w:hint="eastAsia" w:ascii="Times New Roman" w:hAnsi="Times New Roman"/>
          <w:szCs w:val="21"/>
        </w:rPr>
        <w:t>甲方的权利和义务：</w:t>
      </w:r>
    </w:p>
    <w:p>
      <w:pPr>
        <w:pStyle w:val="29"/>
        <w:numPr>
          <w:ilvl w:val="0"/>
          <w:numId w:val="25"/>
        </w:numPr>
        <w:snapToGrid w:val="0"/>
        <w:ind w:left="525" w:hanging="525" w:hangingChars="250"/>
        <w:rPr>
          <w:rFonts w:hint="eastAsia" w:ascii="Times New Roman" w:hAnsi="Times New Roman"/>
          <w:szCs w:val="21"/>
        </w:rPr>
      </w:pPr>
      <w:r>
        <w:rPr>
          <w:rFonts w:hint="eastAsia" w:ascii="Times New Roman" w:hAnsi="Times New Roman"/>
          <w:szCs w:val="21"/>
        </w:rPr>
        <w:t>甲方有权获得乙方所提供的货物及相关服务。</w:t>
      </w:r>
    </w:p>
    <w:p>
      <w:pPr>
        <w:pStyle w:val="29"/>
        <w:numPr>
          <w:ilvl w:val="0"/>
          <w:numId w:val="25"/>
        </w:numPr>
        <w:snapToGrid w:val="0"/>
        <w:ind w:left="525" w:hanging="525" w:hangingChars="250"/>
        <w:rPr>
          <w:rFonts w:hint="eastAsia" w:ascii="Times New Roman" w:hAnsi="Times New Roman"/>
          <w:szCs w:val="21"/>
        </w:rPr>
      </w:pPr>
      <w:r>
        <w:rPr>
          <w:rFonts w:hint="eastAsia" w:ascii="Times New Roman" w:hAnsi="Times New Roman"/>
          <w:szCs w:val="21"/>
        </w:rPr>
        <w:t>甲方有权及时了解和监督乙方备货的进展情况。</w:t>
      </w:r>
    </w:p>
    <w:p>
      <w:pPr>
        <w:pStyle w:val="29"/>
        <w:numPr>
          <w:ilvl w:val="0"/>
          <w:numId w:val="25"/>
        </w:numPr>
        <w:snapToGrid w:val="0"/>
        <w:ind w:left="525" w:hanging="525" w:hangingChars="250"/>
        <w:rPr>
          <w:rFonts w:hint="eastAsia" w:ascii="Times New Roman" w:hAnsi="Times New Roman"/>
          <w:szCs w:val="21"/>
        </w:rPr>
      </w:pPr>
      <w:r>
        <w:rPr>
          <w:rFonts w:hint="eastAsia" w:ascii="Times New Roman" w:hAnsi="Times New Roman"/>
          <w:szCs w:val="21"/>
        </w:rPr>
        <w:t>甲方应向乙方提供完成货物安装、调试等所必需的资料和工作条件。</w:t>
      </w:r>
    </w:p>
    <w:p>
      <w:pPr>
        <w:pStyle w:val="29"/>
        <w:numPr>
          <w:ilvl w:val="0"/>
          <w:numId w:val="25"/>
        </w:numPr>
        <w:snapToGrid w:val="0"/>
        <w:ind w:left="525" w:hanging="525" w:hangingChars="250"/>
        <w:rPr>
          <w:rFonts w:ascii="Times New Roman" w:hAnsi="Times New Roman"/>
          <w:szCs w:val="21"/>
        </w:rPr>
      </w:pPr>
      <w:r>
        <w:rPr>
          <w:rFonts w:hint="eastAsia" w:ascii="Times New Roman" w:hAnsi="Times New Roman"/>
          <w:szCs w:val="21"/>
        </w:rPr>
        <w:t>甲方应按照合同约定向乙方支付合同价款。</w:t>
      </w:r>
    </w:p>
    <w:p>
      <w:pPr>
        <w:pStyle w:val="29"/>
        <w:numPr>
          <w:ilvl w:val="0"/>
          <w:numId w:val="24"/>
        </w:numPr>
        <w:snapToGrid w:val="0"/>
        <w:ind w:firstLineChars="0"/>
        <w:rPr>
          <w:rFonts w:hint="eastAsia" w:ascii="Times New Roman" w:hAnsi="Times New Roman"/>
          <w:szCs w:val="21"/>
        </w:rPr>
      </w:pPr>
      <w:r>
        <w:rPr>
          <w:rFonts w:hint="eastAsia" w:ascii="Times New Roman" w:hAnsi="Times New Roman"/>
          <w:szCs w:val="21"/>
        </w:rPr>
        <w:t>乙方的权利和义务：</w:t>
      </w:r>
    </w:p>
    <w:p>
      <w:pPr>
        <w:pStyle w:val="29"/>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乙方有权按照本合同约定收取合同价款。</w:t>
      </w:r>
    </w:p>
    <w:p>
      <w:pPr>
        <w:pStyle w:val="29"/>
        <w:numPr>
          <w:ilvl w:val="0"/>
          <w:numId w:val="26"/>
        </w:numPr>
        <w:snapToGrid w:val="0"/>
        <w:ind w:left="525" w:hanging="525" w:hangingChars="250"/>
        <w:rPr>
          <w:rFonts w:ascii="Times New Roman" w:hAnsi="Times New Roman"/>
          <w:szCs w:val="21"/>
        </w:rPr>
      </w:pPr>
      <w:r>
        <w:rPr>
          <w:rFonts w:hint="eastAsia" w:ascii="Times New Roman" w:hAnsi="Times New Roman"/>
          <w:szCs w:val="21"/>
        </w:rPr>
        <w:t>乙方有权要求甲方提供货物安装、调试所必需的资料和工作条件。</w:t>
      </w:r>
    </w:p>
    <w:p>
      <w:pPr>
        <w:pStyle w:val="29"/>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乙方应派遣身体健康、有相关工作经验和相应技能的技术人员到甲方现场并提供安装、调试、测试、试运行、维护及培训等技术服务，该技术服务费用包括在本合同总价内。</w:t>
      </w:r>
    </w:p>
    <w:p>
      <w:pPr>
        <w:pStyle w:val="29"/>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pPr>
        <w:pStyle w:val="29"/>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pPr>
        <w:pStyle w:val="29"/>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乙方保证其所交付的货物不存在任何权利瑕疵，如任何第三方就乙方交付的货物向甲方提起侵权索赔，乙方应负责与第三方交涉，并承担由此引起的一切法律责任，相关费用由乙方承担。</w:t>
      </w:r>
    </w:p>
    <w:p>
      <w:pPr>
        <w:pStyle w:val="29"/>
        <w:numPr>
          <w:ilvl w:val="0"/>
          <w:numId w:val="26"/>
        </w:numPr>
        <w:snapToGrid w:val="0"/>
        <w:ind w:left="525" w:hanging="525" w:hangingChars="250"/>
        <w:rPr>
          <w:rFonts w:ascii="Times New Roman" w:hAnsi="Times New Roman"/>
          <w:szCs w:val="21"/>
        </w:rPr>
      </w:pPr>
      <w:r>
        <w:rPr>
          <w:rFonts w:hint="eastAsia" w:ascii="Times New Roman" w:hAnsi="Times New Roman"/>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pPr>
        <w:pStyle w:val="29"/>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乙方对依照本合同向甲方提供的货物在安装、调试、使用、维修、保养等过程中所获得的所有数据及甲方商业秘密或其它技术及经营信息均负有保密义务，不得向任何第三方透露或泄露。</w:t>
      </w:r>
    </w:p>
    <w:p>
      <w:pPr>
        <w:pStyle w:val="29"/>
        <w:numPr>
          <w:ilvl w:val="0"/>
          <w:numId w:val="13"/>
        </w:numPr>
        <w:snapToGrid w:val="0"/>
        <w:ind w:left="0" w:firstLine="0" w:firstLineChars="0"/>
        <w:rPr>
          <w:rFonts w:ascii="Times New Roman" w:hAnsi="Times New Roman"/>
          <w:b/>
          <w:bCs/>
          <w:szCs w:val="21"/>
        </w:rPr>
      </w:pPr>
      <w:r>
        <w:rPr>
          <w:rFonts w:ascii="Times New Roman" w:hAnsi="Times New Roman"/>
          <w:b/>
          <w:bCs/>
          <w:szCs w:val="21"/>
        </w:rPr>
        <w:t>违约责任</w:t>
      </w:r>
      <w:r>
        <w:rPr>
          <w:rFonts w:hint="eastAsia" w:ascii="Times New Roman" w:hAnsi="Times New Roman"/>
          <w:i/>
          <w:iCs/>
          <w:szCs w:val="21"/>
          <w:highlight w:val="yellow"/>
        </w:rPr>
        <w:t>&lt;本条款中违约金比例可根据项目实际情况确定&gt;</w:t>
      </w:r>
    </w:p>
    <w:p>
      <w:pPr>
        <w:pStyle w:val="29"/>
        <w:snapToGrid w:val="0"/>
        <w:ind w:firstLine="0" w:firstLineChars="0"/>
        <w:rPr>
          <w:rFonts w:ascii="Times New Roman" w:hAnsi="Times New Roman"/>
          <w:szCs w:val="21"/>
        </w:rPr>
      </w:pPr>
      <w:r>
        <w:rPr>
          <w:rFonts w:ascii="Times New Roman" w:hAnsi="Times New Roman"/>
          <w:szCs w:val="21"/>
        </w:rPr>
        <w:t>1.甲方违约责任：甲方无正当理由拒收货物的，甲方应偿付合同总</w:t>
      </w:r>
      <w:r>
        <w:rPr>
          <w:rFonts w:hint="eastAsia" w:ascii="Times New Roman" w:hAnsi="Times New Roman"/>
          <w:szCs w:val="21"/>
        </w:rPr>
        <w:t>金额的</w:t>
      </w:r>
      <w:r>
        <w:rPr>
          <w:rFonts w:hint="eastAsia" w:ascii="Times New Roman" w:hAnsi="Times New Roman"/>
          <w:szCs w:val="21"/>
          <w:u w:val="single"/>
        </w:rPr>
        <w:t>1</w:t>
      </w:r>
      <w:r>
        <w:rPr>
          <w:rFonts w:ascii="Times New Roman" w:hAnsi="Times New Roman"/>
          <w:szCs w:val="21"/>
          <w:u w:val="single"/>
        </w:rPr>
        <w:t>0%</w:t>
      </w:r>
      <w:r>
        <w:rPr>
          <w:rFonts w:hint="eastAsia" w:ascii="Times New Roman" w:hAnsi="Times New Roman"/>
          <w:szCs w:val="21"/>
        </w:rPr>
        <w:t>作为</w:t>
      </w:r>
      <w:r>
        <w:rPr>
          <w:rFonts w:ascii="Times New Roman" w:hAnsi="Times New Roman"/>
          <w:szCs w:val="21"/>
        </w:rPr>
        <w:t>违约金。</w:t>
      </w:r>
    </w:p>
    <w:p>
      <w:pPr>
        <w:pStyle w:val="29"/>
        <w:snapToGrid w:val="0"/>
        <w:ind w:firstLine="0" w:firstLineChars="0"/>
        <w:rPr>
          <w:rFonts w:ascii="Times New Roman" w:hAnsi="Times New Roman"/>
          <w:szCs w:val="21"/>
        </w:rPr>
      </w:pPr>
      <w:r>
        <w:rPr>
          <w:rFonts w:ascii="Times New Roman" w:hAnsi="Times New Roman"/>
          <w:szCs w:val="21"/>
        </w:rPr>
        <w:t>2.乙方违约责任：</w:t>
      </w:r>
    </w:p>
    <w:p>
      <w:pPr>
        <w:pStyle w:val="29"/>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乙方拒绝交付货物，或交付的货物经两次验收仍不符合本合同约定的验收标准，甲方有权解除合同，乙方须向甲方支付合同总金额的</w:t>
      </w:r>
      <w:r>
        <w:rPr>
          <w:rFonts w:hint="eastAsia" w:ascii="Times New Roman" w:hAnsi="Times New Roman"/>
          <w:szCs w:val="21"/>
          <w:u w:val="single"/>
        </w:rPr>
        <w:t>10</w:t>
      </w:r>
      <w:r>
        <w:rPr>
          <w:rFonts w:hint="eastAsia" w:ascii="Times New Roman" w:hAnsi="Times New Roman"/>
          <w:szCs w:val="21"/>
        </w:rPr>
        <w:t>%作为违约金，并承担其它相应的经济损失，</w:t>
      </w:r>
    </w:p>
    <w:p>
      <w:pPr>
        <w:pStyle w:val="29"/>
        <w:numPr>
          <w:ilvl w:val="0"/>
          <w:numId w:val="27"/>
        </w:numPr>
        <w:snapToGrid w:val="0"/>
        <w:ind w:left="525" w:hanging="525" w:hangingChars="250"/>
        <w:rPr>
          <w:rFonts w:ascii="Times New Roman" w:hAnsi="Times New Roman"/>
          <w:szCs w:val="21"/>
        </w:rPr>
      </w:pPr>
      <w:r>
        <w:rPr>
          <w:rFonts w:ascii="Times New Roman" w:hAnsi="Times New Roman"/>
          <w:szCs w:val="21"/>
        </w:rPr>
        <w:t>质保期内出现质量问题，</w:t>
      </w:r>
      <w:r>
        <w:rPr>
          <w:rFonts w:ascii="Times New Roman" w:hAnsi="Times New Roman"/>
        </w:rPr>
        <w:t>因同一故障经乙方两次维修</w:t>
      </w:r>
      <w:r>
        <w:rPr>
          <w:rFonts w:ascii="Times New Roman" w:hAnsi="Times New Roman"/>
          <w:szCs w:val="21"/>
        </w:rPr>
        <w:t>仍不能达到合同约定的</w:t>
      </w:r>
      <w:r>
        <w:rPr>
          <w:rFonts w:hint="eastAsia" w:ascii="Times New Roman" w:hAnsi="Times New Roman"/>
          <w:szCs w:val="21"/>
        </w:rPr>
        <w:t>功能</w:t>
      </w:r>
      <w:r>
        <w:rPr>
          <w:rFonts w:ascii="Times New Roman" w:hAnsi="Times New Roman"/>
          <w:szCs w:val="21"/>
        </w:rPr>
        <w:t>要求和技术指标，甲方有权解除合同并要求退货，乙方按照合同总</w:t>
      </w:r>
      <w:r>
        <w:rPr>
          <w:rFonts w:hint="eastAsia" w:ascii="Times New Roman" w:hAnsi="Times New Roman"/>
          <w:szCs w:val="21"/>
        </w:rPr>
        <w:t>金额</w:t>
      </w:r>
      <w:r>
        <w:rPr>
          <w:rFonts w:ascii="Times New Roman" w:hAnsi="Times New Roman"/>
          <w:szCs w:val="21"/>
        </w:rPr>
        <w:t>的</w:t>
      </w:r>
      <w:r>
        <w:rPr>
          <w:rFonts w:hint="eastAsia" w:ascii="Times New Roman" w:hAnsi="Times New Roman"/>
          <w:szCs w:val="21"/>
          <w:u w:val="single"/>
        </w:rPr>
        <w:t>10</w:t>
      </w:r>
      <w:r>
        <w:rPr>
          <w:rFonts w:ascii="Times New Roman" w:hAnsi="Times New Roman"/>
          <w:szCs w:val="21"/>
        </w:rPr>
        <w:t>%向甲方支付违约金。</w:t>
      </w:r>
    </w:p>
    <w:p>
      <w:pPr>
        <w:pStyle w:val="29"/>
        <w:numPr>
          <w:ilvl w:val="0"/>
          <w:numId w:val="27"/>
        </w:numPr>
        <w:snapToGrid w:val="0"/>
        <w:ind w:left="525" w:hanging="525" w:hangingChars="250"/>
        <w:rPr>
          <w:rFonts w:ascii="Times New Roman" w:hAnsi="Times New Roman"/>
          <w:szCs w:val="21"/>
        </w:rPr>
      </w:pPr>
      <w:r>
        <w:rPr>
          <w:rFonts w:ascii="Times New Roman" w:hAnsi="Times New Roman"/>
          <w:szCs w:val="21"/>
        </w:rPr>
        <w:t>因乙方原因逾期</w:t>
      </w:r>
      <w:r>
        <w:rPr>
          <w:rFonts w:hint="eastAsia" w:ascii="Times New Roman" w:hAnsi="Times New Roman"/>
          <w:szCs w:val="21"/>
        </w:rPr>
        <w:t>交付</w:t>
      </w:r>
      <w:r>
        <w:rPr>
          <w:rFonts w:ascii="Times New Roman" w:hAnsi="Times New Roman"/>
          <w:szCs w:val="21"/>
        </w:rPr>
        <w:t>，每</w:t>
      </w:r>
      <w:r>
        <w:rPr>
          <w:rFonts w:hint="eastAsia" w:ascii="Times New Roman" w:hAnsi="Times New Roman"/>
          <w:szCs w:val="21"/>
        </w:rPr>
        <w:t>逾期</w:t>
      </w:r>
      <w:r>
        <w:rPr>
          <w:rFonts w:ascii="Times New Roman" w:hAnsi="Times New Roman"/>
          <w:szCs w:val="21"/>
        </w:rPr>
        <w:t>一天，须向甲方支付合同总</w:t>
      </w:r>
      <w:r>
        <w:rPr>
          <w:rFonts w:hint="eastAsia" w:ascii="Times New Roman" w:hAnsi="Times New Roman"/>
          <w:szCs w:val="21"/>
        </w:rPr>
        <w:t>金额的</w:t>
      </w:r>
      <w:r>
        <w:rPr>
          <w:rFonts w:hint="eastAsia" w:ascii="Times New Roman" w:hAnsi="Times New Roman"/>
          <w:szCs w:val="21"/>
          <w:u w:val="single"/>
        </w:rPr>
        <w:t>***</w:t>
      </w:r>
      <w:r>
        <w:rPr>
          <w:rFonts w:hint="eastAsia" w:ascii="Times New Roman" w:hAnsi="Times New Roman"/>
          <w:szCs w:val="21"/>
        </w:rPr>
        <w:t>‰作为</w:t>
      </w:r>
      <w:r>
        <w:rPr>
          <w:rFonts w:ascii="Times New Roman" w:hAnsi="Times New Roman"/>
          <w:szCs w:val="21"/>
        </w:rPr>
        <w:t>违约金。因乙方原因逾期交货超过</w:t>
      </w:r>
      <w:r>
        <w:rPr>
          <w:rFonts w:hint="eastAsia" w:ascii="Times New Roman" w:hAnsi="Times New Roman"/>
          <w:szCs w:val="21"/>
          <w:u w:val="single"/>
        </w:rPr>
        <w:t>10</w:t>
      </w:r>
      <w:r>
        <w:rPr>
          <w:rFonts w:ascii="Times New Roman" w:hAnsi="Times New Roman"/>
          <w:szCs w:val="21"/>
        </w:rPr>
        <w:t>天，甲方有权</w:t>
      </w:r>
      <w:r>
        <w:rPr>
          <w:rFonts w:hint="eastAsia" w:ascii="Times New Roman" w:hAnsi="Times New Roman"/>
          <w:szCs w:val="21"/>
        </w:rPr>
        <w:t>单方面解除</w:t>
      </w:r>
      <w:r>
        <w:rPr>
          <w:rFonts w:ascii="Times New Roman" w:hAnsi="Times New Roman"/>
          <w:szCs w:val="21"/>
        </w:rPr>
        <w:t>合同</w:t>
      </w:r>
      <w:r>
        <w:rPr>
          <w:rFonts w:hint="eastAsia" w:ascii="Times New Roman" w:hAnsi="Times New Roman"/>
          <w:szCs w:val="21"/>
        </w:rPr>
        <w:t>，乙方须按合同总金额的</w:t>
      </w:r>
      <w:r>
        <w:rPr>
          <w:rFonts w:hint="eastAsia" w:ascii="Times New Roman" w:hAnsi="Times New Roman"/>
          <w:szCs w:val="21"/>
          <w:u w:val="single"/>
        </w:rPr>
        <w:t>10</w:t>
      </w:r>
      <w:r>
        <w:rPr>
          <w:rFonts w:hint="eastAsia" w:ascii="Times New Roman" w:hAnsi="Times New Roman"/>
          <w:szCs w:val="21"/>
        </w:rPr>
        <w:t>%向甲方支付违约金，</w:t>
      </w:r>
    </w:p>
    <w:p>
      <w:pPr>
        <w:pStyle w:val="29"/>
        <w:numPr>
          <w:ilvl w:val="0"/>
          <w:numId w:val="27"/>
        </w:numPr>
        <w:snapToGrid w:val="0"/>
        <w:ind w:left="525" w:hanging="525" w:hangingChars="250"/>
        <w:rPr>
          <w:rFonts w:ascii="Times New Roman" w:hAnsi="Times New Roman"/>
          <w:szCs w:val="21"/>
        </w:rPr>
      </w:pPr>
      <w:bookmarkStart w:id="96" w:name="OLE_LINK17"/>
      <w:bookmarkStart w:id="97" w:name="OLE_LINK18"/>
      <w:r>
        <w:rPr>
          <w:rFonts w:hint="eastAsia" w:ascii="Times New Roman" w:hAnsi="Times New Roman"/>
          <w:szCs w:val="21"/>
        </w:rPr>
        <w:t>乙方未按合同约定及时履行培训及维护义务时，每发生一次，乙方应按合同总金额的</w:t>
      </w:r>
      <w:r>
        <w:rPr>
          <w:rFonts w:hint="eastAsia" w:ascii="Times New Roman" w:hAnsi="Times New Roman"/>
          <w:szCs w:val="21"/>
          <w:u w:val="single"/>
        </w:rPr>
        <w:t>***</w:t>
      </w:r>
      <w:r>
        <w:rPr>
          <w:rFonts w:hint="eastAsia" w:ascii="Times New Roman" w:hAnsi="Times New Roman"/>
          <w:szCs w:val="21"/>
        </w:rPr>
        <w:t>‰向甲方支付违约金，乙方支付违约金的同时，仍有义务对甲方进行培训及对货物进行维护。</w:t>
      </w:r>
    </w:p>
    <w:p>
      <w:pPr>
        <w:pStyle w:val="29"/>
        <w:numPr>
          <w:ilvl w:val="0"/>
          <w:numId w:val="27"/>
        </w:numPr>
        <w:snapToGrid w:val="0"/>
        <w:ind w:left="525" w:hanging="525" w:hangingChars="250"/>
        <w:rPr>
          <w:rFonts w:hint="eastAsia" w:ascii="Times New Roman" w:hAnsi="Times New Roman"/>
          <w:szCs w:val="21"/>
        </w:rPr>
      </w:pPr>
      <w:r>
        <w:rPr>
          <w:rFonts w:ascii="Times New Roman" w:hAnsi="Times New Roman"/>
          <w:szCs w:val="21"/>
        </w:rPr>
        <w:t>乙方违反保密义务，甲方有权单方解除合同，乙方应按甲方实际损失向甲方进行赔偿并向甲方支付</w:t>
      </w:r>
      <w:r>
        <w:rPr>
          <w:rFonts w:hint="eastAsia" w:ascii="Times New Roman" w:hAnsi="Times New Roman"/>
          <w:szCs w:val="21"/>
        </w:rPr>
        <w:t>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作为违</w:t>
      </w:r>
      <w:r>
        <w:rPr>
          <w:rFonts w:ascii="Times New Roman" w:hAnsi="Times New Roman"/>
          <w:szCs w:val="21"/>
        </w:rPr>
        <w:t>约金。</w:t>
      </w:r>
    </w:p>
    <w:bookmarkEnd w:id="96"/>
    <w:bookmarkEnd w:id="97"/>
    <w:p>
      <w:pPr>
        <w:pStyle w:val="29"/>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乙方偿付的违约金不足以弥补甲方损失的，还应按甲方损失尚未弥补的部分，支付赔偿金给甲方。</w:t>
      </w:r>
    </w:p>
    <w:p>
      <w:pPr>
        <w:pStyle w:val="29"/>
        <w:numPr>
          <w:ilvl w:val="0"/>
          <w:numId w:val="27"/>
        </w:numPr>
        <w:snapToGrid w:val="0"/>
        <w:ind w:left="525" w:hanging="525" w:hangingChars="250"/>
        <w:rPr>
          <w:rFonts w:ascii="Times New Roman" w:hAnsi="Times New Roman"/>
          <w:szCs w:val="21"/>
        </w:rPr>
      </w:pPr>
      <w:r>
        <w:rPr>
          <w:rFonts w:ascii="Times New Roman" w:hAnsi="Times New Roman"/>
          <w:szCs w:val="21"/>
        </w:rPr>
        <w:t>乙方</w:t>
      </w:r>
      <w:r>
        <w:rPr>
          <w:rFonts w:hint="eastAsia" w:ascii="Times New Roman" w:hAnsi="Times New Roman"/>
          <w:szCs w:val="21"/>
        </w:rPr>
        <w:t>交付货物因</w:t>
      </w:r>
      <w:r>
        <w:rPr>
          <w:rFonts w:ascii="Times New Roman" w:hAnsi="Times New Roman"/>
          <w:szCs w:val="21"/>
        </w:rPr>
        <w:t>质量问题导致甲方及第三方人身、财产损失的，乙方承担由此造成的全部法律责任。</w:t>
      </w:r>
    </w:p>
    <w:p>
      <w:pPr>
        <w:pStyle w:val="29"/>
        <w:numPr>
          <w:ilvl w:val="0"/>
          <w:numId w:val="27"/>
        </w:numPr>
        <w:snapToGrid w:val="0"/>
        <w:ind w:left="525" w:hanging="525" w:hangingChars="250"/>
        <w:rPr>
          <w:rFonts w:ascii="Times New Roman" w:hAnsi="Times New Roman"/>
          <w:szCs w:val="21"/>
        </w:rPr>
      </w:pPr>
      <w:r>
        <w:rPr>
          <w:rFonts w:ascii="Times New Roman" w:hAnsi="Times New Roman"/>
          <w:szCs w:val="21"/>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7"/>
        </w:numPr>
        <w:snapToGrid w:val="0"/>
        <w:ind w:left="525" w:hanging="525" w:hangingChars="250"/>
        <w:rPr>
          <w:rFonts w:ascii="Times New Roman" w:hAnsi="Times New Roman"/>
          <w:szCs w:val="21"/>
        </w:rPr>
      </w:pPr>
      <w:r>
        <w:rPr>
          <w:rFonts w:ascii="Times New Roman" w:hAnsi="Times New Roman"/>
          <w:szCs w:val="21"/>
        </w:rPr>
        <w:t>乙方在</w:t>
      </w:r>
      <w:r>
        <w:rPr>
          <w:rFonts w:hint="eastAsia" w:ascii="Times New Roman" w:hAnsi="Times New Roman"/>
          <w:szCs w:val="21"/>
        </w:rPr>
        <w:t>安装、</w:t>
      </w:r>
      <w:r>
        <w:rPr>
          <w:rFonts w:ascii="Times New Roman" w:hAnsi="Times New Roman"/>
          <w:szCs w:val="21"/>
        </w:rPr>
        <w:t>调试及售后服务过程中，因未按规程</w:t>
      </w:r>
      <w:r>
        <w:rPr>
          <w:rFonts w:hint="eastAsia" w:ascii="Times New Roman" w:hAnsi="Times New Roman"/>
          <w:szCs w:val="21"/>
        </w:rPr>
        <w:t>操作、</w:t>
      </w:r>
      <w:r>
        <w:rPr>
          <w:rFonts w:ascii="Times New Roman" w:hAnsi="Times New Roman"/>
          <w:szCs w:val="21"/>
        </w:rPr>
        <w:t>未采取必要的安全防范措施等原因直接或间接造成甲方及第三方人身、财产损失的，由乙方承担由此造成的全部法律责任。</w:t>
      </w:r>
    </w:p>
    <w:p>
      <w:pPr>
        <w:pStyle w:val="29"/>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pStyle w:val="29"/>
        <w:snapToGrid w:val="0"/>
        <w:ind w:firstLine="0" w:firstLineChars="0"/>
        <w:rPr>
          <w:rFonts w:hint="eastAsia" w:ascii="Times New Roman" w:hAnsi="Times New Roman"/>
          <w:szCs w:val="21"/>
        </w:rPr>
      </w:pPr>
      <w:r>
        <w:rPr>
          <w:rFonts w:hint="eastAsia" w:ascii="Times New Roman" w:hAnsi="Times New Roman"/>
          <w:szCs w:val="21"/>
        </w:rPr>
        <w:t>3</w:t>
      </w:r>
      <w:r>
        <w:rPr>
          <w:rFonts w:ascii="Times New Roman" w:hAnsi="Times New Roman"/>
          <w:szCs w:val="21"/>
        </w:rPr>
        <w:t>.本合同履行中如有任何一方违约，那么守约方为保障自己合法权益而产生的律师费、诉讼费、差旅费、公告费等，均由违约方承担。</w:t>
      </w:r>
    </w:p>
    <w:p>
      <w:pPr>
        <w:pStyle w:val="29"/>
        <w:numPr>
          <w:ilvl w:val="0"/>
          <w:numId w:val="13"/>
        </w:numPr>
        <w:snapToGrid w:val="0"/>
        <w:ind w:left="0" w:firstLine="0" w:firstLineChars="0"/>
        <w:rPr>
          <w:rFonts w:ascii="Times New Roman" w:hAnsi="Times New Roman"/>
          <w:b/>
          <w:bCs/>
          <w:szCs w:val="21"/>
        </w:rPr>
      </w:pPr>
      <w:r>
        <w:rPr>
          <w:rFonts w:ascii="Times New Roman" w:hAnsi="Times New Roman"/>
          <w:b/>
          <w:bCs/>
          <w:szCs w:val="21"/>
        </w:rPr>
        <w:t>不可抗力</w:t>
      </w:r>
    </w:p>
    <w:p>
      <w:pPr>
        <w:pStyle w:val="29"/>
        <w:snapToGrid w:val="0"/>
        <w:rPr>
          <w:rFonts w:ascii="Times New Roman" w:hAnsi="Times New Roman"/>
          <w:bCs/>
          <w:szCs w:val="21"/>
        </w:rPr>
      </w:pPr>
      <w:r>
        <w:rPr>
          <w:rFonts w:ascii="Times New Roman" w:hAnsi="Times New Roman"/>
          <w:bCs/>
          <w:szCs w:val="21"/>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rPr>
        <w:t>日</w:t>
      </w:r>
      <w:r>
        <w:rPr>
          <w:rFonts w:ascii="Times New Roman" w:hAnsi="Times New Roman"/>
          <w:bCs/>
          <w:szCs w:val="21"/>
        </w:rPr>
        <w:t>，甲方有权解除合同，双方互不承担违约责任。</w:t>
      </w:r>
    </w:p>
    <w:p>
      <w:pPr>
        <w:pStyle w:val="29"/>
        <w:numPr>
          <w:ilvl w:val="0"/>
          <w:numId w:val="13"/>
        </w:numPr>
        <w:snapToGrid w:val="0"/>
        <w:ind w:left="0" w:firstLine="0" w:firstLineChars="0"/>
        <w:rPr>
          <w:rFonts w:ascii="Times New Roman" w:hAnsi="Times New Roman"/>
          <w:b/>
          <w:bCs/>
          <w:szCs w:val="21"/>
        </w:rPr>
      </w:pPr>
      <w:r>
        <w:rPr>
          <w:rFonts w:ascii="Times New Roman" w:hAnsi="Times New Roman"/>
          <w:b/>
          <w:bCs/>
          <w:szCs w:val="21"/>
        </w:rPr>
        <w:t>争议解决办法</w:t>
      </w:r>
    </w:p>
    <w:p>
      <w:pPr>
        <w:pStyle w:val="29"/>
        <w:numPr>
          <w:ilvl w:val="0"/>
          <w:numId w:val="28"/>
        </w:numPr>
        <w:snapToGrid w:val="0"/>
        <w:ind w:left="0" w:firstLine="0" w:firstLineChars="0"/>
        <w:rPr>
          <w:rFonts w:ascii="Times New Roman" w:hAnsi="Times New Roman"/>
          <w:szCs w:val="21"/>
        </w:rPr>
      </w:pPr>
      <w:r>
        <w:rPr>
          <w:rFonts w:ascii="Times New Roman" w:hAnsi="Times New Roman"/>
          <w:szCs w:val="21"/>
        </w:rPr>
        <w:t>因</w:t>
      </w:r>
      <w:r>
        <w:rPr>
          <w:rFonts w:hint="eastAsia" w:ascii="Times New Roman" w:hAnsi="Times New Roman"/>
          <w:szCs w:val="21"/>
        </w:rPr>
        <w:t>货物</w:t>
      </w:r>
      <w:r>
        <w:rPr>
          <w:rFonts w:ascii="Times New Roman" w:hAnsi="Times New Roman"/>
          <w:szCs w:val="21"/>
        </w:rPr>
        <w:t>的质量问题发生争议，由质量技术监督部门或其指定的质量鉴定机构进行质量鉴定。货物符合标准的，鉴定费由甲方承担；货物不符合质量标准的，鉴定费由乙方承担。</w:t>
      </w:r>
    </w:p>
    <w:p>
      <w:pPr>
        <w:pStyle w:val="29"/>
        <w:numPr>
          <w:ilvl w:val="0"/>
          <w:numId w:val="28"/>
        </w:numPr>
        <w:snapToGrid w:val="0"/>
        <w:ind w:left="0" w:firstLine="0" w:firstLineChars="0"/>
        <w:rPr>
          <w:rFonts w:ascii="Times New Roman" w:hAnsi="Times New Roman"/>
          <w:szCs w:val="21"/>
        </w:rPr>
      </w:pPr>
      <w:r>
        <w:rPr>
          <w:rFonts w:ascii="Times New Roman" w:hAnsi="Times New Roman"/>
          <w:szCs w:val="21"/>
        </w:rPr>
        <w:t>合同履行期间,若双方发生争议，可协商或由有关部门调解解决，协商或调解不成的，任何一方均有权向甲方</w:t>
      </w:r>
      <w:r>
        <w:rPr>
          <w:rFonts w:hint="eastAsia" w:ascii="Times New Roman" w:hAnsi="Times New Roman"/>
          <w:szCs w:val="21"/>
        </w:rPr>
        <w:t>所在地</w:t>
      </w:r>
      <w:r>
        <w:rPr>
          <w:rFonts w:ascii="Times New Roman" w:hAnsi="Times New Roman"/>
          <w:szCs w:val="21"/>
        </w:rPr>
        <w:t>具有管辖权的人民法院起诉。</w:t>
      </w:r>
    </w:p>
    <w:p>
      <w:pPr>
        <w:pStyle w:val="29"/>
        <w:numPr>
          <w:ilvl w:val="0"/>
          <w:numId w:val="13"/>
        </w:numPr>
        <w:snapToGrid w:val="0"/>
        <w:ind w:left="0" w:firstLine="0" w:firstLineChars="0"/>
        <w:rPr>
          <w:rFonts w:ascii="Times New Roman" w:hAnsi="Times New Roman"/>
          <w:b/>
          <w:bCs/>
          <w:szCs w:val="21"/>
        </w:rPr>
      </w:pPr>
      <w:r>
        <w:rPr>
          <w:rFonts w:ascii="Times New Roman" w:hAnsi="Times New Roman"/>
          <w:b/>
          <w:bCs/>
          <w:szCs w:val="21"/>
        </w:rPr>
        <w:t>送达</w:t>
      </w:r>
      <w:r>
        <w:rPr>
          <w:rFonts w:hint="eastAsia" w:ascii="Times New Roman" w:hAnsi="Times New Roman"/>
          <w:b/>
          <w:bCs/>
          <w:szCs w:val="21"/>
        </w:rPr>
        <w:t>（送达地址是司法机关、执法机关和仲裁机关将法律文书送达给当事人的收件地址）</w:t>
      </w:r>
    </w:p>
    <w:p>
      <w:pPr>
        <w:pStyle w:val="34"/>
        <w:numPr>
          <w:ilvl w:val="0"/>
          <w:numId w:val="29"/>
        </w:numPr>
        <w:snapToGrid w:val="0"/>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34"/>
        <w:numPr>
          <w:ilvl w:val="0"/>
          <w:numId w:val="29"/>
        </w:numPr>
        <w:snapToGrid w:val="0"/>
        <w:ind w:left="0" w:firstLine="0"/>
        <w:rPr>
          <w:rFonts w:hAnsi="Times New Roman" w:eastAsia="宋体" w:cs="Times New Roman"/>
          <w:color w:val="auto"/>
        </w:rPr>
      </w:pPr>
      <w:r>
        <w:rPr>
          <w:rFonts w:hAnsi="Times New Roman" w:eastAsia="宋体" w:cs="Times New Roman"/>
          <w:color w:val="auto"/>
        </w:rPr>
        <w:t>乙方送达地址：</w:t>
      </w:r>
      <w:r>
        <w:rPr>
          <w:rFonts w:hint="eastAsia" w:hAnsi="Times New Roman" w:eastAsia="宋体" w:cs="Times New Roman"/>
          <w:color w:val="auto"/>
        </w:rPr>
        <w:t>*</w:t>
      </w:r>
      <w:r>
        <w:rPr>
          <w:rFonts w:hAnsi="Times New Roman" w:eastAsia="宋体" w:cs="Times New Roman"/>
          <w:color w:val="auto"/>
        </w:rPr>
        <w:t>**</w:t>
      </w:r>
    </w:p>
    <w:p>
      <w:pPr>
        <w:pStyle w:val="34"/>
        <w:numPr>
          <w:ilvl w:val="0"/>
          <w:numId w:val="29"/>
        </w:numPr>
        <w:snapToGrid w:val="0"/>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3"/>
        </w:numPr>
        <w:snapToGrid w:val="0"/>
        <w:ind w:left="0" w:firstLine="0" w:firstLineChars="0"/>
        <w:rPr>
          <w:rFonts w:ascii="Times New Roman" w:hAnsi="Times New Roman"/>
          <w:b/>
          <w:bCs/>
          <w:szCs w:val="21"/>
        </w:rPr>
      </w:pPr>
      <w:r>
        <w:rPr>
          <w:rFonts w:ascii="Times New Roman" w:hAnsi="Times New Roman"/>
          <w:b/>
          <w:bCs/>
          <w:szCs w:val="21"/>
        </w:rPr>
        <w:t>其他</w:t>
      </w:r>
    </w:p>
    <w:p>
      <w:pPr>
        <w:pStyle w:val="29"/>
        <w:numPr>
          <w:ilvl w:val="0"/>
          <w:numId w:val="30"/>
        </w:numPr>
        <w:snapToGrid w:val="0"/>
        <w:ind w:left="0" w:firstLine="0" w:firstLineChars="0"/>
        <w:rPr>
          <w:rFonts w:ascii="Times New Roman" w:hAnsi="Times New Roman"/>
          <w:szCs w:val="21"/>
        </w:rPr>
      </w:pPr>
      <w:r>
        <w:rPr>
          <w:rFonts w:ascii="Times New Roman" w:hAnsi="Times New Roman"/>
          <w:szCs w:val="21"/>
        </w:rPr>
        <w:t>如有未尽事宜，由双方依法订立补充合同。补充合同</w:t>
      </w:r>
      <w:r>
        <w:rPr>
          <w:rFonts w:hint="eastAsia" w:ascii="Times New Roman" w:hAnsi="Times New Roman"/>
          <w:szCs w:val="21"/>
        </w:rPr>
        <w:t>及本合同</w:t>
      </w:r>
      <w:r>
        <w:rPr>
          <w:rFonts w:ascii="Times New Roman" w:hAnsi="Times New Roman"/>
          <w:szCs w:val="21"/>
        </w:rPr>
        <w:t>附件</w:t>
      </w:r>
      <w:r>
        <w:rPr>
          <w:rFonts w:hint="eastAsia" w:ascii="Times New Roman" w:hAnsi="Times New Roman"/>
          <w:szCs w:val="21"/>
        </w:rPr>
        <w:t>均</w:t>
      </w:r>
      <w:r>
        <w:rPr>
          <w:rFonts w:ascii="Times New Roman" w:hAnsi="Times New Roman"/>
          <w:szCs w:val="21"/>
        </w:rPr>
        <w:t>为本合同的组成部分，与本合同具有同等法律效力。</w:t>
      </w:r>
    </w:p>
    <w:p>
      <w:pPr>
        <w:pStyle w:val="29"/>
        <w:numPr>
          <w:ilvl w:val="0"/>
          <w:numId w:val="30"/>
        </w:numPr>
        <w:snapToGrid w:val="0"/>
        <w:ind w:left="0" w:firstLine="0" w:firstLineChars="0"/>
        <w:rPr>
          <w:rFonts w:ascii="Times New Roman" w:hAnsi="Times New Roman"/>
          <w:szCs w:val="21"/>
        </w:rPr>
      </w:pPr>
      <w:r>
        <w:rPr>
          <w:rFonts w:ascii="Times New Roman" w:hAnsi="Times New Roman"/>
          <w:szCs w:val="21"/>
        </w:rPr>
        <w:t>本合同一式</w:t>
      </w:r>
      <w:r>
        <w:rPr>
          <w:rFonts w:hint="eastAsia" w:ascii="Times New Roman" w:hAnsi="Times New Roman"/>
          <w:szCs w:val="21"/>
        </w:rPr>
        <w:t>四</w:t>
      </w:r>
      <w:r>
        <w:rPr>
          <w:rFonts w:ascii="Times New Roman" w:hAnsi="Times New Roman"/>
          <w:szCs w:val="21"/>
        </w:rPr>
        <w:t>份，自双方</w:t>
      </w:r>
      <w:r>
        <w:rPr>
          <w:rFonts w:hint="eastAsia" w:ascii="Times New Roman" w:hAnsi="Times New Roman"/>
          <w:szCs w:val="21"/>
        </w:rPr>
        <w:t>签字且盖章</w:t>
      </w:r>
      <w:r>
        <w:rPr>
          <w:rFonts w:ascii="Times New Roman" w:hAnsi="Times New Roman"/>
          <w:szCs w:val="21"/>
        </w:rPr>
        <w:t>之日起生效。甲方三份，乙方一份。</w:t>
      </w:r>
    </w:p>
    <w:p>
      <w:pPr>
        <w:pStyle w:val="29"/>
        <w:numPr>
          <w:ilvl w:val="0"/>
          <w:numId w:val="13"/>
        </w:numPr>
        <w:snapToGrid w:val="0"/>
        <w:ind w:left="0" w:firstLine="0" w:firstLineChars="0"/>
        <w:rPr>
          <w:rFonts w:ascii="Times New Roman" w:hAnsi="Times New Roman"/>
          <w:b/>
          <w:bCs/>
          <w:szCs w:val="21"/>
        </w:rPr>
      </w:pPr>
      <w:r>
        <w:rPr>
          <w:rFonts w:ascii="Times New Roman" w:hAnsi="Times New Roman"/>
          <w:b/>
          <w:bCs/>
          <w:szCs w:val="21"/>
        </w:rPr>
        <w:t>合同附件</w:t>
      </w:r>
    </w:p>
    <w:p>
      <w:pPr>
        <w:snapToGrid w:val="0"/>
        <w:rPr>
          <w:rFonts w:ascii="Times New Roman" w:hAnsi="Times New Roman"/>
          <w:szCs w:val="21"/>
        </w:rPr>
      </w:pPr>
      <w:r>
        <w:rPr>
          <w:rFonts w:ascii="Times New Roman" w:hAnsi="Times New Roman"/>
          <w:szCs w:val="21"/>
        </w:rPr>
        <w:t>附件1：配置清单</w:t>
      </w:r>
    </w:p>
    <w:p>
      <w:pPr>
        <w:snapToGrid w:val="0"/>
        <w:jc w:val="left"/>
        <w:rPr>
          <w:rFonts w:ascii="Times New Roman" w:hAnsi="Times New Roman"/>
          <w:szCs w:val="21"/>
        </w:rPr>
      </w:pPr>
      <w:r>
        <w:rPr>
          <w:rFonts w:ascii="Times New Roman" w:hAnsi="Times New Roman"/>
          <w:szCs w:val="21"/>
        </w:rPr>
        <w:t>附件2：</w:t>
      </w:r>
      <w:r>
        <w:rPr>
          <w:rFonts w:hint="eastAsia" w:ascii="Times New Roman" w:hAnsi="Times New Roman"/>
          <w:szCs w:val="21"/>
        </w:rPr>
        <w:t>货物</w:t>
      </w:r>
      <w:r>
        <w:rPr>
          <w:rFonts w:ascii="Times New Roman" w:hAnsi="Times New Roman"/>
          <w:szCs w:val="21"/>
        </w:rPr>
        <w:t>技术参数</w:t>
      </w:r>
    </w:p>
    <w:p>
      <w:pPr>
        <w:jc w:val="center"/>
        <w:rPr>
          <w:rFonts w:ascii="Times New Roman" w:hAnsi="Times New Roman"/>
          <w:szCs w:val="21"/>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9"/>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14" w:type="dxa"/>
            <w:gridSpan w:val="2"/>
            <w:noWrap w:val="0"/>
            <w:vAlign w:val="top"/>
          </w:tcPr>
          <w:p>
            <w:pPr>
              <w:rPr>
                <w:rFonts w:ascii="Times New Roman" w:hAnsi="Times New Roman"/>
                <w:szCs w:val="21"/>
              </w:rPr>
            </w:pPr>
            <w:r>
              <w:rPr>
                <w:rFonts w:hint="eastAsia" w:ascii="Times New Roman" w:hAnsi="Times New Roman"/>
                <w:szCs w:val="21"/>
              </w:rPr>
              <w:t>签订时间：</w:t>
            </w:r>
            <w:r>
              <w:rPr>
                <w:rFonts w:ascii="Times New Roman" w:hAnsi="Times New Roman"/>
              </w:rPr>
              <w:t>202</w:t>
            </w:r>
            <w:r>
              <w:rPr>
                <w:rFonts w:hint="eastAsia" w:ascii="Times New Roman" w:hAnsi="Times New Roman"/>
              </w:rPr>
              <w:t>*</w:t>
            </w:r>
            <w:r>
              <w:rPr>
                <w:rFonts w:ascii="Times New Roman" w:hAnsi="Times New Roman"/>
                <w:szCs w:val="21"/>
              </w:rPr>
              <w:t>年</w:t>
            </w:r>
            <w:permStart w:id="29" w:edGrp="everyone"/>
            <w:r>
              <w:rPr>
                <w:rFonts w:ascii="Times New Roman" w:hAnsi="Times New Roman"/>
                <w:szCs w:val="21"/>
              </w:rPr>
              <w:t>***</w:t>
            </w:r>
            <w:permEnd w:id="29"/>
            <w:r>
              <w:rPr>
                <w:rFonts w:ascii="Times New Roman" w:hAnsi="Times New Roman"/>
                <w:szCs w:val="21"/>
              </w:rPr>
              <w:t>月</w:t>
            </w:r>
            <w:permStart w:id="30" w:edGrp="everyone"/>
            <w:r>
              <w:rPr>
                <w:rFonts w:ascii="Times New Roman" w:hAnsi="Times New Roman"/>
                <w:szCs w:val="21"/>
              </w:rPr>
              <w:t>***</w:t>
            </w:r>
            <w:r>
              <w:rPr>
                <w:rFonts w:hint="eastAsia" w:ascii="Times New Roman" w:hAnsi="Times New Roman"/>
                <w:szCs w:val="21"/>
              </w:rPr>
              <w:t>日</w:t>
            </w:r>
            <w:permEnd w:id="30"/>
          </w:p>
        </w:tc>
      </w:tr>
      <w:tr>
        <w:tblPrEx>
          <w:tblCellMar>
            <w:top w:w="0" w:type="dxa"/>
            <w:left w:w="0" w:type="dxa"/>
            <w:bottom w:w="0" w:type="dxa"/>
            <w:right w:w="0" w:type="dxa"/>
          </w:tblCellMar>
        </w:tblPrEx>
        <w:trPr>
          <w:jc w:val="center"/>
        </w:trPr>
        <w:tc>
          <w:tcPr>
            <w:tcW w:w="4967" w:type="dxa"/>
            <w:noWrap w:val="0"/>
            <w:vAlign w:val="top"/>
          </w:tcPr>
          <w:p>
            <w:pPr>
              <w:rPr>
                <w:rFonts w:ascii="Times New Roman" w:hAnsi="Times New Roman"/>
                <w:szCs w:val="21"/>
              </w:rPr>
            </w:pPr>
            <w:r>
              <w:rPr>
                <w:rFonts w:ascii="Times New Roman" w:hAnsi="Times New Roman"/>
                <w:szCs w:val="21"/>
              </w:rPr>
              <w:t>甲方：四川省人民医院（盖章）</w:t>
            </w:r>
          </w:p>
          <w:p>
            <w:pPr>
              <w:rPr>
                <w:rFonts w:ascii="Times New Roman" w:hAnsi="Times New Roman"/>
                <w:szCs w:val="21"/>
              </w:rPr>
            </w:pPr>
            <w:r>
              <w:rPr>
                <w:rFonts w:ascii="Times New Roman" w:hAnsi="Times New Roman"/>
                <w:szCs w:val="21"/>
              </w:rPr>
              <w:t>法定代表人（授权代表签字）：</w:t>
            </w:r>
          </w:p>
          <w:p>
            <w:pPr>
              <w:rPr>
                <w:rFonts w:ascii="Times New Roman" w:hAnsi="Times New Roman"/>
                <w:szCs w:val="21"/>
              </w:rPr>
            </w:pPr>
            <w:r>
              <w:rPr>
                <w:rFonts w:ascii="Times New Roman" w:hAnsi="Times New Roman"/>
                <w:szCs w:val="21"/>
              </w:rPr>
              <w:t>地    址：四川省成都市一环路西二段32号</w:t>
            </w:r>
          </w:p>
          <w:p>
            <w:pPr>
              <w:rPr>
                <w:rFonts w:ascii="Times New Roman" w:hAnsi="Times New Roman"/>
                <w:szCs w:val="21"/>
              </w:rPr>
            </w:pPr>
            <w:r>
              <w:rPr>
                <w:rFonts w:ascii="Times New Roman" w:hAnsi="Times New Roman"/>
                <w:szCs w:val="21"/>
              </w:rPr>
              <w:t>开户银行：建设银行成都青羊支行</w:t>
            </w:r>
          </w:p>
          <w:p>
            <w:pPr>
              <w:rPr>
                <w:rFonts w:hint="eastAsia" w:ascii="Times New Roman" w:hAnsi="Times New Roman"/>
                <w:szCs w:val="21"/>
              </w:rPr>
            </w:pPr>
            <w:r>
              <w:rPr>
                <w:rFonts w:ascii="Times New Roman" w:hAnsi="Times New Roman"/>
                <w:szCs w:val="21"/>
              </w:rPr>
              <w:t>账号：5100 1446 4360 5037 4282</w:t>
            </w:r>
          </w:p>
        </w:tc>
        <w:tc>
          <w:tcPr>
            <w:tcW w:w="5247" w:type="dxa"/>
            <w:noWrap w:val="0"/>
            <w:vAlign w:val="top"/>
          </w:tcPr>
          <w:p>
            <w:pPr>
              <w:rPr>
                <w:rFonts w:ascii="Times New Roman" w:hAnsi="Times New Roman"/>
                <w:szCs w:val="21"/>
              </w:rPr>
            </w:pPr>
            <w:r>
              <w:rPr>
                <w:rFonts w:ascii="Times New Roman" w:hAnsi="Times New Roman"/>
                <w:szCs w:val="21"/>
              </w:rPr>
              <w:t>乙方：</w:t>
            </w:r>
            <w:permStart w:id="31" w:edGrp="everyone"/>
            <w:r>
              <w:rPr>
                <w:rFonts w:ascii="Times New Roman" w:hAnsi="Times New Roman"/>
                <w:szCs w:val="21"/>
              </w:rPr>
              <w:t>***</w:t>
            </w:r>
            <w:permEnd w:id="31"/>
            <w:r>
              <w:rPr>
                <w:rFonts w:ascii="Times New Roman" w:hAnsi="Times New Roman"/>
                <w:szCs w:val="21"/>
              </w:rPr>
              <w:t>（盖章）</w:t>
            </w:r>
          </w:p>
          <w:p>
            <w:pPr>
              <w:rPr>
                <w:rFonts w:ascii="Times New Roman" w:hAnsi="Times New Roman"/>
                <w:szCs w:val="21"/>
              </w:rPr>
            </w:pPr>
            <w:r>
              <w:rPr>
                <w:rFonts w:ascii="Times New Roman" w:hAnsi="Times New Roman"/>
                <w:szCs w:val="21"/>
              </w:rPr>
              <w:t>法定代表人（授权代表签字）：</w:t>
            </w:r>
          </w:p>
          <w:p>
            <w:pPr>
              <w:rPr>
                <w:rFonts w:ascii="Times New Roman" w:hAnsi="Times New Roman"/>
                <w:szCs w:val="21"/>
              </w:rPr>
            </w:pPr>
            <w:r>
              <w:rPr>
                <w:rFonts w:ascii="Times New Roman" w:hAnsi="Times New Roman"/>
                <w:szCs w:val="21"/>
              </w:rPr>
              <w:t>地址：</w:t>
            </w:r>
            <w:permStart w:id="32" w:edGrp="everyone"/>
            <w:r>
              <w:rPr>
                <w:rFonts w:ascii="Times New Roman" w:hAnsi="Times New Roman"/>
                <w:szCs w:val="21"/>
              </w:rPr>
              <w:t>***</w:t>
            </w:r>
            <w:permEnd w:id="32"/>
          </w:p>
          <w:p>
            <w:pPr>
              <w:rPr>
                <w:rFonts w:ascii="Times New Roman" w:hAnsi="Times New Roman"/>
                <w:szCs w:val="21"/>
              </w:rPr>
            </w:pPr>
            <w:r>
              <w:rPr>
                <w:rFonts w:ascii="Times New Roman" w:hAnsi="Times New Roman"/>
                <w:szCs w:val="21"/>
              </w:rPr>
              <w:t>开户银行：</w:t>
            </w:r>
            <w:permStart w:id="33" w:edGrp="everyone"/>
            <w:r>
              <w:rPr>
                <w:rFonts w:ascii="Times New Roman" w:hAnsi="Times New Roman"/>
                <w:szCs w:val="21"/>
              </w:rPr>
              <w:t>***</w:t>
            </w:r>
          </w:p>
          <w:permEnd w:id="33"/>
          <w:p>
            <w:pPr>
              <w:widowControl/>
              <w:jc w:val="left"/>
              <w:rPr>
                <w:rFonts w:hint="eastAsia" w:ascii="Times New Roman" w:hAnsi="Times New Roman"/>
              </w:rPr>
            </w:pPr>
            <w:r>
              <w:rPr>
                <w:rFonts w:ascii="Times New Roman" w:hAnsi="Times New Roman"/>
                <w:szCs w:val="21"/>
              </w:rPr>
              <w:t>账号：</w:t>
            </w:r>
            <w:permStart w:id="34" w:edGrp="everyone"/>
            <w:r>
              <w:rPr>
                <w:rFonts w:ascii="Times New Roman" w:hAnsi="Times New Roman"/>
                <w:szCs w:val="21"/>
              </w:rPr>
              <w:t>***</w:t>
            </w:r>
            <w:permEnd w:id="34"/>
          </w:p>
        </w:tc>
      </w:tr>
    </w:tbl>
    <w:p>
      <w:pPr>
        <w:widowControl/>
        <w:jc w:val="left"/>
        <w:rPr>
          <w:rFonts w:ascii="Times New Roman" w:hAnsi="Times New Roman"/>
          <w:b/>
          <w:bCs/>
          <w:szCs w:val="21"/>
        </w:rPr>
        <w:sectPr>
          <w:headerReference r:id="rId6" w:type="default"/>
          <w:footerReference r:id="rId7" w:type="default"/>
          <w:pgSz w:w="11906" w:h="16838"/>
          <w:pgMar w:top="1134" w:right="851" w:bottom="1134" w:left="851" w:header="851" w:footer="567" w:gutter="0"/>
          <w:pgNumType w:fmt="decimal" w:start="1"/>
          <w:cols w:space="720" w:num="1"/>
          <w:docGrid w:type="lines" w:linePitch="312" w:charSpace="0"/>
        </w:sectPr>
      </w:pPr>
    </w:p>
    <w:p>
      <w:pPr>
        <w:widowControl/>
        <w:jc w:val="left"/>
        <w:rPr>
          <w:rFonts w:ascii="Times New Roman" w:hAnsi="Times New Roman"/>
          <w:b/>
          <w:bCs/>
          <w:szCs w:val="21"/>
        </w:rPr>
      </w:pPr>
      <w:r>
        <w:rPr>
          <w:rFonts w:ascii="Times New Roman" w:hAnsi="Times New Roman"/>
          <w:b/>
          <w:bCs/>
          <w:szCs w:val="21"/>
        </w:rPr>
        <w:t>附件1：配置清单</w:t>
      </w:r>
    </w:p>
    <w:p>
      <w:pPr>
        <w:pStyle w:val="8"/>
        <w:rPr>
          <w:rFonts w:hint="eastAsia"/>
        </w:rPr>
      </w:pPr>
    </w:p>
    <w:p>
      <w:pPr>
        <w:rPr>
          <w:rFonts w:hint="eastAsia" w:ascii="Times New Roman" w:hAnsi="Times New Roman"/>
          <w:szCs w:val="21"/>
        </w:rPr>
      </w:pPr>
      <w:r>
        <w:rPr>
          <w:rFonts w:ascii="Times New Roman" w:hAnsi="Times New Roman"/>
          <w:szCs w:val="21"/>
        </w:rPr>
        <w:t>注：本合同第一条中写明的</w:t>
      </w:r>
      <w:r>
        <w:rPr>
          <w:rFonts w:hint="eastAsia" w:ascii="Times New Roman" w:hAnsi="Times New Roman"/>
          <w:szCs w:val="21"/>
        </w:rPr>
        <w:t>货物</w:t>
      </w:r>
      <w:r>
        <w:rPr>
          <w:rFonts w:ascii="Times New Roman" w:hAnsi="Times New Roman"/>
          <w:szCs w:val="21"/>
        </w:rPr>
        <w:t>均须单独填写配置清单。</w:t>
      </w:r>
    </w:p>
    <w:p>
      <w:pPr>
        <w:rPr>
          <w:rFonts w:ascii="Times New Roman" w:hAnsi="Times New Roman"/>
          <w:szCs w:val="21"/>
        </w:rPr>
      </w:pPr>
      <w:r>
        <w:rPr>
          <w:rFonts w:ascii="Times New Roman" w:hAnsi="Times New Roman"/>
          <w:szCs w:val="21"/>
        </w:rPr>
        <w:t>序号1：</w:t>
      </w:r>
      <w:r>
        <w:rPr>
          <w:rFonts w:hint="eastAsia" w:ascii="Times New Roman" w:hAnsi="Times New Roman"/>
          <w:szCs w:val="21"/>
        </w:rPr>
        <w:t>货物</w:t>
      </w:r>
      <w:r>
        <w:rPr>
          <w:rFonts w:ascii="Times New Roman" w:hAnsi="Times New Roman"/>
          <w:szCs w:val="21"/>
        </w:rPr>
        <w:t>名称：</w:t>
      </w:r>
      <w:permStart w:id="35" w:edGrp="everyone"/>
      <w:r>
        <w:rPr>
          <w:rFonts w:ascii="Times New Roman" w:hAnsi="Times New Roman"/>
          <w:szCs w:val="21"/>
        </w:rPr>
        <w:t>***</w:t>
      </w:r>
      <w:permEnd w:id="35"/>
    </w:p>
    <w:p>
      <w:pPr>
        <w:rPr>
          <w:rFonts w:ascii="Times New Roman" w:hAnsi="Times New Roman"/>
          <w:szCs w:val="21"/>
        </w:rPr>
      </w:pPr>
      <w:r>
        <w:rPr>
          <w:rFonts w:ascii="Times New Roman" w:hAnsi="Times New Roman"/>
          <w:szCs w:val="21"/>
        </w:rPr>
        <w:t>（以下配置为单台货物配置）</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0"/>
        <w:gridCol w:w="3012"/>
        <w:gridCol w:w="2557"/>
        <w:gridCol w:w="1531"/>
        <w:gridCol w:w="1382"/>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pPr>
              <w:contextualSpacing/>
              <w:jc w:val="center"/>
              <w:outlineLvl w:val="0"/>
              <w:rPr>
                <w:rFonts w:ascii="Times New Roman" w:hAnsi="Times New Roman"/>
                <w:b/>
                <w:kern w:val="0"/>
                <w:szCs w:val="21"/>
              </w:rPr>
            </w:pPr>
            <w:r>
              <w:rPr>
                <w:rFonts w:ascii="Times New Roman" w:hAnsi="Times New Roman"/>
                <w:b/>
                <w:kern w:val="0"/>
                <w:szCs w:val="21"/>
              </w:rPr>
              <w:t>序号</w:t>
            </w:r>
          </w:p>
        </w:tc>
        <w:tc>
          <w:tcPr>
            <w:tcW w:w="3073" w:type="dxa"/>
            <w:noWrap w:val="0"/>
            <w:vAlign w:val="center"/>
          </w:tcPr>
          <w:p>
            <w:pPr>
              <w:contextualSpacing/>
              <w:jc w:val="center"/>
              <w:outlineLvl w:val="0"/>
              <w:rPr>
                <w:rFonts w:ascii="Times New Roman" w:hAnsi="Times New Roman"/>
                <w:b/>
                <w:kern w:val="0"/>
                <w:szCs w:val="21"/>
              </w:rPr>
            </w:pPr>
            <w:r>
              <w:rPr>
                <w:rFonts w:ascii="Times New Roman" w:hAnsi="Times New Roman"/>
                <w:b/>
                <w:kern w:val="0"/>
                <w:szCs w:val="21"/>
              </w:rPr>
              <w:t>组件名称</w:t>
            </w:r>
          </w:p>
        </w:tc>
        <w:tc>
          <w:tcPr>
            <w:tcW w:w="2609" w:type="dxa"/>
            <w:noWrap w:val="0"/>
            <w:vAlign w:val="center"/>
          </w:tcPr>
          <w:p>
            <w:pPr>
              <w:contextualSpacing/>
              <w:jc w:val="center"/>
              <w:outlineLvl w:val="0"/>
              <w:rPr>
                <w:rFonts w:ascii="Times New Roman" w:hAnsi="Times New Roman"/>
                <w:b/>
                <w:kern w:val="0"/>
                <w:szCs w:val="21"/>
              </w:rPr>
            </w:pPr>
            <w:r>
              <w:rPr>
                <w:rFonts w:ascii="Times New Roman" w:hAnsi="Times New Roman"/>
                <w:b/>
                <w:kern w:val="0"/>
                <w:szCs w:val="21"/>
              </w:rPr>
              <w:t>型号/规格（如有）</w:t>
            </w:r>
          </w:p>
        </w:tc>
        <w:tc>
          <w:tcPr>
            <w:tcW w:w="1562" w:type="dxa"/>
            <w:noWrap w:val="0"/>
            <w:vAlign w:val="center"/>
          </w:tcPr>
          <w:p>
            <w:pPr>
              <w:contextualSpacing/>
              <w:jc w:val="center"/>
              <w:outlineLvl w:val="0"/>
              <w:rPr>
                <w:rFonts w:ascii="Times New Roman" w:hAnsi="Times New Roman"/>
                <w:b/>
                <w:kern w:val="0"/>
                <w:szCs w:val="21"/>
              </w:rPr>
            </w:pPr>
            <w:r>
              <w:rPr>
                <w:rFonts w:ascii="Times New Roman" w:hAnsi="Times New Roman"/>
                <w:b/>
                <w:kern w:val="0"/>
                <w:szCs w:val="21"/>
              </w:rPr>
              <w:t>单位</w:t>
            </w:r>
          </w:p>
        </w:tc>
        <w:tc>
          <w:tcPr>
            <w:tcW w:w="1410" w:type="dxa"/>
            <w:noWrap w:val="0"/>
            <w:vAlign w:val="center"/>
          </w:tcPr>
          <w:p>
            <w:pPr>
              <w:contextualSpacing/>
              <w:jc w:val="center"/>
              <w:outlineLvl w:val="0"/>
              <w:rPr>
                <w:rFonts w:ascii="Times New Roman" w:hAnsi="Times New Roman"/>
                <w:b/>
                <w:kern w:val="0"/>
                <w:szCs w:val="21"/>
              </w:rPr>
            </w:pPr>
            <w:r>
              <w:rPr>
                <w:rFonts w:ascii="Times New Roman" w:hAnsi="Times New Roman"/>
                <w:b/>
                <w:kern w:val="0"/>
                <w:szCs w:val="21"/>
              </w:rPr>
              <w:t>数量</w:t>
            </w:r>
          </w:p>
        </w:tc>
        <w:tc>
          <w:tcPr>
            <w:tcW w:w="1104" w:type="dxa"/>
            <w:noWrap w:val="0"/>
            <w:vAlign w:val="center"/>
          </w:tcPr>
          <w:p>
            <w:pPr>
              <w:contextualSpacing/>
              <w:jc w:val="center"/>
              <w:outlineLvl w:val="0"/>
              <w:rPr>
                <w:rFonts w:ascii="Times New Roman" w:hAnsi="Times New Roman"/>
                <w:b/>
                <w:kern w:val="0"/>
                <w:szCs w:val="21"/>
              </w:rPr>
            </w:pPr>
            <w:r>
              <w:rPr>
                <w:rFonts w:ascii="Times New Roman" w:hAnsi="Times New Roman"/>
                <w:b/>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pPr>
              <w:pStyle w:val="8"/>
              <w:spacing w:after="0"/>
              <w:contextualSpacing/>
              <w:jc w:val="center"/>
              <w:rPr>
                <w:rFonts w:ascii="Times New Roman" w:hAnsi="Times New Roman"/>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ascii="Times New Roman" w:hAnsi="Times New Roman"/>
                <w:szCs w:val="21"/>
              </w:rPr>
              <w:t>1</w:t>
            </w:r>
          </w:p>
        </w:tc>
        <w:tc>
          <w:tcPr>
            <w:tcW w:w="3073" w:type="dxa"/>
            <w:noWrap w:val="0"/>
            <w:vAlign w:val="center"/>
          </w:tcPr>
          <w:p>
            <w:pPr>
              <w:pStyle w:val="8"/>
              <w:spacing w:after="0"/>
              <w:contextualSpacing/>
              <w:rPr>
                <w:rFonts w:ascii="Times New Roman" w:hAnsi="Times New Roman"/>
                <w:b/>
                <w:bCs/>
                <w:szCs w:val="21"/>
              </w:rPr>
            </w:pPr>
          </w:p>
        </w:tc>
        <w:tc>
          <w:tcPr>
            <w:tcW w:w="2609" w:type="dxa"/>
            <w:noWrap w:val="0"/>
            <w:vAlign w:val="center"/>
          </w:tcPr>
          <w:p>
            <w:pPr>
              <w:pStyle w:val="8"/>
              <w:spacing w:after="0"/>
              <w:contextualSpacing/>
              <w:rPr>
                <w:rFonts w:ascii="Times New Roman" w:hAnsi="Times New Roman"/>
                <w:b/>
                <w:bCs/>
                <w:szCs w:val="21"/>
              </w:rPr>
            </w:pPr>
          </w:p>
        </w:tc>
        <w:tc>
          <w:tcPr>
            <w:tcW w:w="1562" w:type="dxa"/>
            <w:noWrap w:val="0"/>
            <w:vAlign w:val="center"/>
          </w:tcPr>
          <w:p>
            <w:pPr>
              <w:pStyle w:val="8"/>
              <w:spacing w:after="0"/>
              <w:contextualSpacing/>
              <w:rPr>
                <w:rFonts w:ascii="Times New Roman" w:hAnsi="Times New Roman"/>
                <w:b/>
                <w:bCs/>
                <w:szCs w:val="21"/>
              </w:rPr>
            </w:pPr>
          </w:p>
        </w:tc>
        <w:tc>
          <w:tcPr>
            <w:tcW w:w="1410" w:type="dxa"/>
            <w:noWrap w:val="0"/>
            <w:vAlign w:val="center"/>
          </w:tcPr>
          <w:p>
            <w:pPr>
              <w:pStyle w:val="8"/>
              <w:spacing w:after="0"/>
              <w:contextualSpacing/>
              <w:rPr>
                <w:rFonts w:ascii="Times New Roman" w:hAnsi="Times New Roman"/>
                <w:b/>
                <w:bCs/>
                <w:szCs w:val="21"/>
              </w:rPr>
            </w:pPr>
          </w:p>
        </w:tc>
        <w:tc>
          <w:tcPr>
            <w:tcW w:w="1104" w:type="dxa"/>
            <w:noWrap w:val="0"/>
            <w:vAlign w:val="center"/>
          </w:tcPr>
          <w:p>
            <w:pPr>
              <w:contextualSpacing/>
              <w:rPr>
                <w:rFonts w:ascii="Times New Roman" w:hAnsi="Times New Roman"/>
                <w:b/>
                <w:bCs/>
                <w:szCs w:val="21"/>
              </w:rPr>
            </w:pPr>
          </w:p>
        </w:tc>
      </w:tr>
      <w:permEnd w:id="36"/>
      <w:permEnd w:id="37"/>
      <w:permEnd w:id="38"/>
      <w:permEnd w:id="39"/>
      <w:permEnd w:id="40"/>
      <w:permEnd w:id="4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pPr>
              <w:pStyle w:val="8"/>
              <w:spacing w:after="0"/>
              <w:contextualSpacing/>
              <w:jc w:val="center"/>
              <w:rPr>
                <w:rFonts w:ascii="Times New Roman" w:hAnsi="Times New Roman"/>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ascii="Times New Roman" w:hAnsi="Times New Roman"/>
                <w:szCs w:val="21"/>
              </w:rPr>
              <w:t>2</w:t>
            </w:r>
          </w:p>
        </w:tc>
        <w:tc>
          <w:tcPr>
            <w:tcW w:w="3073" w:type="dxa"/>
            <w:noWrap w:val="0"/>
            <w:vAlign w:val="center"/>
          </w:tcPr>
          <w:p>
            <w:pPr>
              <w:pStyle w:val="8"/>
              <w:spacing w:after="0"/>
              <w:contextualSpacing/>
              <w:rPr>
                <w:rFonts w:ascii="Times New Roman" w:hAnsi="Times New Roman"/>
                <w:b/>
                <w:bCs/>
                <w:szCs w:val="21"/>
              </w:rPr>
            </w:pPr>
          </w:p>
        </w:tc>
        <w:tc>
          <w:tcPr>
            <w:tcW w:w="2609" w:type="dxa"/>
            <w:noWrap w:val="0"/>
            <w:vAlign w:val="center"/>
          </w:tcPr>
          <w:p>
            <w:pPr>
              <w:pStyle w:val="8"/>
              <w:spacing w:after="0"/>
              <w:contextualSpacing/>
              <w:rPr>
                <w:rFonts w:ascii="Times New Roman" w:hAnsi="Times New Roman"/>
                <w:b/>
                <w:bCs/>
                <w:szCs w:val="21"/>
              </w:rPr>
            </w:pPr>
          </w:p>
        </w:tc>
        <w:tc>
          <w:tcPr>
            <w:tcW w:w="1562" w:type="dxa"/>
            <w:noWrap w:val="0"/>
            <w:vAlign w:val="center"/>
          </w:tcPr>
          <w:p>
            <w:pPr>
              <w:contextualSpacing/>
              <w:rPr>
                <w:rFonts w:ascii="Times New Roman" w:hAnsi="Times New Roman"/>
                <w:b/>
                <w:bCs/>
                <w:szCs w:val="21"/>
              </w:rPr>
            </w:pPr>
          </w:p>
        </w:tc>
        <w:tc>
          <w:tcPr>
            <w:tcW w:w="1410" w:type="dxa"/>
            <w:noWrap w:val="0"/>
            <w:vAlign w:val="center"/>
          </w:tcPr>
          <w:p>
            <w:pPr>
              <w:contextualSpacing/>
              <w:rPr>
                <w:rFonts w:ascii="Times New Roman" w:hAnsi="Times New Roman"/>
                <w:b/>
                <w:bCs/>
                <w:szCs w:val="21"/>
              </w:rPr>
            </w:pPr>
          </w:p>
        </w:tc>
        <w:tc>
          <w:tcPr>
            <w:tcW w:w="1104" w:type="dxa"/>
            <w:noWrap w:val="0"/>
            <w:vAlign w:val="center"/>
          </w:tcPr>
          <w:p>
            <w:pPr>
              <w:contextualSpacing/>
              <w:rPr>
                <w:rFonts w:ascii="Times New Roman" w:hAnsi="Times New Roman"/>
                <w:b/>
                <w:bCs/>
                <w:szCs w:val="21"/>
              </w:rPr>
            </w:pPr>
          </w:p>
        </w:tc>
      </w:tr>
      <w:permEnd w:id="42"/>
      <w:permEnd w:id="43"/>
      <w:permEnd w:id="44"/>
      <w:permEnd w:id="45"/>
      <w:permEnd w:id="46"/>
      <w:permEnd w:id="4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pPr>
              <w:pStyle w:val="8"/>
              <w:spacing w:after="0"/>
              <w:contextualSpacing/>
              <w:jc w:val="center"/>
              <w:rPr>
                <w:rFonts w:ascii="Times New Roman" w:hAnsi="Times New Roman"/>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ascii="Times New Roman" w:hAnsi="Times New Roman"/>
                <w:b/>
                <w:bCs/>
                <w:szCs w:val="21"/>
              </w:rPr>
              <w:t>...</w:t>
            </w:r>
          </w:p>
        </w:tc>
        <w:tc>
          <w:tcPr>
            <w:tcW w:w="3073" w:type="dxa"/>
            <w:noWrap w:val="0"/>
            <w:vAlign w:val="center"/>
          </w:tcPr>
          <w:p>
            <w:pPr>
              <w:pStyle w:val="8"/>
              <w:spacing w:after="0"/>
              <w:contextualSpacing/>
              <w:rPr>
                <w:rFonts w:ascii="Times New Roman" w:hAnsi="Times New Roman"/>
                <w:b/>
                <w:bCs/>
                <w:szCs w:val="21"/>
              </w:rPr>
            </w:pPr>
          </w:p>
        </w:tc>
        <w:tc>
          <w:tcPr>
            <w:tcW w:w="2609" w:type="dxa"/>
            <w:noWrap w:val="0"/>
            <w:vAlign w:val="center"/>
          </w:tcPr>
          <w:p>
            <w:pPr>
              <w:pStyle w:val="8"/>
              <w:spacing w:after="0"/>
              <w:contextualSpacing/>
              <w:rPr>
                <w:rFonts w:ascii="Times New Roman" w:hAnsi="Times New Roman"/>
                <w:b/>
                <w:bCs/>
                <w:szCs w:val="21"/>
              </w:rPr>
            </w:pPr>
          </w:p>
        </w:tc>
        <w:tc>
          <w:tcPr>
            <w:tcW w:w="1562" w:type="dxa"/>
            <w:noWrap w:val="0"/>
            <w:vAlign w:val="center"/>
          </w:tcPr>
          <w:p>
            <w:pPr>
              <w:contextualSpacing/>
              <w:rPr>
                <w:rFonts w:ascii="Times New Roman" w:hAnsi="Times New Roman"/>
                <w:b/>
                <w:bCs/>
                <w:szCs w:val="21"/>
              </w:rPr>
            </w:pPr>
          </w:p>
        </w:tc>
        <w:tc>
          <w:tcPr>
            <w:tcW w:w="1410" w:type="dxa"/>
            <w:noWrap w:val="0"/>
            <w:vAlign w:val="center"/>
          </w:tcPr>
          <w:p>
            <w:pPr>
              <w:contextualSpacing/>
              <w:rPr>
                <w:rFonts w:ascii="Times New Roman" w:hAnsi="Times New Roman"/>
                <w:b/>
                <w:bCs/>
                <w:szCs w:val="21"/>
              </w:rPr>
            </w:pPr>
          </w:p>
        </w:tc>
        <w:tc>
          <w:tcPr>
            <w:tcW w:w="1104" w:type="dxa"/>
            <w:noWrap w:val="0"/>
            <w:vAlign w:val="center"/>
          </w:tcPr>
          <w:p>
            <w:pPr>
              <w:contextualSpacing/>
              <w:rPr>
                <w:rFonts w:ascii="Times New Roman" w:hAnsi="Times New Roman"/>
                <w:b/>
                <w:bCs/>
                <w:szCs w:val="21"/>
              </w:rPr>
            </w:pPr>
          </w:p>
        </w:tc>
      </w:tr>
      <w:permEnd w:id="48"/>
      <w:permEnd w:id="49"/>
      <w:permEnd w:id="50"/>
      <w:permEnd w:id="51"/>
      <w:permEnd w:id="52"/>
      <w:permEnd w:id="53"/>
    </w:tbl>
    <w:p>
      <w:pPr>
        <w:pStyle w:val="8"/>
        <w:sectPr>
          <w:pgSz w:w="11906" w:h="16838"/>
          <w:pgMar w:top="1134" w:right="851" w:bottom="1134" w:left="851" w:header="851" w:footer="567" w:gutter="0"/>
          <w:pgNumType w:fmt="decimal"/>
          <w:cols w:space="720" w:num="1"/>
          <w:docGrid w:type="lines" w:linePitch="312" w:charSpace="0"/>
        </w:sectPr>
      </w:pPr>
    </w:p>
    <w:p>
      <w:pPr>
        <w:pStyle w:val="8"/>
        <w:rPr>
          <w:rFonts w:ascii="Times New Roman" w:hAnsi="Times New Roman"/>
          <w:b/>
          <w:bCs/>
        </w:rPr>
      </w:pPr>
      <w:r>
        <w:rPr>
          <w:rFonts w:ascii="Times New Roman" w:hAnsi="Times New Roman"/>
          <w:b/>
          <w:bCs/>
        </w:rPr>
        <w:t>附件2：货物技术参数</w:t>
      </w:r>
    </w:p>
    <w:p>
      <w:pPr>
        <w:pStyle w:val="8"/>
        <w:rPr>
          <w:rFonts w:ascii="Times New Roman" w:hAnsi="Times New Roman"/>
        </w:rPr>
      </w:pPr>
    </w:p>
    <w:p>
      <w:pPr>
        <w:pStyle w:val="9"/>
        <w:ind w:firstLine="0" w:firstLineChars="0"/>
        <w:rPr>
          <w:rFonts w:hint="eastAsia"/>
        </w:rPr>
      </w:pPr>
      <w:r>
        <w:rPr>
          <w:rFonts w:hint="eastAsia"/>
        </w:rPr>
        <w:t>*</w:t>
      </w:r>
      <w: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3"/>
          <w:rFonts w:ascii="Times New Roman" w:hAnsi="Times New Roman" w:eastAsia="宋体" w:cs="Times New Roman"/>
          <w:b/>
          <w:bCs/>
          <w:sz w:val="32"/>
          <w:szCs w:val="32"/>
        </w:rPr>
      </w:pPr>
      <w:r>
        <w:rPr>
          <w:rFonts w:ascii="Times New Roman" w:hAnsi="Times New Roman" w:cs="Times New Roman"/>
        </w:rPr>
        <w:t>年   月   日</w:t>
      </w:r>
    </w:p>
    <w:p>
      <w:pPr>
        <w:pStyle w:val="26"/>
        <w:rPr>
          <w:rFonts w:ascii="Times New Roman" w:hAnsi="Times New Roman"/>
        </w:rPr>
      </w:pPr>
    </w:p>
    <w:sectPr>
      <w:headerReference r:id="rId8" w:type="default"/>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442C552-AEF5-4448-9941-142602D6B46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F28E7BD-67DE-4834-ADF9-028C3E97E3C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C996156-BF0D-4DA8-A923-B57F8639078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CD87BCA-1216-4FA8-A1AA-BC4A6B73C84D}"/>
  </w:font>
  <w:font w:name="Segoe UI Symbol">
    <w:panose1 w:val="020B0502040204020203"/>
    <w:charset w:val="00"/>
    <w:family w:val="swiss"/>
    <w:pitch w:val="default"/>
    <w:sig w:usb0="800001E3" w:usb1="1200FFEF" w:usb2="00040000" w:usb3="04000000" w:csb0="00000001" w:csb1="40000000"/>
    <w:embedRegular r:id="rId5" w:fontKey="{F1688236-F753-4A26-BD1C-E3EA2015F167}"/>
  </w:font>
  <w:font w:name="Wingdings 2">
    <w:altName w:val="Wingdings"/>
    <w:panose1 w:val="05020102010507070707"/>
    <w:charset w:val="4D"/>
    <w:family w:val="decorative"/>
    <w:pitch w:val="default"/>
    <w:sig w:usb0="00000000" w:usb1="00000000" w:usb2="00000000" w:usb3="00000000" w:csb0="80000001" w:csb1="00000000"/>
    <w:embedRegular r:id="rId6" w:fontKey="{AD1A6C77-F6A3-465E-BC26-F846CF0C8E39}"/>
  </w:font>
  <w:font w:name="Songti SC">
    <w:altName w:val="宋体"/>
    <w:panose1 w:val="02010600040101010101"/>
    <w:charset w:val="86"/>
    <w:family w:val="auto"/>
    <w:pitch w:val="default"/>
    <w:sig w:usb0="00000000" w:usb1="00000000" w:usb2="00000010" w:usb3="00000000" w:csb0="0004009F" w:csb1="00000000"/>
    <w:embedRegular r:id="rId7" w:fontKey="{F65397B6-3149-4637-889A-7FA646F3916C}"/>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390161D"/>
    <w:multiLevelType w:val="singleLevel"/>
    <w:tmpl w:val="A390161D"/>
    <w:lvl w:ilvl="0" w:tentative="0">
      <w:start w:val="3"/>
      <w:numFmt w:val="decimal"/>
      <w:lvlText w:val="%1."/>
      <w:lvlJc w:val="left"/>
      <w:pPr>
        <w:tabs>
          <w:tab w:val="left" w:pos="312"/>
        </w:tabs>
      </w:p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55EDCF1"/>
    <w:multiLevelType w:val="singleLevel"/>
    <w:tmpl w:val="755EDCF1"/>
    <w:lvl w:ilvl="0" w:tentative="0">
      <w:start w:val="1"/>
      <w:numFmt w:val="decimal"/>
      <w:lvlText w:val="%1."/>
      <w:lvlJc w:val="left"/>
      <w:pPr>
        <w:tabs>
          <w:tab w:val="left" w:pos="312"/>
        </w:tabs>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29">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4"/>
  </w:num>
  <w:num w:numId="2">
    <w:abstractNumId w:val="4"/>
  </w:num>
  <w:num w:numId="3">
    <w:abstractNumId w:val="18"/>
  </w:num>
  <w:num w:numId="4">
    <w:abstractNumId w:val="28"/>
  </w:num>
  <w:num w:numId="5">
    <w:abstractNumId w:val="12"/>
  </w:num>
  <w:num w:numId="6">
    <w:abstractNumId w:val="17"/>
  </w:num>
  <w:num w:numId="7">
    <w:abstractNumId w:val="3"/>
  </w:num>
  <w:num w:numId="8">
    <w:abstractNumId w:val="2"/>
  </w:num>
  <w:num w:numId="9">
    <w:abstractNumId w:val="0"/>
  </w:num>
  <w:num w:numId="10">
    <w:abstractNumId w:val="5"/>
  </w:num>
  <w:num w:numId="11">
    <w:abstractNumId w:val="1"/>
  </w:num>
  <w:num w:numId="12">
    <w:abstractNumId w:val="26"/>
  </w:num>
  <w:num w:numId="13">
    <w:abstractNumId w:val="8"/>
  </w:num>
  <w:num w:numId="14">
    <w:abstractNumId w:val="24"/>
  </w:num>
  <w:num w:numId="15">
    <w:abstractNumId w:val="6"/>
  </w:num>
  <w:num w:numId="16">
    <w:abstractNumId w:val="29"/>
  </w:num>
  <w:num w:numId="17">
    <w:abstractNumId w:val="27"/>
  </w:num>
  <w:num w:numId="18">
    <w:abstractNumId w:val="21"/>
  </w:num>
  <w:num w:numId="19">
    <w:abstractNumId w:val="9"/>
  </w:num>
  <w:num w:numId="20">
    <w:abstractNumId w:val="13"/>
  </w:num>
  <w:num w:numId="21">
    <w:abstractNumId w:val="7"/>
  </w:num>
  <w:num w:numId="22">
    <w:abstractNumId w:val="16"/>
  </w:num>
  <w:num w:numId="23">
    <w:abstractNumId w:val="25"/>
  </w:num>
  <w:num w:numId="24">
    <w:abstractNumId w:val="23"/>
  </w:num>
  <w:num w:numId="25">
    <w:abstractNumId w:val="19"/>
  </w:num>
  <w:num w:numId="26">
    <w:abstractNumId w:val="15"/>
  </w:num>
  <w:num w:numId="27">
    <w:abstractNumId w:val="10"/>
  </w:num>
  <w:num w:numId="28">
    <w:abstractNumId w:val="20"/>
  </w:num>
  <w:num w:numId="29">
    <w:abstractNumId w:val="11"/>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trackRevisions w:val="1"/>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43C3633"/>
    <w:rsid w:val="058C78B0"/>
    <w:rsid w:val="05E13064"/>
    <w:rsid w:val="078A573C"/>
    <w:rsid w:val="093A3733"/>
    <w:rsid w:val="0B4508AE"/>
    <w:rsid w:val="0BE81B6C"/>
    <w:rsid w:val="0CF161C9"/>
    <w:rsid w:val="0E0B7FF0"/>
    <w:rsid w:val="0F904004"/>
    <w:rsid w:val="117A5014"/>
    <w:rsid w:val="127F05A0"/>
    <w:rsid w:val="136D78F8"/>
    <w:rsid w:val="15CC4977"/>
    <w:rsid w:val="162A4F7D"/>
    <w:rsid w:val="16A82A66"/>
    <w:rsid w:val="174D4F79"/>
    <w:rsid w:val="18042571"/>
    <w:rsid w:val="1994787E"/>
    <w:rsid w:val="1A9C249F"/>
    <w:rsid w:val="1BCC54CD"/>
    <w:rsid w:val="1DD000AF"/>
    <w:rsid w:val="1E09745A"/>
    <w:rsid w:val="1E176351"/>
    <w:rsid w:val="20F40FA1"/>
    <w:rsid w:val="21E14C3C"/>
    <w:rsid w:val="22935D1D"/>
    <w:rsid w:val="23D4489F"/>
    <w:rsid w:val="24184126"/>
    <w:rsid w:val="24A80951"/>
    <w:rsid w:val="24FB5A20"/>
    <w:rsid w:val="262001B9"/>
    <w:rsid w:val="27B87AF9"/>
    <w:rsid w:val="27E80EA9"/>
    <w:rsid w:val="280414A1"/>
    <w:rsid w:val="28570368"/>
    <w:rsid w:val="29C5318E"/>
    <w:rsid w:val="2B502F98"/>
    <w:rsid w:val="2BEC0B5F"/>
    <w:rsid w:val="2C9A0A9E"/>
    <w:rsid w:val="2DA70D65"/>
    <w:rsid w:val="2EF75A9F"/>
    <w:rsid w:val="2FD95F39"/>
    <w:rsid w:val="2FFD0E93"/>
    <w:rsid w:val="3427766B"/>
    <w:rsid w:val="343706EB"/>
    <w:rsid w:val="351A08D0"/>
    <w:rsid w:val="36334CE5"/>
    <w:rsid w:val="3A551407"/>
    <w:rsid w:val="3B033C36"/>
    <w:rsid w:val="3E5D4E8E"/>
    <w:rsid w:val="3FE25336"/>
    <w:rsid w:val="40763AB1"/>
    <w:rsid w:val="41076015"/>
    <w:rsid w:val="42075FF8"/>
    <w:rsid w:val="42842020"/>
    <w:rsid w:val="468567BB"/>
    <w:rsid w:val="4782487D"/>
    <w:rsid w:val="4B31068E"/>
    <w:rsid w:val="4BA55220"/>
    <w:rsid w:val="4BAD0151"/>
    <w:rsid w:val="4BBB7188"/>
    <w:rsid w:val="4C184E09"/>
    <w:rsid w:val="4C8F75A2"/>
    <w:rsid w:val="4DAD4403"/>
    <w:rsid w:val="4DAF00A4"/>
    <w:rsid w:val="4E8C008E"/>
    <w:rsid w:val="4FEF758C"/>
    <w:rsid w:val="50771A9C"/>
    <w:rsid w:val="51C47F6D"/>
    <w:rsid w:val="5455382C"/>
    <w:rsid w:val="549B29E6"/>
    <w:rsid w:val="5D0A3490"/>
    <w:rsid w:val="5D7E0D39"/>
    <w:rsid w:val="5E9D3F29"/>
    <w:rsid w:val="60384CD1"/>
    <w:rsid w:val="60655808"/>
    <w:rsid w:val="60F86CEE"/>
    <w:rsid w:val="63A9427A"/>
    <w:rsid w:val="63D462B1"/>
    <w:rsid w:val="641A3596"/>
    <w:rsid w:val="64D96647"/>
    <w:rsid w:val="655B51E5"/>
    <w:rsid w:val="65E40ADA"/>
    <w:rsid w:val="66330B86"/>
    <w:rsid w:val="66E22203"/>
    <w:rsid w:val="67CB129B"/>
    <w:rsid w:val="68AA6162"/>
    <w:rsid w:val="68B812C9"/>
    <w:rsid w:val="69D50CF4"/>
    <w:rsid w:val="6C487AFD"/>
    <w:rsid w:val="6CB24363"/>
    <w:rsid w:val="6E554D94"/>
    <w:rsid w:val="6EA93466"/>
    <w:rsid w:val="6FCF0795"/>
    <w:rsid w:val="70AE52B6"/>
    <w:rsid w:val="71381023"/>
    <w:rsid w:val="71696852"/>
    <w:rsid w:val="73714961"/>
    <w:rsid w:val="754D1D92"/>
    <w:rsid w:val="758350A9"/>
    <w:rsid w:val="777D3C34"/>
    <w:rsid w:val="79687E1D"/>
    <w:rsid w:val="7A9153FC"/>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rPr>
      <w:kern w:val="0"/>
      <w:sz w:val="24"/>
      <w:szCs w:val="20"/>
    </w:rPr>
  </w:style>
  <w:style w:type="paragraph" w:styleId="7">
    <w:name w:val="annotation text"/>
    <w:basedOn w:val="1"/>
    <w:link w:val="37"/>
    <w:autoRedefine/>
    <w:qFormat/>
    <w:uiPriority w:val="0"/>
    <w:pPr>
      <w:jc w:val="left"/>
    </w:pPr>
  </w:style>
  <w:style w:type="paragraph" w:styleId="8">
    <w:name w:val="Body Text"/>
    <w:basedOn w:val="1"/>
    <w:next w:val="9"/>
    <w:autoRedefine/>
    <w:qFormat/>
    <w:uiPriority w:val="0"/>
    <w:pPr>
      <w:spacing w:after="120"/>
    </w:pPr>
  </w:style>
  <w:style w:type="paragraph" w:styleId="9">
    <w:name w:val="Body Text First Indent"/>
    <w:basedOn w:val="8"/>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0">
    <w:name w:val="Body Text Indent"/>
    <w:basedOn w:val="1"/>
    <w:autoRedefine/>
    <w:unhideWhenUsed/>
    <w:qFormat/>
    <w:uiPriority w:val="99"/>
    <w:pPr>
      <w:ind w:firstLine="630"/>
    </w:pPr>
    <w:rPr>
      <w:rFonts w:ascii="Calibri"/>
      <w:sz w:val="32"/>
      <w:szCs w:val="20"/>
    </w:rPr>
  </w:style>
  <w:style w:type="paragraph" w:styleId="11">
    <w:name w:val="Body Text Indent 2"/>
    <w:basedOn w:val="1"/>
    <w:link w:val="32"/>
    <w:autoRedefine/>
    <w:qFormat/>
    <w:uiPriority w:val="0"/>
    <w:pPr>
      <w:spacing w:after="120" w:line="480" w:lineRule="auto"/>
      <w:ind w:left="420" w:leftChars="200"/>
    </w:pPr>
    <w:rPr>
      <w:szCs w:val="20"/>
    </w:rPr>
  </w:style>
  <w:style w:type="paragraph" w:styleId="12">
    <w:name w:val="Balloon Text"/>
    <w:basedOn w:val="1"/>
    <w:link w:val="39"/>
    <w:autoRedefine/>
    <w:qFormat/>
    <w:uiPriority w:val="0"/>
    <w:rPr>
      <w:sz w:val="18"/>
      <w:szCs w:val="18"/>
    </w:rPr>
  </w:style>
  <w:style w:type="paragraph" w:styleId="13">
    <w:name w:val="footer"/>
    <w:basedOn w:val="1"/>
    <w:autoRedefine/>
    <w:unhideWhenUsed/>
    <w:qFormat/>
    <w:uiPriority w:val="99"/>
    <w:pPr>
      <w:tabs>
        <w:tab w:val="center" w:pos="4153"/>
        <w:tab w:val="right" w:pos="8306"/>
      </w:tabs>
      <w:snapToGrid w:val="0"/>
      <w:jc w:val="left"/>
    </w:pPr>
    <w:rPr>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qFormat/>
    <w:uiPriority w:val="0"/>
  </w:style>
  <w:style w:type="paragraph" w:styleId="16">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7">
    <w:name w:val="annotation subject"/>
    <w:basedOn w:val="7"/>
    <w:next w:val="7"/>
    <w:link w:val="38"/>
    <w:autoRedefine/>
    <w:qFormat/>
    <w:uiPriority w:val="0"/>
    <w:rPr>
      <w:b/>
      <w:bCs/>
    </w:rPr>
  </w:style>
  <w:style w:type="paragraph" w:styleId="18">
    <w:name w:val="Body Text First Indent 2"/>
    <w:basedOn w:val="10"/>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rPr>
      <w:b/>
    </w:rPr>
  </w:style>
  <w:style w:type="character" w:styleId="23">
    <w:name w:val="annotation reference"/>
    <w:basedOn w:val="21"/>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1"/>
    <w:autoRedefine/>
    <w:qFormat/>
    <w:uiPriority w:val="0"/>
    <w:rPr>
      <w:szCs w:val="20"/>
    </w:rPr>
  </w:style>
  <w:style w:type="character" w:customStyle="1" w:styleId="33">
    <w:name w:val="Body Text First Indent Char"/>
    <w:link w:val="9"/>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8"/>
    <w:autoRedefine/>
    <w:qFormat/>
    <w:uiPriority w:val="99"/>
    <w:rPr>
      <w:rFonts w:ascii="宋体" w:hAnsi="Times New Roman"/>
      <w:kern w:val="0"/>
      <w:sz w:val="21"/>
      <w:szCs w:val="24"/>
    </w:rPr>
  </w:style>
  <w:style w:type="character" w:customStyle="1" w:styleId="37">
    <w:name w:val="Comment Text Char"/>
    <w:basedOn w:val="21"/>
    <w:link w:val="7"/>
    <w:autoRedefine/>
    <w:qFormat/>
    <w:uiPriority w:val="0"/>
    <w:rPr>
      <w:kern w:val="2"/>
      <w:sz w:val="21"/>
      <w:szCs w:val="22"/>
    </w:rPr>
  </w:style>
  <w:style w:type="character" w:customStyle="1" w:styleId="38">
    <w:name w:val="Comment Subject Char"/>
    <w:basedOn w:val="37"/>
    <w:link w:val="17"/>
    <w:autoRedefine/>
    <w:qFormat/>
    <w:uiPriority w:val="0"/>
    <w:rPr>
      <w:b/>
      <w:bCs/>
      <w:kern w:val="2"/>
      <w:sz w:val="21"/>
      <w:szCs w:val="22"/>
    </w:rPr>
  </w:style>
  <w:style w:type="character" w:customStyle="1" w:styleId="39">
    <w:name w:val="Balloon Text Char"/>
    <w:basedOn w:val="21"/>
    <w:link w:val="12"/>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1230</Words>
  <Characters>1300</Characters>
  <Lines>72</Lines>
  <Paragraphs>20</Paragraphs>
  <TotalTime>1</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cp:lastPrinted>2026-09-08T07:53:00Z</cp:lastPrinted>
  <dcterms:modified xsi:type="dcterms:W3CDTF">2026-09-11T01:51:55Z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2FF87CF0317D410583F85AAA208A7766_13</vt:lpwstr>
  </property>
  <property fmtid="{D5CDD505-2E9C-101B-9397-08002B2CF9AE}" pid="4" name="KSOTemplateDocerSaveRecord">
    <vt:lpwstr>eyJoZGlkIjoiZTE3YzY5ZGRmMGZjYjE3ZTA2OTZlNGYxY2RlMGIzMDkiLCJ1c2VySWQiOiI3MDMxOTM4MzkifQ==</vt:lpwstr>
  </property>
</Properties>
</file>