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rPr>
      </w:pPr>
    </w:p>
    <w:p>
      <w:pPr>
        <w:spacing w:line="360" w:lineRule="auto"/>
        <w:ind w:firstLine="610" w:firstLineChars="100"/>
        <w:jc w:val="center"/>
        <w:rPr>
          <w:rFonts w:hint="eastAsia" w:ascii="STHeiti Regular" w:hAnsi="STHeiti Regular" w:eastAsia="STHeiti Regular" w:cs="STHeiti Regular"/>
          <w:b/>
          <w:color w:val="auto"/>
          <w:spacing w:val="24"/>
          <w:sz w:val="56"/>
          <w:szCs w:val="56"/>
          <w:lang w:eastAsia="zh-CN"/>
        </w:rPr>
      </w:pPr>
    </w:p>
    <w:p>
      <w:pPr>
        <w:spacing w:line="360" w:lineRule="auto"/>
        <w:ind w:firstLine="610" w:firstLineChars="100"/>
        <w:jc w:val="center"/>
        <w:rPr>
          <w:rFonts w:hint="eastAsia" w:ascii="STHeiti Regular" w:hAnsi="STHeiti Regular" w:eastAsia="STHeiti Regular" w:cs="STHeiti Regular"/>
          <w:b/>
          <w:color w:val="auto"/>
          <w:spacing w:val="24"/>
          <w:sz w:val="56"/>
          <w:szCs w:val="56"/>
          <w:lang w:eastAsia="zh-CN"/>
        </w:rPr>
      </w:pPr>
      <w:r>
        <w:rPr>
          <w:rFonts w:hint="eastAsia" w:ascii="STHeiti Regular" w:hAnsi="STHeiti Regular" w:eastAsia="STHeiti Regular" w:cs="STHeiti Regular"/>
          <w:b/>
          <w:color w:val="auto"/>
          <w:spacing w:val="24"/>
          <w:sz w:val="56"/>
          <w:szCs w:val="56"/>
          <w:lang w:eastAsia="zh-CN"/>
        </w:rPr>
        <w:t>四川省精神医学中心四川省精神卫生服务综合管理平台互联网专线服务采购项目</w:t>
      </w:r>
    </w:p>
    <w:p>
      <w:pPr>
        <w:rPr>
          <w:rFonts w:hint="default" w:ascii="黑体" w:hAnsi="黑体" w:eastAsia="黑体" w:cs="黑体"/>
          <w:bCs/>
          <w:color w:val="auto"/>
        </w:rPr>
      </w:pPr>
    </w:p>
    <w:p>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pPr>
        <w:rPr>
          <w:rFonts w:hint="default" w:ascii="黑体" w:hAnsi="黑体" w:eastAsia="黑体" w:cs="黑体"/>
          <w:color w:val="auto"/>
        </w:rPr>
      </w:pPr>
    </w:p>
    <w:p>
      <w:pPr>
        <w:spacing w:line="440" w:lineRule="exact"/>
        <w:jc w:val="center"/>
        <w:rPr>
          <w:rFonts w:hint="default" w:ascii="黑体" w:hAnsi="黑体" w:eastAsia="黑体" w:cs="黑体"/>
          <w:b/>
          <w:color w:val="auto"/>
          <w:sz w:val="36"/>
          <w:szCs w:val="36"/>
        </w:rPr>
      </w:pPr>
      <w:r>
        <w:rPr>
          <w:rFonts w:hint="eastAsia" w:ascii="黑体" w:hAnsi="黑体" w:eastAsia="黑体" w:cs="黑体"/>
          <w:b/>
          <w:color w:val="auto"/>
          <w:sz w:val="36"/>
          <w:szCs w:val="36"/>
          <w:lang w:eastAsia="zh-CN"/>
        </w:rPr>
        <w:t>四川省精神医学中心</w:t>
      </w:r>
    </w:p>
    <w:p>
      <w:pPr>
        <w:spacing w:line="440" w:lineRule="exact"/>
        <w:jc w:val="center"/>
        <w:rPr>
          <w:rFonts w:hint="default" w:ascii="黑体" w:hAnsi="黑体" w:eastAsia="黑体" w:cs="黑体"/>
          <w:b/>
          <w:color w:val="auto"/>
          <w:sz w:val="36"/>
          <w:szCs w:val="36"/>
        </w:rPr>
      </w:pPr>
    </w:p>
    <w:p>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rPr>
        <w:t>2026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5</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pPr>
            <w:pStyle w:val="11"/>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2"/>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"_Toc5866" </w:instrText>
          </w:r>
          <w:r>
            <w:fldChar w:fldCharType="separate"/>
          </w:r>
          <w:r>
            <w:rPr>
              <w:rFonts w:ascii="仿宋" w:hAnsi="仿宋" w:eastAsia="仿宋" w:cs="仿宋"/>
              <w:color w:val="auto"/>
              <w:sz w:val="24"/>
              <w:szCs w:val="24"/>
            </w:rPr>
            <w:t>一、 资格要求：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_Toc5866 \h </w:instrText>
          </w:r>
          <w:r>
            <w:rPr>
              <w:rFonts w:ascii="仿宋" w:hAnsi="仿宋" w:eastAsia="仿宋" w:cs="仿宋"/>
              <w:color w:val="auto"/>
              <w:sz w:val="24"/>
              <w:szCs w:val="24"/>
            </w:rPr>
            <w:fldChar w:fldCharType="separate"/>
          </w:r>
          <w:r>
            <w:rPr>
              <w:rFonts w:ascii="仿宋" w:hAnsi="仿宋" w:eastAsia="仿宋" w:cs="仿宋"/>
              <w:color w:val="auto"/>
              <w:sz w:val="24"/>
              <w:szCs w:val="24"/>
            </w:rPr>
            <w:t>9</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pPr>
            <w:pStyle w:val="12"/>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"_Toc21556" </w:instrText>
          </w:r>
          <w:r>
            <w:fldChar w:fldCharType="separate"/>
          </w:r>
          <w:r>
            <w:rPr>
              <w:rFonts w:ascii="仿宋" w:hAnsi="仿宋" w:eastAsia="仿宋" w:cs="仿宋"/>
              <w:color w:val="auto"/>
              <w:sz w:val="24"/>
              <w:szCs w:val="24"/>
            </w:rPr>
            <w:t xml:space="preserve">二、 </w:t>
          </w:r>
          <w:r>
            <w:rPr>
              <w:rFonts w:ascii="仿宋" w:hAnsi="仿宋" w:eastAsia="仿宋" w:cs="仿宋"/>
              <w:bCs/>
              <w:color w:val="auto"/>
              <w:sz w:val="24"/>
              <w:szCs w:val="24"/>
            </w:rPr>
            <w:t>采购需求：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_Toc21556 \h </w:instrText>
          </w:r>
          <w:r>
            <w:rPr>
              <w:rFonts w:ascii="仿宋" w:hAnsi="仿宋" w:eastAsia="仿宋" w:cs="仿宋"/>
              <w:color w:val="auto"/>
              <w:sz w:val="24"/>
              <w:szCs w:val="24"/>
            </w:rPr>
            <w:fldChar w:fldCharType="separate"/>
          </w:r>
          <w:r>
            <w:rPr>
              <w:rFonts w:ascii="仿宋" w:hAnsi="仿宋" w:eastAsia="仿宋" w:cs="仿宋"/>
              <w:color w:val="auto"/>
              <w:sz w:val="24"/>
              <w:szCs w:val="24"/>
            </w:rPr>
            <w:t>10</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pPr>
            <w:pStyle w:val="11"/>
            <w:tabs>
              <w:tab w:val="right" w:leader="dot" w:pos="8294"/>
            </w:tabs>
            <w:spacing w:line="360" w:lineRule="auto"/>
            <w:rPr>
              <w:rFonts w:hint="eastAsia" w:ascii="仿宋" w:hAnsi="仿宋" w:eastAsia="仿宋" w:cs="仿宋"/>
              <w:sz w:val="24"/>
              <w:szCs w:val="24"/>
              <w:lang w:val="en-US" w:eastAsia="zh-CN"/>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lang w:val="en-US" w:eastAsia="zh-CN"/>
            </w:rPr>
            <w:t>1</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rPr>
            <w:t>6</w:t>
          </w:r>
        </w:p>
        <w:p>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22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1"/>
            <w:tabs>
              <w:tab w:val="right" w:leader="dot" w:pos="8294"/>
            </w:tabs>
            <w:spacing w:line="360" w:lineRule="auto"/>
            <w:rPr>
              <w:rFonts w:ascii="仿宋" w:hAnsi="仿宋" w:eastAsia="仿宋" w:cs="仿宋"/>
              <w:sz w:val="24"/>
              <w:szCs w:val="24"/>
            </w:rPr>
          </w:pPr>
        </w:p>
        <w:p>
          <w:pPr>
            <w:pStyle w:val="11"/>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rPr>
        <w:br w:type="page"/>
      </w:r>
    </w:p>
    <w:p>
      <w:pPr>
        <w:pStyle w:val="2"/>
        <w:ind w:firstLine="0"/>
        <w:rPr>
          <w:lang w:val="zh-TW" w:eastAsia="zh-TW"/>
        </w:rPr>
      </w:pPr>
      <w:bookmarkStart w:id="0" w:name="第一章"/>
      <w:r>
        <w:rPr>
          <w:rFonts w:hint="eastAsia"/>
          <w:lang w:val="en-US"/>
        </w:rPr>
        <w:t xml:space="preserve"> </w:t>
      </w:r>
      <w:bookmarkStart w:id="1" w:name="_Toc21451"/>
      <w:r>
        <w:rPr>
          <w:lang w:val="zh-TW" w:eastAsia="zh-TW"/>
        </w:rPr>
        <w:fldChar w:fldCharType="begin"/>
      </w:r>
      <w:r>
        <w:rPr>
          <w:lang w:val="zh-TW" w:eastAsia="zh-TW"/>
        </w:rPr>
        <w:instrText xml:space="preserve"> HYPERLINK  \l "目录" </w:instrText>
      </w:r>
      <w:r>
        <w:rPr>
          <w:lang w:val="zh-TW" w:eastAsia="zh-TW"/>
        </w:rPr>
        <w:fldChar w:fldCharType="separate"/>
      </w:r>
      <w:r>
        <w:rPr>
          <w:rStyle w:val="20"/>
          <w:rFonts w:cs="Times New Roman" w:asciiTheme="majorEastAsia" w:hAnsiTheme="majorEastAsia" w:eastAsiaTheme="majorEastAsia"/>
          <w:szCs w:val="32"/>
          <w:u w:val="none"/>
          <w:lang w:val="zh-TW" w:eastAsia="zh-TW"/>
        </w:rPr>
        <w:t>项目概况</w:t>
      </w:r>
      <w:r>
        <w:rPr>
          <w:lang w:val="zh-TW" w:eastAsia="zh-TW"/>
        </w:rPr>
        <w:fldChar w:fldCharType="end"/>
      </w:r>
      <w:bookmarkEnd w:id="1"/>
    </w:p>
    <w:bookmarkEnd w:id="0"/>
    <w:tbl>
      <w:tblPr>
        <w:tblStyle w:val="15"/>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四川省精神医学中心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pPr>
              <w:spacing w:line="360" w:lineRule="auto"/>
              <w:ind w:left="210" w:leftChars="100"/>
              <w:rPr>
                <w:rFonts w:hint="default" w:ascii="仿宋" w:hAnsi="仿宋" w:eastAsia="仿宋" w:cs="仿宋"/>
                <w:color w:val="auto"/>
                <w:sz w:val="22"/>
                <w:szCs w:val="22"/>
              </w:rPr>
            </w:pPr>
            <w:r>
              <w:rPr>
                <w:rFonts w:hint="default" w:ascii="仿宋" w:hAnsi="仿宋" w:eastAsia="仿宋" w:cs="仿宋"/>
                <w:color w:val="auto"/>
                <w:sz w:val="22"/>
                <w:szCs w:val="22"/>
              </w:rPr>
              <w:t>四川省精神医学中心四川省精神卫生服务综合管理平台互联网专线服务采购项目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pPr>
              <w:spacing w:line="360" w:lineRule="auto"/>
              <w:ind w:left="210" w:leftChars="100"/>
              <w:rPr>
                <w:rFonts w:hint="default" w:ascii="仿宋" w:hAnsi="仿宋" w:eastAsia="仿宋" w:cs="仿宋"/>
                <w:color w:val="auto"/>
                <w:sz w:val="22"/>
                <w:szCs w:val="22"/>
              </w:rPr>
            </w:pPr>
            <w:bookmarkStart w:id="2" w:name="OLE_LINK3"/>
            <w:r>
              <w:rPr>
                <w:rFonts w:hint="default" w:ascii="仿宋" w:hAnsi="仿宋" w:eastAsia="仿宋" w:cs="仿宋"/>
                <w:color w:val="auto"/>
                <w:sz w:val="22"/>
                <w:szCs w:val="22"/>
              </w:rPr>
              <w:t>CGZX-YXX20260634</w:t>
            </w:r>
            <w:bookmarkEnd w:id="2"/>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sz w:val="22"/>
                <w:szCs w:val="22"/>
                <w:lang w:val="zh-TW"/>
              </w:rPr>
              <w:t>最高限价</w:t>
            </w:r>
          </w:p>
        </w:tc>
        <w:tc>
          <w:tcPr>
            <w:tcW w:w="6801" w:type="dxa"/>
            <w:vAlign w:val="center"/>
          </w:tcPr>
          <w:p>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人民币</w:t>
            </w:r>
            <w:r>
              <w:rPr>
                <w:rFonts w:hint="eastAsia" w:ascii="仿宋" w:hAnsi="仿宋" w:eastAsia="仿宋" w:cs="仿宋"/>
                <w:color w:val="auto"/>
                <w:sz w:val="22"/>
                <w:szCs w:val="22"/>
              </w:rPr>
              <w:t>2.58</w:t>
            </w:r>
            <w:r>
              <w:rPr>
                <w:rFonts w:hint="eastAsia" w:ascii="仿宋" w:hAnsi="仿宋" w:eastAsia="仿宋" w:cs="仿宋"/>
                <w:color w:val="auto"/>
                <w:sz w:val="22"/>
                <w:szCs w:val="22"/>
                <w:u w:val="none" w:color="auto"/>
                <w:lang w:val="en-US" w:eastAsia="zh-CN"/>
              </w:rPr>
              <w:t>万</w:t>
            </w:r>
            <w:r>
              <w:rPr>
                <w:rFonts w:ascii="仿宋" w:hAnsi="仿宋" w:eastAsia="仿宋" w:cs="仿宋"/>
                <w:color w:val="auto"/>
                <w:sz w:val="22"/>
                <w:szCs w:val="22"/>
                <w:u w:val="none" w:color="auto"/>
              </w:rPr>
              <w:t>元</w:t>
            </w:r>
          </w:p>
          <w:p>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超过最高限价的报价，其报价文件作无效处理。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sz w:val="22"/>
                <w:szCs w:val="22"/>
              </w:rPr>
            </w:pPr>
          </w:p>
        </w:tc>
        <w:tc>
          <w:tcPr>
            <w:tcW w:w="1765" w:type="dxa"/>
            <w:vAlign w:val="center"/>
          </w:tcPr>
          <w:p>
            <w:pPr>
              <w:pStyle w:val="31"/>
              <w:widowControl/>
              <w:spacing w:line="36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pPr>
              <w:spacing w:line="36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pPr>
              <w:pStyle w:val="6"/>
              <w:spacing w:line="36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pPr>
              <w:pStyle w:val="6"/>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踏勘签到时间：</w:t>
            </w:r>
          </w:p>
          <w:p>
            <w:pPr>
              <w:pStyle w:val="6"/>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踏勘签到地点：</w:t>
            </w:r>
          </w:p>
          <w:p>
            <w:pPr>
              <w:pStyle w:val="6"/>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踏勘开始时间：</w:t>
            </w:r>
          </w:p>
          <w:p>
            <w:pPr>
              <w:pStyle w:val="6"/>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踏勘地点：</w:t>
            </w:r>
          </w:p>
          <w:p>
            <w:pPr>
              <w:pStyle w:val="6"/>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联系人：</w:t>
            </w:r>
          </w:p>
          <w:p>
            <w:pPr>
              <w:pStyle w:val="6"/>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联系电话：</w:t>
            </w:r>
          </w:p>
          <w:p>
            <w:pPr>
              <w:pStyle w:val="6"/>
              <w:snapToGrid w:val="0"/>
              <w:ind w:left="216" w:leftChars="103" w:firstLine="202" w:firstLineChars="92"/>
              <w:contextualSpacing/>
              <w:rPr>
                <w:rFonts w:hint="default" w:ascii="仿宋" w:hAnsi="仿宋" w:eastAsia="仿宋" w:cs="仿宋"/>
                <w:color w:val="auto"/>
                <w:sz w:val="22"/>
                <w:szCs w:val="22"/>
              </w:rPr>
            </w:pPr>
            <w:r>
              <w:rPr>
                <w:rFonts w:ascii="Times New Roman" w:hAnsi="Times New Roman" w:eastAsia="仿宋" w:cs="Times New Roman"/>
                <w:color w:val="auto"/>
                <w:sz w:val="22"/>
                <w:szCs w:val="22"/>
              </w:rPr>
              <w:t>注：供应商自行前往踏勘签到地点，所产生的费用由供应商自行承担。未在要求时间内签到的供应商，视为自行放弃参与本项目踏勘。未在规定时间内签到或未参加</w:t>
            </w:r>
            <w:r>
              <w:rPr>
                <w:rFonts w:hint="eastAsia" w:ascii="Times New Roman" w:hAnsi="Times New Roman" w:eastAsia="仿宋" w:cs="Times New Roman"/>
                <w:color w:val="auto"/>
                <w:sz w:val="22"/>
                <w:szCs w:val="22"/>
                <w:lang w:eastAsia="zh-CN"/>
              </w:rPr>
              <w:t>踏勘</w:t>
            </w:r>
            <w:r>
              <w:rPr>
                <w:rFonts w:ascii="Times New Roman" w:hAnsi="Times New Roman" w:eastAsia="仿宋" w:cs="Times New Roman"/>
                <w:color w:val="auto"/>
                <w:sz w:val="22"/>
                <w:szCs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pPr>
              <w:spacing w:line="36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pPr>
              <w:pStyle w:val="35"/>
              <w:spacing w:line="36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pPr>
              <w:pStyle w:val="35"/>
              <w:spacing w:line="36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pPr>
              <w:pStyle w:val="35"/>
              <w:spacing w:line="360" w:lineRule="auto"/>
              <w:jc w:val="center"/>
              <w:rPr>
                <w:rFonts w:ascii="仿宋" w:hAnsi="仿宋" w:eastAsia="仿宋" w:cs="仿宋"/>
                <w:sz w:val="22"/>
                <w:szCs w:val="22"/>
              </w:rPr>
            </w:pPr>
          </w:p>
        </w:tc>
        <w:tc>
          <w:tcPr>
            <w:tcW w:w="6801" w:type="dxa"/>
            <w:tcBorders>
              <w:top w:val="single" w:color="auto" w:sz="4" w:space="0"/>
            </w:tcBorders>
            <w:vAlign w:val="center"/>
          </w:tcPr>
          <w:p>
            <w:pPr>
              <w:pStyle w:val="35"/>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收取       </w:t>
            </w:r>
          </w:p>
          <w:p>
            <w:pPr>
              <w:pStyle w:val="35"/>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u w:val="single"/>
              </w:rPr>
              <w:t xml:space="preserve">     </w:t>
            </w:r>
          </w:p>
          <w:p>
            <w:pPr>
              <w:pStyle w:val="35"/>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交款方式：履约保证金可以以支票、汇票、本票或者金融机构出具的保函等非现金形式提交（包括网银转账，电汇等方式），收款单位、开户行、银行账号签订合同前同采购人约定；</w:t>
            </w:r>
          </w:p>
          <w:p>
            <w:pPr>
              <w:pStyle w:val="35"/>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pPr>
              <w:pStyle w:val="35"/>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pPr>
              <w:pStyle w:val="35"/>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pPr>
              <w:pStyle w:val="35"/>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pPr>
              <w:pStyle w:val="35"/>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lang w:val="zh-CN"/>
              </w:rPr>
              <w:t>采购合同签订后7个工作日内；</w:t>
            </w:r>
          </w:p>
          <w:p>
            <w:pPr>
              <w:pStyle w:val="35"/>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pPr>
              <w:pStyle w:val="35"/>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退还时间及方式：合同服务期满履约验收合格后采购人接到成交供应商退款申请之日起30个工作日内无息退还；</w:t>
            </w:r>
          </w:p>
          <w:p>
            <w:pPr>
              <w:pStyle w:val="35"/>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pPr>
              <w:pStyle w:val="35"/>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pPr>
              <w:pStyle w:val="35"/>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pPr>
              <w:pStyle w:val="35"/>
              <w:numPr>
                <w:ilvl w:val="0"/>
                <w:numId w:val="8"/>
              </w:numPr>
              <w:tabs>
                <w:tab w:val="left" w:pos="218"/>
                <w:tab w:val="clear" w:pos="0"/>
              </w:tabs>
              <w:spacing w:line="36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pPr>
              <w:rPr>
                <w:rFonts w:hint="default"/>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pPr>
              <w:pStyle w:val="35"/>
              <w:spacing w:line="360" w:lineRule="auto"/>
              <w:jc w:val="center"/>
              <w:rPr>
                <w:rFonts w:ascii="仿宋" w:hAnsi="仿宋" w:eastAsia="仿宋" w:cs="仿宋"/>
                <w:sz w:val="22"/>
                <w:szCs w:val="22"/>
              </w:rPr>
            </w:pPr>
            <w:r>
              <w:rPr>
                <w:rFonts w:hint="eastAsia" w:ascii="仿宋" w:hAnsi="仿宋" w:eastAsia="仿宋" w:cs="仿宋"/>
                <w:sz w:val="22"/>
                <w:szCs w:val="22"/>
              </w:rPr>
              <w:t>询比价文件</w:t>
            </w:r>
          </w:p>
          <w:p>
            <w:pPr>
              <w:pStyle w:val="35"/>
              <w:spacing w:line="36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pPr>
              <w:pStyle w:val="35"/>
              <w:spacing w:line="36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pPr>
              <w:pStyle w:val="35"/>
              <w:spacing w:line="36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pPr>
              <w:spacing w:line="36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供应商不需要到现场（文件另有要求除外）</w:t>
            </w:r>
            <w:r>
              <w:rPr>
                <w:rFonts w:ascii="仿宋" w:hAnsi="仿宋" w:eastAsia="仿宋" w:cs="仿宋"/>
                <w:color w:val="auto"/>
                <w:sz w:val="22"/>
                <w:szCs w:val="22"/>
              </w:rPr>
              <w:t>；</w:t>
            </w:r>
          </w:p>
          <w:p>
            <w:pPr>
              <w:pStyle w:val="35"/>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pPr>
              <w:pStyle w:val="35"/>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pPr>
              <w:pStyle w:val="35"/>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pPr>
              <w:pStyle w:val="35"/>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pPr>
              <w:pStyle w:val="35"/>
              <w:spacing w:line="36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pPr>
              <w:pStyle w:val="35"/>
              <w:spacing w:line="36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pPr>
              <w:pStyle w:val="41"/>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pPr>
              <w:pStyle w:val="35"/>
              <w:spacing w:line="36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u w:val="none"/>
                <w:lang w:val="en-US"/>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仇</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val="en-US" w:eastAsia="zh-CN"/>
              </w:rPr>
              <w:t xml:space="preserve"> </w:t>
            </w:r>
            <w:r>
              <w:rPr>
                <w:rFonts w:ascii="Times New Roman" w:hAnsi="Times New Roman" w:eastAsia="仿宋" w:cs="Times New Roman"/>
                <w:sz w:val="22"/>
                <w:u w:val="none"/>
              </w:rPr>
              <w:t xml:space="preserve">028- </w:t>
            </w:r>
            <w:r>
              <w:rPr>
                <w:rFonts w:hint="eastAsia" w:ascii="Times New Roman" w:hAnsi="Times New Roman" w:eastAsia="仿宋" w:cs="Times New Roman"/>
                <w:sz w:val="22"/>
                <w:u w:val="none"/>
                <w:lang w:val="en-US" w:eastAsia="zh-CN"/>
              </w:rPr>
              <w:t>87393255</w:t>
            </w:r>
          </w:p>
          <w:p>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医学信息中心</w:t>
            </w:r>
          </w:p>
          <w:p>
            <w:pPr>
              <w:shd w:val="clear"/>
              <w:spacing w:line="360" w:lineRule="auto"/>
              <w:ind w:left="210" w:leftChars="100"/>
              <w:rPr>
                <w:rFonts w:ascii="Times New Roman" w:hAnsi="Times New Roman" w:eastAsia="仿宋" w:cs="Times New Roman"/>
                <w:sz w:val="22"/>
                <w:highlight w:val="none"/>
                <w:u w:val="none"/>
              </w:rPr>
            </w:pPr>
            <w:r>
              <w:rPr>
                <w:rFonts w:ascii="Times New Roman" w:hAnsi="Times New Roman" w:eastAsia="仿宋" w:cs="Times New Roman"/>
                <w:sz w:val="22"/>
                <w:u w:val="none"/>
              </w:rPr>
              <w:t>联系方式</w:t>
            </w:r>
            <w:r>
              <w:rPr>
                <w:rFonts w:ascii="Times New Roman" w:hAnsi="Times New Roman" w:eastAsia="仿宋" w:cs="Times New Roman"/>
                <w:sz w:val="22"/>
                <w:highlight w:val="none"/>
                <w:u w:val="none"/>
              </w:rPr>
              <w:t>：</w:t>
            </w:r>
            <w:r>
              <w:rPr>
                <w:rFonts w:hint="eastAsia" w:ascii="Times New Roman" w:hAnsi="Times New Roman" w:eastAsia="仿宋" w:cs="Times New Roman"/>
                <w:sz w:val="22"/>
                <w:highlight w:val="none"/>
                <w:u w:val="none"/>
                <w:lang w:val="en-US" w:eastAsia="zh-CN"/>
              </w:rPr>
              <w:t xml:space="preserve">吴老师 </w:t>
            </w:r>
            <w:r>
              <w:rPr>
                <w:rFonts w:hint="eastAsia" w:ascii="Times New Roman" w:hAnsi="Times New Roman" w:eastAsia="仿宋" w:cs="Times New Roman"/>
                <w:sz w:val="22"/>
                <w:highlight w:val="none"/>
                <w:u w:val="none"/>
              </w:rPr>
              <w:t>028-</w:t>
            </w:r>
            <w:r>
              <w:rPr>
                <w:rFonts w:hint="eastAsia" w:ascii="Times New Roman" w:hAnsi="Times New Roman" w:eastAsia="仿宋" w:cs="Times New Roman"/>
                <w:sz w:val="22"/>
                <w:highlight w:val="none"/>
                <w:u w:val="none"/>
                <w:lang w:val="en-US" w:eastAsia="zh-CN"/>
              </w:rPr>
              <w:t>87393250</w:t>
            </w:r>
          </w:p>
          <w:p>
            <w:pPr>
              <w:shd w:val="clea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hint="default" w:ascii="仿宋" w:hAnsi="仿宋" w:eastAsia="仿宋" w:cs="仿宋"/>
                <w:color w:val="auto"/>
                <w:sz w:val="22"/>
                <w:szCs w:val="22"/>
              </w:rPr>
            </w:pPr>
            <w:r>
              <w:rPr>
                <w:rFonts w:ascii="Times New Roman" w:hAnsi="Times New Roman" w:eastAsia="仿宋" w:cs="Times New Roman"/>
                <w:sz w:val="22"/>
              </w:rPr>
              <w:t>（4）采购平台：隆道云400 0118 000，接通以后按1</w:t>
            </w:r>
          </w:p>
        </w:tc>
      </w:tr>
    </w:tbl>
    <w:p>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pPr>
        <w:rPr>
          <w:rStyle w:val="20"/>
          <w:rFonts w:hint="default" w:asciiTheme="majorEastAsia" w:hAnsiTheme="majorEastAsia" w:eastAsiaTheme="majorEastAsia"/>
          <w:b/>
          <w:bCs/>
          <w:color w:val="auto"/>
          <w:szCs w:val="32"/>
        </w:rPr>
      </w:pPr>
      <w:bookmarkStart w:id="3" w:name="_Toc18086"/>
      <w:bookmarkStart w:id="4" w:name="第二章"/>
      <w:r>
        <w:rPr>
          <w:rStyle w:val="20"/>
          <w:rFonts w:hint="default" w:asciiTheme="majorEastAsia" w:hAnsiTheme="majorEastAsia" w:eastAsiaTheme="majorEastAsia"/>
          <w:b/>
          <w:bCs/>
          <w:color w:val="auto"/>
          <w:szCs w:val="32"/>
          <w:u w:val="none"/>
        </w:rPr>
        <w:br w:type="page"/>
      </w:r>
    </w:p>
    <w:p>
      <w:pPr>
        <w:pStyle w:val="2"/>
        <w:ind w:firstLine="0"/>
        <w:rPr>
          <w:rStyle w:val="20"/>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4"/>
    <w:tbl>
      <w:tblPr>
        <w:tblStyle w:val="15"/>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4"/>
                <w:szCs w:val="24"/>
              </w:rPr>
            </w:pPr>
            <w:r>
              <w:rPr>
                <w:rFonts w:hint="eastAsia" w:ascii="仿宋" w:hAnsi="仿宋" w:eastAsia="仿宋" w:cs="仿宋"/>
                <w:color w:val="auto"/>
                <w:sz w:val="24"/>
                <w:szCs w:val="24"/>
                <w:lang w:val="zh-TW" w:eastAsia="zh-TW"/>
              </w:rPr>
              <w:t>报价</w:t>
            </w:r>
          </w:p>
        </w:tc>
        <w:tc>
          <w:tcPr>
            <w:tcW w:w="6801" w:type="dxa"/>
            <w:tcBorders>
              <w:bottom w:val="single" w:color="auto" w:sz="4" w:space="0"/>
            </w:tcBorders>
            <w:vAlign w:val="center"/>
          </w:tcPr>
          <w:p>
            <w:pPr>
              <w:numPr>
                <w:ilvl w:val="0"/>
                <w:numId w:val="11"/>
              </w:numPr>
              <w:spacing w:line="360" w:lineRule="auto"/>
              <w:ind w:left="220" w:firstLine="0"/>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eastAsia="zh-TW"/>
              </w:rPr>
              <w:t>本次采购活动统一使用人民币报价</w:t>
            </w:r>
            <w:r>
              <w:rPr>
                <w:rFonts w:hint="eastAsia" w:ascii="仿宋" w:hAnsi="仿宋" w:eastAsia="仿宋" w:cs="仿宋"/>
                <w:color w:val="auto"/>
                <w:sz w:val="24"/>
                <w:szCs w:val="24"/>
                <w:lang w:val="zh-TW"/>
              </w:rPr>
              <w:t>。</w:t>
            </w:r>
          </w:p>
          <w:p>
            <w:pPr>
              <w:numPr>
                <w:ilvl w:val="0"/>
                <w:numId w:val="11"/>
              </w:numPr>
              <w:spacing w:line="360" w:lineRule="auto"/>
              <w:ind w:left="220" w:firstLine="0"/>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rPr>
              <w:t>供应商</w:t>
            </w:r>
            <w:r>
              <w:rPr>
                <w:rFonts w:hint="eastAsia" w:ascii="仿宋" w:hAnsi="仿宋" w:eastAsia="仿宋" w:cs="仿宋"/>
                <w:color w:val="auto"/>
                <w:sz w:val="24"/>
                <w:szCs w:val="24"/>
                <w:lang w:val="zh-TW" w:eastAsia="zh-TW"/>
              </w:rPr>
              <w:t>若报价高于最高限价</w:t>
            </w:r>
            <w:r>
              <w:rPr>
                <w:rFonts w:hint="eastAsia" w:ascii="仿宋" w:hAnsi="仿宋" w:eastAsia="仿宋" w:cs="仿宋"/>
                <w:color w:val="auto"/>
                <w:sz w:val="24"/>
                <w:szCs w:val="24"/>
              </w:rPr>
              <w:t>或存在不正当竞争情形的</w:t>
            </w:r>
            <w:r>
              <w:rPr>
                <w:rFonts w:hint="eastAsia" w:ascii="仿宋" w:hAnsi="仿宋" w:eastAsia="仿宋" w:cs="仿宋"/>
                <w:color w:val="auto"/>
                <w:sz w:val="24"/>
                <w:szCs w:val="24"/>
                <w:lang w:val="zh-TW" w:eastAsia="zh-TW"/>
              </w:rPr>
              <w:t>，其</w:t>
            </w:r>
            <w:r>
              <w:rPr>
                <w:rFonts w:hint="eastAsia" w:ascii="仿宋" w:hAnsi="仿宋" w:eastAsia="仿宋" w:cs="仿宋"/>
                <w:color w:val="auto"/>
                <w:sz w:val="24"/>
                <w:szCs w:val="24"/>
                <w:lang w:val="zh-TW"/>
              </w:rPr>
              <w:t>报价文件</w:t>
            </w:r>
            <w:r>
              <w:rPr>
                <w:rFonts w:hint="eastAsia" w:ascii="仿宋" w:hAnsi="仿宋" w:eastAsia="仿宋" w:cs="仿宋"/>
                <w:color w:val="auto"/>
                <w:sz w:val="24"/>
                <w:szCs w:val="24"/>
                <w:lang w:val="zh-TW" w:eastAsia="zh-TW"/>
              </w:rPr>
              <w:t>作无效。</w:t>
            </w:r>
          </w:p>
          <w:p>
            <w:pPr>
              <w:numPr>
                <w:ilvl w:val="0"/>
                <w:numId w:val="11"/>
              </w:numPr>
              <w:spacing w:line="360" w:lineRule="auto"/>
              <w:ind w:left="220" w:firstLine="0"/>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rPr>
              <w:t>供应商</w:t>
            </w:r>
            <w:r>
              <w:rPr>
                <w:rFonts w:hint="eastAsia" w:ascii="仿宋" w:hAnsi="仿宋" w:eastAsia="仿宋" w:cs="仿宋"/>
                <w:color w:val="auto"/>
                <w:sz w:val="24"/>
                <w:szCs w:val="24"/>
                <w:lang w:val="zh-TW" w:eastAsia="zh-TW"/>
              </w:rPr>
              <w:t>应通过采购人</w:t>
            </w:r>
            <w:r>
              <w:rPr>
                <w:rFonts w:hint="eastAsia" w:ascii="仿宋" w:hAnsi="仿宋" w:eastAsia="仿宋" w:cs="仿宋"/>
                <w:color w:val="auto"/>
                <w:sz w:val="24"/>
                <w:szCs w:val="24"/>
                <w:lang w:val="zh-TW"/>
              </w:rPr>
              <w:t>官方网站电子招标采购平台进行报价</w:t>
            </w:r>
            <w:r>
              <w:rPr>
                <w:rFonts w:hint="eastAsia" w:ascii="仿宋" w:hAnsi="仿宋" w:eastAsia="仿宋" w:cs="仿宋"/>
                <w:color w:val="auto"/>
                <w:sz w:val="24"/>
                <w:szCs w:val="24"/>
                <w:lang w:val="zh-TW" w:eastAsia="zh-TW"/>
              </w:rPr>
              <w:t>且</w:t>
            </w:r>
            <w:r>
              <w:rPr>
                <w:rFonts w:hint="eastAsia" w:ascii="仿宋" w:hAnsi="仿宋" w:eastAsia="仿宋" w:cs="仿宋"/>
                <w:color w:val="auto"/>
                <w:sz w:val="24"/>
                <w:szCs w:val="24"/>
              </w:rPr>
              <w:t>报价</w:t>
            </w:r>
            <w:r>
              <w:rPr>
                <w:rFonts w:hint="eastAsia" w:ascii="仿宋" w:hAnsi="仿宋" w:eastAsia="仿宋" w:cs="仿宋"/>
                <w:color w:val="auto"/>
                <w:sz w:val="24"/>
                <w:szCs w:val="24"/>
                <w:lang w:val="zh-TW" w:eastAsia="zh-TW"/>
              </w:rPr>
              <w:t>不可撤回。</w:t>
            </w:r>
          </w:p>
          <w:p>
            <w:pPr>
              <w:numPr>
                <w:ilvl w:val="0"/>
                <w:numId w:val="11"/>
              </w:numPr>
              <w:spacing w:line="360" w:lineRule="auto"/>
              <w:ind w:left="220" w:firstLine="0"/>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eastAsia="zh-TW"/>
              </w:rPr>
              <w:t>如</w:t>
            </w:r>
            <w:r>
              <w:rPr>
                <w:rFonts w:hint="eastAsia" w:ascii="仿宋" w:hAnsi="仿宋" w:eastAsia="仿宋" w:cs="仿宋"/>
                <w:color w:val="auto"/>
                <w:sz w:val="24"/>
                <w:szCs w:val="24"/>
                <w:lang w:val="zh-TW"/>
              </w:rPr>
              <w:t>供应商</w:t>
            </w:r>
            <w:r>
              <w:rPr>
                <w:rFonts w:hint="eastAsia" w:ascii="仿宋" w:hAnsi="仿宋" w:eastAsia="仿宋" w:cs="仿宋"/>
                <w:color w:val="auto"/>
                <w:sz w:val="24"/>
                <w:szCs w:val="24"/>
                <w:lang w:val="zh-TW" w:eastAsia="zh-TW"/>
              </w:rPr>
              <w:t>有与报价相关的必须说明的内容</w:t>
            </w:r>
            <w:r>
              <w:rPr>
                <w:rFonts w:hint="eastAsia" w:ascii="仿宋" w:hAnsi="仿宋" w:eastAsia="仿宋" w:cs="仿宋"/>
                <w:color w:val="auto"/>
                <w:sz w:val="24"/>
                <w:szCs w:val="24"/>
                <w:lang w:val="zh-TW"/>
              </w:rPr>
              <w:t>，应在报价文件</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"格式五报价情况" </w:instrText>
            </w:r>
            <w:r>
              <w:rPr>
                <w:rFonts w:hint="eastAsia" w:ascii="仿宋" w:hAnsi="仿宋" w:eastAsia="仿宋" w:cs="仿宋"/>
                <w:sz w:val="24"/>
                <w:szCs w:val="24"/>
              </w:rPr>
              <w:fldChar w:fldCharType="separate"/>
            </w:r>
            <w:r>
              <w:rPr>
                <w:rFonts w:hint="eastAsia" w:ascii="仿宋" w:hAnsi="仿宋" w:eastAsia="仿宋" w:cs="仿宋"/>
                <w:color w:val="auto"/>
                <w:sz w:val="24"/>
                <w:szCs w:val="24"/>
                <w:lang w:val="zh-TW"/>
              </w:rPr>
              <w:t>格式五《报价情况》</w:t>
            </w:r>
            <w:r>
              <w:rPr>
                <w:rFonts w:hint="eastAsia" w:ascii="仿宋" w:hAnsi="仿宋" w:eastAsia="仿宋" w:cs="仿宋"/>
                <w:color w:val="auto"/>
                <w:sz w:val="24"/>
                <w:szCs w:val="24"/>
                <w:lang w:val="zh-TW"/>
              </w:rPr>
              <w:fldChar w:fldCharType="end"/>
            </w:r>
            <w:r>
              <w:rPr>
                <w:rFonts w:hint="eastAsia" w:ascii="仿宋" w:hAnsi="仿宋" w:eastAsia="仿宋" w:cs="仿宋"/>
                <w:color w:val="auto"/>
                <w:sz w:val="24"/>
                <w:szCs w:val="24"/>
                <w:lang w:val="zh-TW"/>
              </w:rPr>
              <w:t>中写明。</w:t>
            </w:r>
          </w:p>
          <w:p>
            <w:pPr>
              <w:numPr>
                <w:ilvl w:val="0"/>
                <w:numId w:val="11"/>
              </w:numPr>
              <w:spacing w:line="360" w:lineRule="auto"/>
              <w:ind w:left="220" w:firstLine="0"/>
              <w:rPr>
                <w:rFonts w:hint="eastAsia" w:ascii="仿宋" w:hAnsi="仿宋" w:eastAsia="仿宋" w:cs="仿宋"/>
                <w:color w:val="auto"/>
                <w:sz w:val="24"/>
                <w:szCs w:val="24"/>
              </w:rPr>
            </w:pPr>
            <w:r>
              <w:rPr>
                <w:rFonts w:hint="eastAsia" w:ascii="仿宋" w:hAnsi="仿宋" w:eastAsia="仿宋" w:cs="仿宋"/>
                <w:color w:val="auto"/>
                <w:sz w:val="24"/>
                <w:szCs w:val="24"/>
                <w:lang w:val="zh-TW" w:eastAsia="zh-TW"/>
              </w:rPr>
              <w:t>报价应是完成本项目采购需求涉及的全部工作内容的价格体现，是最终用户验收合格后的总价，包含了供应商完成本项目所需的一切费用，即项目包干价。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4"/>
                <w:szCs w:val="24"/>
                <w:lang w:val="zh-CN"/>
              </w:rPr>
            </w:pPr>
            <w:r>
              <w:rPr>
                <w:rFonts w:hint="eastAsia" w:ascii="仿宋" w:hAnsi="仿宋" w:eastAsia="仿宋" w:cs="仿宋"/>
                <w:color w:val="auto"/>
                <w:sz w:val="24"/>
                <w:szCs w:val="24"/>
                <w:lang w:val="zh-TW"/>
              </w:rPr>
              <w:t>报价文件</w:t>
            </w:r>
            <w:r>
              <w:rPr>
                <w:rFonts w:hint="eastAsia" w:ascii="仿宋" w:hAnsi="仿宋" w:eastAsia="仿宋" w:cs="仿宋"/>
                <w:color w:val="auto"/>
                <w:sz w:val="24"/>
                <w:szCs w:val="24"/>
                <w:lang w:val="zh-TW" w:eastAsia="zh-TW"/>
              </w:rPr>
              <w:t>编制要求</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(1)报价文件格式：详见本采购文件第四章。</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(2)报价文件语言：</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 1 \* GB3 \* MERGEFORMAT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①</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 2 \* GB3 \* MERGEFORMAT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②</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翻译的中文资料与外文资料如果出现差异和矛盾时，以中文为准，如因未翻译而造成的无效，由供应商承担。</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 3 \* GB3 \* MERGEFORMAT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③</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报价文件的签署、盖章：详见本采购文件第四章。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评审要求</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（1）评审时根据采购文件对供应商的响应文件进行资格审查、符合性审查及其他有效性审查。审查合格的供应商满足2家及以上，则按照本项目评审方式进行评审。若合格供应商不足2家，不得进行下一步评审。</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（3）异常低价情形：</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1）如评审过程中认定评审过程中出现下列情形之一的，应启动异常低价响应审查程序</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①响应报价低于全部通过符合性审查供应商响应报价平均值50％的，即响应报价＜全部通过符合性审查供应商响应报价平均值×50％；</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②响应报价低于通过符合性审查的次低报价供应商响应报价50％的，即响应报价＜通过符合性审查的次低报价供应商响应报价×50％；</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③响应报价低于采购项目最高限价45％的，即响应报价＜采购项目最高限价×45％；</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④评审时基于专业判断，认为供应商报价过低，有可能影响产品质量或者不能诚信履约的其他情形。</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采购人可以结合具体项目实际情况，提高上述第①项至第③项中启动异常低价响应审查的数值标准，但是最高不得超过65%。 </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相关法律法规对供应商报价有规定的，从其规定。</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2）异常低价响应审查程序：</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①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②评审时应当结合同类产品电商平台价格、行业薪资水平、历史成交价格等信息，对供应商成本构成说明材料进行核查，判断报价合理性。</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③供应商未按要求提交成本构成说明材料，或者提交的材料不能证明其报价合理性的，评审时应当将其响应作无效响应处理。</w:t>
            </w:r>
          </w:p>
          <w:p>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④评审时应当在评审报告中载明异常低价响应审查情况和结论。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rPr>
            </w:pPr>
          </w:p>
        </w:tc>
        <w:tc>
          <w:tcPr>
            <w:tcW w:w="1765" w:type="dxa"/>
            <w:vAlign w:val="center"/>
          </w:tcPr>
          <w:p>
            <w:pPr>
              <w:spacing w:line="360" w:lineRule="auto"/>
              <w:jc w:val="center"/>
              <w:rPr>
                <w:rFonts w:hint="eastAsia" w:ascii="仿宋" w:hAnsi="仿宋" w:eastAsia="仿宋" w:cs="仿宋"/>
                <w:color w:val="auto"/>
                <w:kern w:val="0"/>
                <w:sz w:val="24"/>
                <w:szCs w:val="24"/>
              </w:rPr>
            </w:pPr>
            <w:r>
              <w:rPr>
                <w:rFonts w:hint="eastAsia" w:ascii="仿宋" w:hAnsi="仿宋" w:eastAsia="仿宋" w:cs="仿宋"/>
                <w:color w:val="auto"/>
                <w:sz w:val="24"/>
                <w:szCs w:val="24"/>
                <w:lang w:val="zh-TW" w:eastAsia="zh-TW"/>
              </w:rPr>
              <w:t>货物质量要求</w:t>
            </w:r>
          </w:p>
        </w:tc>
        <w:tc>
          <w:tcPr>
            <w:tcW w:w="6801" w:type="dxa"/>
            <w:vAlign w:val="center"/>
          </w:tcPr>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(1)报价产品应为经检验合格的生产厂家原装全新合格产品，供应商承诺的质量、技术和其他要求，符合国家相关的质量标准和出厂标准并提供产品合格证。</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(2)若出现质量问题，中选供应商负责按照采购人要求办理退货并承担因产品质量导致的经济和法律责任。</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（3）国家或行业主管部门对本次询比价项目涉及的产品及供应商的技术标准、质量标准和资格资质条件等有强制性规定的，应当符合其要求。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rPr>
            </w:pPr>
          </w:p>
        </w:tc>
        <w:tc>
          <w:tcPr>
            <w:tcW w:w="1765" w:type="dxa"/>
            <w:vAlign w:val="center"/>
          </w:tcPr>
          <w:p>
            <w:pPr>
              <w:spacing w:line="360" w:lineRule="auto"/>
              <w:jc w:val="center"/>
              <w:rPr>
                <w:rFonts w:hint="eastAsia" w:ascii="仿宋" w:hAnsi="仿宋" w:eastAsia="仿宋" w:cs="仿宋"/>
                <w:color w:val="auto"/>
                <w:kern w:val="0"/>
                <w:sz w:val="24"/>
                <w:szCs w:val="24"/>
              </w:rPr>
            </w:pPr>
            <w:r>
              <w:rPr>
                <w:rFonts w:hint="eastAsia" w:ascii="仿宋" w:hAnsi="仿宋" w:eastAsia="仿宋" w:cs="仿宋"/>
                <w:color w:val="auto"/>
                <w:sz w:val="24"/>
                <w:szCs w:val="24"/>
                <w:lang w:val="zh-TW" w:eastAsia="zh-TW"/>
              </w:rPr>
              <w:t>服务质量要求</w:t>
            </w:r>
          </w:p>
        </w:tc>
        <w:tc>
          <w:tcPr>
            <w:tcW w:w="6801" w:type="dxa"/>
            <w:vAlign w:val="center"/>
          </w:tcPr>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(1)符合本采购文件要求的质量、技术和其他要求，及中选供应商承诺的质量、技术和其他服务内容，并符合国家相关的质量标准和出厂标准。</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(2)若出现质量问题，中选供应商负责按照采购人要求承担相应的经济和法律责任。</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（3）国家或行业主管部门对本次询比价项目涉及供应商的技术标准、质量标准和资格资质条件等有强制性规定的，应当符合其要求。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rPr>
            </w:pPr>
          </w:p>
        </w:tc>
        <w:tc>
          <w:tcPr>
            <w:tcW w:w="1765" w:type="dxa"/>
            <w:vAlign w:val="center"/>
          </w:tcPr>
          <w:p>
            <w:pPr>
              <w:spacing w:line="360" w:lineRule="auto"/>
              <w:jc w:val="center"/>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eastAsia="zh-TW"/>
              </w:rPr>
              <w:t>知识产权要求</w:t>
            </w:r>
          </w:p>
        </w:tc>
        <w:tc>
          <w:tcPr>
            <w:tcW w:w="6801" w:type="dxa"/>
            <w:vAlign w:val="center"/>
          </w:tcPr>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(3)如报价产品采用了供应商所非拥有的知识产权，则在报价中必须包括合法获取该知识产权的相关费用。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rPr>
            </w:pPr>
          </w:p>
        </w:tc>
        <w:tc>
          <w:tcPr>
            <w:tcW w:w="1765" w:type="dxa"/>
            <w:vAlign w:val="center"/>
          </w:tcPr>
          <w:p>
            <w:pPr>
              <w:spacing w:line="360" w:lineRule="auto"/>
              <w:jc w:val="center"/>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eastAsia="zh-TW"/>
              </w:rPr>
              <w:t>纪律要求</w:t>
            </w:r>
          </w:p>
        </w:tc>
        <w:tc>
          <w:tcPr>
            <w:tcW w:w="6801" w:type="dxa"/>
            <w:vAlign w:val="center"/>
          </w:tcPr>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(1)供应商在参与采购活动过程中，不得有任何违法乱纪的行为。</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(2)若报价文件存在虚假响应，将作无效处理，若是中选后发现的，采购人将取消中选资格。</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(3)若涉及上述行为的，采购人将在官方网站对相关情况进行通报同时追究涉及供应商的相关法律责任。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rPr>
            </w:pPr>
          </w:p>
        </w:tc>
        <w:tc>
          <w:tcPr>
            <w:tcW w:w="1765" w:type="dxa"/>
            <w:vAlign w:val="center"/>
          </w:tcPr>
          <w:p>
            <w:pPr>
              <w:spacing w:line="360" w:lineRule="auto"/>
              <w:jc w:val="center"/>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eastAsia="zh-TW"/>
              </w:rPr>
              <w:t>采购文件的澄清、更正</w:t>
            </w:r>
          </w:p>
        </w:tc>
        <w:tc>
          <w:tcPr>
            <w:tcW w:w="6801" w:type="dxa"/>
            <w:vAlign w:val="center"/>
          </w:tcPr>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采购人在采购活动过程中发出的一切澄清、更正均为采购文件的有效组成部分。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rPr>
            </w:pPr>
          </w:p>
        </w:tc>
        <w:tc>
          <w:tcPr>
            <w:tcW w:w="1765" w:type="dxa"/>
            <w:vAlign w:val="center"/>
          </w:tcPr>
          <w:p>
            <w:pPr>
              <w:spacing w:line="360" w:lineRule="auto"/>
              <w:jc w:val="center"/>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eastAsia="zh-TW"/>
              </w:rPr>
              <w:t>供应商质疑</w:t>
            </w:r>
          </w:p>
        </w:tc>
        <w:tc>
          <w:tcPr>
            <w:tcW w:w="6801" w:type="dxa"/>
            <w:vAlign w:val="center"/>
          </w:tcPr>
          <w:p>
            <w:pPr>
              <w:pStyle w:val="35"/>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自本项目采购公告发布之日起3个工作日内，结果公告发布之日起1个工作日内通过书面形式或隆道云系统线下提交或线上提交；</w:t>
            </w:r>
          </w:p>
          <w:p>
            <w:pPr>
              <w:pStyle w:val="35"/>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注：</w:t>
            </w:r>
          </w:p>
          <w:p>
            <w:pPr>
              <w:pStyle w:val="35"/>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1.供应商质疑不得超出采购文件、采购过程、采购结果的范围；</w:t>
            </w:r>
          </w:p>
          <w:p>
            <w:pPr>
              <w:pStyle w:val="35"/>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2.供应商针对同一采购程序环节的质疑应一次性提出；</w:t>
            </w:r>
          </w:p>
          <w:p>
            <w:pPr>
              <w:pStyle w:val="35"/>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3.质疑相关资料要求：</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（1）质疑函：明确具体质疑事项、事实依据和法律依据，质疑请求。</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（2）授权委托书：供应商若委托代理人进行质疑的提供授权委托书，授权委托书应载明代理人的姓名或者名称、代理事项、具体权限、期限等相关事项。</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rPr>
            </w:pPr>
          </w:p>
        </w:tc>
        <w:tc>
          <w:tcPr>
            <w:tcW w:w="1765" w:type="dxa"/>
            <w:vAlign w:val="center"/>
          </w:tcPr>
          <w:p>
            <w:pPr>
              <w:spacing w:line="360" w:lineRule="auto"/>
              <w:jc w:val="center"/>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eastAsia="zh-TW"/>
              </w:rPr>
              <w:t>中选公告及合同签订</w:t>
            </w:r>
          </w:p>
        </w:tc>
        <w:tc>
          <w:tcPr>
            <w:tcW w:w="6801" w:type="dxa"/>
            <w:vAlign w:val="center"/>
          </w:tcPr>
          <w:p>
            <w:pPr>
              <w:spacing w:line="360" w:lineRule="auto"/>
              <w:ind w:left="216" w:leftChars="103"/>
              <w:rPr>
                <w:rFonts w:hint="eastAsia" w:ascii="仿宋" w:hAnsi="仿宋" w:eastAsia="仿宋" w:cs="仿宋"/>
                <w:color w:val="auto"/>
                <w:sz w:val="24"/>
                <w:szCs w:val="24"/>
              </w:rPr>
            </w:pPr>
            <w:r>
              <w:rPr>
                <w:rFonts w:hint="eastAsia" w:ascii="仿宋" w:hAnsi="仿宋" w:eastAsia="仿宋" w:cs="仿宋"/>
                <w:color w:val="auto"/>
                <w:sz w:val="24"/>
                <w:szCs w:val="24"/>
              </w:rPr>
              <w:t>（1）询比价完成后，</w:t>
            </w:r>
            <w:r>
              <w:rPr>
                <w:rFonts w:hint="eastAsia" w:ascii="仿宋" w:hAnsi="仿宋" w:eastAsia="仿宋" w:cs="仿宋"/>
                <w:color w:val="auto"/>
                <w:sz w:val="24"/>
                <w:szCs w:val="24"/>
                <w:lang w:val="zh-CN"/>
              </w:rPr>
              <w:t>采购人在系统中发出中</w:t>
            </w:r>
            <w:r>
              <w:rPr>
                <w:rFonts w:hint="eastAsia" w:ascii="仿宋" w:hAnsi="仿宋" w:eastAsia="仿宋" w:cs="仿宋"/>
                <w:color w:val="auto"/>
                <w:sz w:val="24"/>
                <w:szCs w:val="24"/>
              </w:rPr>
              <w:t>选</w:t>
            </w:r>
            <w:r>
              <w:rPr>
                <w:rFonts w:hint="eastAsia" w:ascii="仿宋" w:hAnsi="仿宋" w:eastAsia="仿宋" w:cs="仿宋"/>
                <w:color w:val="auto"/>
                <w:sz w:val="24"/>
                <w:szCs w:val="24"/>
                <w:lang w:val="zh-CN"/>
              </w:rPr>
              <w:t>公告；</w:t>
            </w:r>
          </w:p>
          <w:p>
            <w:pPr>
              <w:spacing w:line="360" w:lineRule="auto"/>
              <w:ind w:left="216" w:leftChars="103"/>
              <w:rPr>
                <w:rFonts w:hint="eastAsia" w:ascii="仿宋" w:hAnsi="仿宋" w:eastAsia="仿宋" w:cs="仿宋"/>
                <w:color w:val="auto"/>
                <w:sz w:val="24"/>
                <w:szCs w:val="24"/>
                <w:u w:val="none" w:color="auto"/>
              </w:rPr>
            </w:pPr>
            <w:r>
              <w:rPr>
                <w:rFonts w:hint="eastAsia" w:ascii="仿宋" w:hAnsi="仿宋" w:eastAsia="仿宋" w:cs="仿宋"/>
                <w:color w:val="auto"/>
                <w:sz w:val="24"/>
                <w:szCs w:val="24"/>
                <w:u w:val="none" w:color="auto"/>
              </w:rPr>
              <w:t>（2）请中选供应商在中选公告发出1个工作日后，</w:t>
            </w:r>
            <w:r>
              <w:rPr>
                <w:rFonts w:hint="eastAsia" w:ascii="仿宋" w:hAnsi="仿宋" w:eastAsia="仿宋" w:cs="仿宋"/>
                <w:color w:val="auto"/>
                <w:sz w:val="24"/>
                <w:szCs w:val="24"/>
                <w:u w:val="none" w:color="auto"/>
                <w:lang w:val="zh-CN"/>
              </w:rPr>
              <w:t>联系招标采购中心（028-8739</w:t>
            </w:r>
            <w:r>
              <w:rPr>
                <w:rFonts w:hint="eastAsia" w:ascii="仿宋" w:hAnsi="仿宋" w:eastAsia="仿宋" w:cs="仿宋"/>
                <w:color w:val="auto"/>
                <w:sz w:val="24"/>
                <w:szCs w:val="24"/>
                <w:u w:val="none" w:color="auto"/>
                <w:lang w:val="en-US" w:eastAsia="zh-CN"/>
              </w:rPr>
              <w:t>3255</w:t>
            </w:r>
            <w:r>
              <w:rPr>
                <w:rFonts w:hint="eastAsia" w:ascii="仿宋" w:hAnsi="仿宋" w:eastAsia="仿宋" w:cs="仿宋"/>
                <w:color w:val="auto"/>
                <w:sz w:val="24"/>
                <w:szCs w:val="24"/>
                <w:u w:val="none" w:color="auto"/>
                <w:lang w:val="zh-CN"/>
              </w:rPr>
              <w:t>）并将合同初稿发送至</w:t>
            </w:r>
            <w:r>
              <w:rPr>
                <w:rFonts w:hint="eastAsia" w:ascii="仿宋" w:hAnsi="仿宋" w:eastAsia="仿宋" w:cs="仿宋"/>
                <w:sz w:val="24"/>
                <w:szCs w:val="24"/>
                <w:u w:val="none" w:color="auto"/>
                <w:lang w:val="en-US" w:eastAsia="zh-CN"/>
              </w:rPr>
              <w:fldChar w:fldCharType="begin"/>
            </w:r>
            <w:r>
              <w:rPr>
                <w:rFonts w:hint="eastAsia" w:ascii="仿宋" w:hAnsi="仿宋" w:eastAsia="仿宋" w:cs="仿宋"/>
                <w:sz w:val="24"/>
                <w:szCs w:val="24"/>
                <w:u w:val="none" w:color="auto"/>
                <w:lang w:val="en-US" w:eastAsia="zh-CN"/>
              </w:rPr>
              <w:instrText xml:space="preserve"> HYPERLINK "mailto:sbc3214@vip.163.com" </w:instrText>
            </w:r>
            <w:r>
              <w:rPr>
                <w:rFonts w:hint="eastAsia" w:ascii="仿宋" w:hAnsi="仿宋" w:eastAsia="仿宋" w:cs="仿宋"/>
                <w:sz w:val="24"/>
                <w:szCs w:val="24"/>
                <w:u w:val="none" w:color="auto"/>
                <w:lang w:val="en-US" w:eastAsia="zh-CN"/>
              </w:rPr>
              <w:fldChar w:fldCharType="separate"/>
            </w:r>
            <w:r>
              <w:rPr>
                <w:rFonts w:hint="eastAsia" w:ascii="仿宋" w:hAnsi="仿宋" w:eastAsia="仿宋" w:cs="仿宋"/>
                <w:sz w:val="24"/>
                <w:szCs w:val="24"/>
                <w:u w:val="none" w:color="auto"/>
                <w:lang w:val="en-US" w:eastAsia="zh-CN"/>
              </w:rPr>
              <w:t>sbc3214@vip.163.com</w:t>
            </w:r>
            <w:r>
              <w:rPr>
                <w:rFonts w:hint="eastAsia" w:ascii="仿宋" w:hAnsi="仿宋" w:eastAsia="仿宋" w:cs="仿宋"/>
                <w:sz w:val="24"/>
                <w:szCs w:val="24"/>
                <w:u w:val="none" w:color="auto"/>
                <w:lang w:val="en-US" w:eastAsia="zh-CN"/>
              </w:rPr>
              <w:fldChar w:fldCharType="end"/>
            </w:r>
            <w:r>
              <w:rPr>
                <w:rFonts w:hint="eastAsia" w:ascii="仿宋" w:hAnsi="仿宋" w:eastAsia="仿宋" w:cs="仿宋"/>
                <w:color w:val="auto"/>
                <w:sz w:val="24"/>
                <w:szCs w:val="24"/>
                <w:u w:val="none" w:color="auto"/>
              </w:rPr>
              <w:t>。</w:t>
            </w:r>
          </w:p>
          <w:p>
            <w:pPr>
              <w:spacing w:line="360" w:lineRule="auto"/>
              <w:ind w:left="210" w:leftChars="100"/>
              <w:rPr>
                <w:rFonts w:hint="eastAsia" w:ascii="仿宋" w:hAnsi="仿宋" w:eastAsia="仿宋" w:cs="仿宋"/>
                <w:color w:val="auto"/>
                <w:sz w:val="24"/>
                <w:szCs w:val="24"/>
                <w:u w:val="none" w:color="auto"/>
              </w:rPr>
            </w:pPr>
            <w:r>
              <w:rPr>
                <w:rFonts w:hint="eastAsia" w:ascii="仿宋" w:hAnsi="仿宋" w:eastAsia="仿宋" w:cs="仿宋"/>
                <w:color w:val="auto"/>
                <w:sz w:val="24"/>
                <w:szCs w:val="24"/>
                <w:u w:val="none" w:color="auto"/>
              </w:rPr>
              <w:t>（3）</w:t>
            </w:r>
            <w:r>
              <w:rPr>
                <w:rFonts w:hint="eastAsia" w:ascii="仿宋" w:hAnsi="仿宋" w:eastAsia="仿宋" w:cs="仿宋"/>
                <w:color w:val="auto"/>
                <w:sz w:val="24"/>
                <w:szCs w:val="24"/>
                <w:u w:val="none" w:color="auto"/>
                <w:lang w:val="zh-TW" w:eastAsia="zh-TW"/>
              </w:rPr>
              <w:t>中选</w:t>
            </w:r>
            <w:r>
              <w:rPr>
                <w:rFonts w:hint="eastAsia" w:ascii="仿宋" w:hAnsi="仿宋" w:eastAsia="仿宋" w:cs="仿宋"/>
                <w:color w:val="auto"/>
                <w:sz w:val="24"/>
                <w:szCs w:val="24"/>
                <w:u w:val="none" w:color="auto"/>
              </w:rPr>
              <w:t>供应商</w:t>
            </w:r>
            <w:r>
              <w:rPr>
                <w:rFonts w:hint="eastAsia" w:ascii="仿宋" w:hAnsi="仿宋" w:eastAsia="仿宋" w:cs="仿宋"/>
                <w:color w:val="auto"/>
                <w:sz w:val="24"/>
                <w:szCs w:val="24"/>
                <w:u w:val="none" w:color="auto"/>
                <w:lang w:val="zh-CN"/>
              </w:rPr>
              <w:t>应在</w:t>
            </w:r>
            <w:r>
              <w:rPr>
                <w:rFonts w:hint="eastAsia" w:ascii="仿宋" w:hAnsi="仿宋" w:eastAsia="仿宋" w:cs="仿宋"/>
                <w:color w:val="auto"/>
                <w:sz w:val="24"/>
                <w:szCs w:val="24"/>
                <w:u w:val="none" w:color="auto"/>
                <w:lang w:val="zh-TW" w:eastAsia="zh-TW"/>
              </w:rPr>
              <w:t>中选</w:t>
            </w:r>
            <w:r>
              <w:rPr>
                <w:rFonts w:hint="eastAsia" w:ascii="仿宋" w:hAnsi="仿宋" w:eastAsia="仿宋" w:cs="仿宋"/>
                <w:color w:val="auto"/>
                <w:sz w:val="24"/>
                <w:szCs w:val="24"/>
                <w:u w:val="none" w:color="auto"/>
              </w:rPr>
              <w:t>公告</w:t>
            </w:r>
            <w:r>
              <w:rPr>
                <w:rFonts w:hint="eastAsia" w:ascii="仿宋" w:hAnsi="仿宋" w:eastAsia="仿宋" w:cs="仿宋"/>
                <w:color w:val="auto"/>
                <w:sz w:val="24"/>
                <w:szCs w:val="24"/>
                <w:u w:val="none" w:color="auto"/>
                <w:lang w:val="zh-CN"/>
              </w:rPr>
              <w:t>发出之日起三十日内与采购人签订采购合同。由于</w:t>
            </w:r>
            <w:r>
              <w:rPr>
                <w:rFonts w:hint="eastAsia" w:ascii="仿宋" w:hAnsi="仿宋" w:eastAsia="仿宋" w:cs="仿宋"/>
                <w:color w:val="auto"/>
                <w:sz w:val="24"/>
                <w:szCs w:val="24"/>
                <w:u w:val="none" w:color="auto"/>
                <w:lang w:val="zh-TW" w:eastAsia="zh-TW"/>
              </w:rPr>
              <w:t>中选</w:t>
            </w:r>
            <w:r>
              <w:rPr>
                <w:rFonts w:hint="eastAsia" w:ascii="仿宋" w:hAnsi="仿宋" w:eastAsia="仿宋" w:cs="仿宋"/>
                <w:color w:val="auto"/>
                <w:sz w:val="24"/>
                <w:szCs w:val="24"/>
                <w:u w:val="none" w:color="auto"/>
                <w:lang w:val="zh-CN"/>
              </w:rPr>
              <w:t>供应商的原因逾期未与采购人签订采购合同的，将视为放弃</w:t>
            </w:r>
            <w:r>
              <w:rPr>
                <w:rFonts w:hint="eastAsia" w:ascii="仿宋" w:hAnsi="仿宋" w:eastAsia="仿宋" w:cs="仿宋"/>
                <w:color w:val="auto"/>
                <w:sz w:val="24"/>
                <w:szCs w:val="24"/>
                <w:u w:val="none" w:color="auto"/>
                <w:lang w:val="zh-TW" w:eastAsia="zh-TW"/>
              </w:rPr>
              <w:t>中选</w:t>
            </w:r>
            <w:r>
              <w:rPr>
                <w:rFonts w:hint="eastAsia" w:ascii="仿宋" w:hAnsi="仿宋" w:eastAsia="仿宋" w:cs="仿宋"/>
                <w:color w:val="auto"/>
                <w:sz w:val="24"/>
                <w:szCs w:val="24"/>
                <w:u w:val="none" w:color="auto"/>
                <w:lang w:val="zh-CN"/>
              </w:rPr>
              <w:t>，取消其</w:t>
            </w:r>
            <w:r>
              <w:rPr>
                <w:rFonts w:hint="eastAsia" w:ascii="仿宋" w:hAnsi="仿宋" w:eastAsia="仿宋" w:cs="仿宋"/>
                <w:color w:val="auto"/>
                <w:sz w:val="24"/>
                <w:szCs w:val="24"/>
                <w:u w:val="none" w:color="auto"/>
                <w:lang w:val="zh-TW" w:eastAsia="zh-TW"/>
              </w:rPr>
              <w:t>中选</w:t>
            </w:r>
            <w:r>
              <w:rPr>
                <w:rFonts w:hint="eastAsia" w:ascii="仿宋" w:hAnsi="仿宋" w:eastAsia="仿宋" w:cs="仿宋"/>
                <w:color w:val="auto"/>
                <w:sz w:val="24"/>
                <w:szCs w:val="24"/>
                <w:u w:val="none" w:color="auto"/>
                <w:lang w:val="zh-CN"/>
              </w:rPr>
              <w:t>资格并将按相关规定进行处理。</w:t>
            </w:r>
          </w:p>
          <w:p>
            <w:pPr>
              <w:spacing w:line="360" w:lineRule="auto"/>
              <w:ind w:left="210" w:leftChars="100"/>
              <w:rPr>
                <w:rFonts w:hint="eastAsia" w:ascii="仿宋" w:hAnsi="仿宋" w:eastAsia="仿宋" w:cs="仿宋"/>
                <w:color w:val="auto"/>
                <w:sz w:val="24"/>
                <w:szCs w:val="24"/>
                <w:u w:val="none" w:color="auto"/>
              </w:rPr>
            </w:pPr>
            <w:r>
              <w:rPr>
                <w:rFonts w:hint="eastAsia" w:ascii="仿宋" w:hAnsi="仿宋" w:eastAsia="仿宋" w:cs="仿宋"/>
                <w:color w:val="auto"/>
                <w:sz w:val="24"/>
                <w:szCs w:val="24"/>
                <w:u w:val="none" w:color="auto"/>
              </w:rPr>
              <w:t>（4）若中选供应商以非正当理由放弃中选，3年内不得参与本单位的采购项目。</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lang w:val="zh-TW"/>
              </w:rPr>
              <w:t>（</w:t>
            </w:r>
            <w:r>
              <w:rPr>
                <w:rFonts w:hint="eastAsia" w:ascii="仿宋" w:hAnsi="仿宋" w:eastAsia="仿宋" w:cs="仿宋"/>
                <w:color w:val="auto"/>
                <w:sz w:val="24"/>
                <w:szCs w:val="24"/>
              </w:rPr>
              <w:t>5</w:t>
            </w:r>
            <w:r>
              <w:rPr>
                <w:rFonts w:hint="eastAsia" w:ascii="仿宋" w:hAnsi="仿宋" w:eastAsia="仿宋" w:cs="仿宋"/>
                <w:color w:val="auto"/>
                <w:sz w:val="24"/>
                <w:szCs w:val="24"/>
                <w:lang w:val="zh-TW"/>
              </w:rPr>
              <w:t>）</w:t>
            </w:r>
            <w:r>
              <w:rPr>
                <w:rFonts w:hint="eastAsia" w:ascii="仿宋" w:hAnsi="仿宋" w:eastAsia="仿宋" w:cs="仿宋"/>
                <w:color w:val="auto"/>
                <w:sz w:val="24"/>
                <w:szCs w:val="24"/>
                <w:lang w:val="zh-TW" w:eastAsia="zh-TW"/>
              </w:rPr>
              <w:t>询比价报价截止当天及之后</w:t>
            </w:r>
            <w:r>
              <w:rPr>
                <w:rFonts w:hint="eastAsia" w:ascii="仿宋" w:hAnsi="仿宋" w:eastAsia="仿宋" w:cs="仿宋"/>
                <w:color w:val="auto"/>
                <w:sz w:val="24"/>
                <w:szCs w:val="24"/>
              </w:rPr>
              <w:t>2</w:t>
            </w:r>
            <w:r>
              <w:rPr>
                <w:rFonts w:hint="eastAsia" w:ascii="仿宋" w:hAnsi="仿宋" w:eastAsia="仿宋" w:cs="仿宋"/>
                <w:color w:val="auto"/>
                <w:sz w:val="24"/>
                <w:szCs w:val="24"/>
                <w:lang w:val="zh-TW" w:eastAsia="zh-TW"/>
              </w:rPr>
              <w:t>个工作日内</w:t>
            </w:r>
            <w:r>
              <w:rPr>
                <w:rFonts w:hint="eastAsia" w:ascii="仿宋" w:hAnsi="仿宋" w:eastAsia="仿宋" w:cs="仿宋"/>
                <w:color w:val="auto"/>
                <w:sz w:val="24"/>
                <w:szCs w:val="24"/>
                <w:lang w:val="zh-TW"/>
              </w:rPr>
              <w:t>，供应商</w:t>
            </w:r>
            <w:r>
              <w:rPr>
                <w:rFonts w:hint="eastAsia" w:ascii="仿宋" w:hAnsi="仿宋" w:eastAsia="仿宋" w:cs="仿宋"/>
                <w:color w:val="auto"/>
                <w:sz w:val="24"/>
                <w:szCs w:val="24"/>
                <w:lang w:val="zh-TW" w:eastAsia="zh-TW"/>
              </w:rPr>
              <w:t>应保证或选文件中所写明的法定代表人或委托代理人的</w:t>
            </w:r>
            <w:r>
              <w:rPr>
                <w:rFonts w:hint="eastAsia" w:ascii="仿宋" w:hAnsi="仿宋" w:eastAsia="仿宋" w:cs="仿宋"/>
                <w:color w:val="auto"/>
                <w:sz w:val="24"/>
                <w:szCs w:val="24"/>
                <w:lang w:val="zh-TW"/>
              </w:rPr>
              <w:t>联系方式的畅通，并确保其具备与采购人就本项目进行沟通的条件</w:t>
            </w:r>
            <w:r>
              <w:rPr>
                <w:rFonts w:hint="eastAsia" w:ascii="仿宋" w:hAnsi="仿宋" w:eastAsia="仿宋" w:cs="仿宋"/>
                <w:color w:val="auto"/>
                <w:sz w:val="24"/>
                <w:szCs w:val="24"/>
                <w:lang w:val="zh-TW" w:eastAsia="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0"/>
              </w:numPr>
              <w:tabs>
                <w:tab w:val="left" w:pos="220"/>
                <w:tab w:val="clear" w:pos="0"/>
              </w:tabs>
              <w:adjustRightInd w:val="0"/>
              <w:snapToGrid w:val="0"/>
              <w:jc w:val="both"/>
              <w:rPr>
                <w:rFonts w:hint="eastAsia" w:ascii="仿宋" w:hAnsi="仿宋" w:eastAsia="仿宋" w:cs="仿宋"/>
                <w:color w:val="auto"/>
                <w:sz w:val="24"/>
                <w:szCs w:val="24"/>
              </w:rPr>
            </w:pPr>
          </w:p>
        </w:tc>
        <w:tc>
          <w:tcPr>
            <w:tcW w:w="1765" w:type="dxa"/>
            <w:vAlign w:val="center"/>
          </w:tcPr>
          <w:p>
            <w:pPr>
              <w:pStyle w:val="31"/>
              <w:spacing w:line="360" w:lineRule="auto"/>
              <w:ind w:left="420" w:leftChars="200" w:firstLine="0" w:firstLineChars="0"/>
              <w:jc w:val="left"/>
              <w:rPr>
                <w:rFonts w:hint="eastAsia" w:ascii="仿宋" w:hAnsi="仿宋" w:eastAsia="仿宋" w:cs="仿宋"/>
                <w:sz w:val="24"/>
                <w:szCs w:val="24"/>
                <w:lang w:val="zh-TW" w:eastAsia="zh-TW"/>
              </w:rPr>
            </w:pPr>
            <w:r>
              <w:rPr>
                <w:rFonts w:hint="eastAsia" w:ascii="仿宋" w:hAnsi="仿宋" w:eastAsia="仿宋" w:cs="仿宋"/>
                <w:color w:val="auto"/>
                <w:sz w:val="24"/>
                <w:szCs w:val="24"/>
                <w:lang w:val="zh-TW" w:eastAsia="zh-TW"/>
              </w:rPr>
              <w:t>总体说明</w:t>
            </w:r>
          </w:p>
        </w:tc>
        <w:tc>
          <w:tcPr>
            <w:tcW w:w="6801" w:type="dxa"/>
            <w:vAlign w:val="center"/>
          </w:tcPr>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(1)参与询比价产生的一切费用由供应商自行承担。</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(2)本采购文件中的条款为实质性要求，供应商必须符合和满足，否则将视为无效响应处理。</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(3)“采购人”系指本次组织采购项目的</w:t>
            </w:r>
            <w:r>
              <w:rPr>
                <w:rFonts w:hint="eastAsia" w:ascii="仿宋" w:hAnsi="仿宋" w:eastAsia="仿宋" w:cs="仿宋"/>
                <w:color w:val="auto"/>
                <w:sz w:val="24"/>
                <w:szCs w:val="24"/>
                <w:lang w:eastAsia="zh-CN"/>
              </w:rPr>
              <w:t>四川省精神医学中心</w:t>
            </w:r>
            <w:r>
              <w:rPr>
                <w:rFonts w:hint="eastAsia" w:ascii="仿宋" w:hAnsi="仿宋" w:eastAsia="仿宋" w:cs="仿宋"/>
                <w:color w:val="auto"/>
                <w:sz w:val="24"/>
                <w:szCs w:val="24"/>
              </w:rPr>
              <w:t>。</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(4)本文件中的“供应商”系指获取了本项目采购文件，拟参与本次询比价采购活动的潜在供应商。</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(5)若遇特殊情况，采购人有权终止采购项目。</w:t>
            </w:r>
          </w:p>
          <w:p>
            <w:pPr>
              <w:spacing w:line="360" w:lineRule="auto"/>
              <w:ind w:left="210" w:leftChars="100"/>
              <w:rPr>
                <w:rFonts w:hint="eastAsia" w:ascii="仿宋" w:hAnsi="仿宋" w:eastAsia="仿宋" w:cs="仿宋"/>
                <w:color w:val="auto"/>
                <w:sz w:val="24"/>
                <w:szCs w:val="24"/>
              </w:rPr>
            </w:pPr>
            <w:r>
              <w:rPr>
                <w:rFonts w:hint="eastAsia" w:ascii="仿宋" w:hAnsi="仿宋" w:eastAsia="仿宋" w:cs="仿宋"/>
                <w:color w:val="auto"/>
                <w:sz w:val="24"/>
                <w:szCs w:val="24"/>
              </w:rPr>
              <w:t>(6)本采购文件最终解释权归采购人所有。</w:t>
            </w:r>
          </w:p>
        </w:tc>
      </w:tr>
    </w:tbl>
    <w:p>
      <w:pPr>
        <w:pStyle w:val="31"/>
        <w:kinsoku w:val="0"/>
        <w:wordWrap w:val="0"/>
        <w:overflowPunct w:val="0"/>
        <w:autoSpaceDE w:val="0"/>
        <w:autoSpaceDN w:val="0"/>
        <w:spacing w:line="360" w:lineRule="auto"/>
        <w:ind w:left="420" w:leftChars="200" w:firstLine="0" w:firstLineChars="0"/>
        <w:jc w:val="left"/>
        <w:rPr>
          <w:rFonts w:hint="default" w:ascii="Times New Roman" w:hAnsi="Times New Roman" w:eastAsia="宋体" w:cs="Times New Roman"/>
          <w:color w:val="auto"/>
          <w:lang w:val="zh-TW" w:eastAsia="zh-TW"/>
        </w:rPr>
      </w:pPr>
    </w:p>
    <w:p>
      <w:pPr>
        <w:rPr>
          <w:rStyle w:val="20"/>
          <w:rFonts w:hint="default" w:asciiTheme="majorEastAsia" w:hAnsiTheme="majorEastAsia" w:eastAsiaTheme="majorEastAsia"/>
          <w:b/>
          <w:bCs/>
          <w:color w:val="auto"/>
          <w:sz w:val="32"/>
          <w:szCs w:val="32"/>
          <w:u w:val="none"/>
          <w:lang w:eastAsia="zh-TW"/>
        </w:rPr>
      </w:pPr>
      <w:bookmarkStart w:id="5" w:name="第三章"/>
      <w:r>
        <w:rPr>
          <w:rStyle w:val="20"/>
          <w:rFonts w:cs="Times New Roman" w:asciiTheme="majorEastAsia" w:hAnsiTheme="majorEastAsia" w:eastAsiaTheme="majorEastAsia"/>
          <w:b/>
          <w:bCs/>
          <w:color w:val="auto"/>
          <w:sz w:val="32"/>
          <w:szCs w:val="32"/>
          <w:u w:val="none"/>
        </w:rPr>
        <w:br w:type="page"/>
      </w:r>
    </w:p>
    <w:p>
      <w:pPr>
        <w:pStyle w:val="2"/>
        <w:ind w:firstLine="0"/>
        <w:rPr>
          <w:rStyle w:val="20"/>
          <w:rFonts w:asciiTheme="majorEastAsia" w:hAnsiTheme="majorEastAsia" w:eastAsiaTheme="majorEastAsia"/>
          <w:sz w:val="32"/>
          <w:szCs w:val="32"/>
          <w:u w:val="none"/>
          <w:lang w:eastAsia="zh-TW"/>
        </w:rPr>
      </w:pPr>
      <w:bookmarkStart w:id="6" w:name="_Toc14719"/>
      <w:r>
        <w:rPr>
          <w:rStyle w:val="42"/>
          <w:b/>
          <w:bCs/>
          <w:lang w:val="zh-TW" w:eastAsia="zh-TW"/>
        </w:rPr>
        <w:fldChar w:fldCharType="begin"/>
      </w:r>
      <w:r>
        <w:rPr>
          <w:rStyle w:val="42"/>
          <w:b/>
          <w:bCs/>
          <w:lang w:val="zh-TW" w:eastAsia="zh-TW"/>
        </w:rPr>
        <w:instrText xml:space="preserve"> HYPERLINK  \l "目录" </w:instrText>
      </w:r>
      <w:r>
        <w:rPr>
          <w:rStyle w:val="42"/>
          <w:b/>
          <w:bCs/>
          <w:lang w:val="zh-TW" w:eastAsia="zh-TW"/>
        </w:rPr>
        <w:fldChar w:fldCharType="separate"/>
      </w:r>
      <w:r>
        <w:rPr>
          <w:rStyle w:val="42"/>
          <w:b/>
          <w:bCs/>
          <w:lang w:val="zh-TW" w:eastAsia="zh-TW"/>
        </w:rPr>
        <w:t>资格要求</w:t>
      </w:r>
      <w:r>
        <w:rPr>
          <w:rStyle w:val="42"/>
          <w:b/>
          <w:bCs/>
          <w:lang w:eastAsia="zh-TW"/>
        </w:rPr>
        <w:t>及采购需求</w:t>
      </w:r>
      <w:r>
        <w:rPr>
          <w:rStyle w:val="42"/>
          <w:b/>
          <w:bCs/>
          <w:lang w:val="zh-TW" w:eastAsia="zh-TW"/>
        </w:rPr>
        <w:fldChar w:fldCharType="end"/>
      </w:r>
      <w:bookmarkEnd w:id="6"/>
    </w:p>
    <w:bookmarkEnd w:id="5"/>
    <w:p>
      <w:pPr>
        <w:pStyle w:val="3"/>
        <w:numPr>
          <w:ilvl w:val="0"/>
          <w:numId w:val="0"/>
        </w:numPr>
        <w:rPr>
          <w:szCs w:val="24"/>
        </w:rPr>
      </w:pPr>
      <w:bookmarkStart w:id="7" w:name="_Toc5866"/>
      <w:r>
        <w:rPr>
          <w:rFonts w:hint="eastAsia" w:ascii="Times New Roman" w:hAnsi="Times New Roman" w:eastAsia="宋体" w:cs="Times New Roman"/>
          <w:b/>
          <w:bCs/>
          <w:sz w:val="24"/>
          <w:szCs w:val="24"/>
          <w:lang w:val="zh-CN" w:eastAsia="zh-CN" w:bidi="ar-SA"/>
        </w:rPr>
        <w:t>一、</w:t>
      </w:r>
      <w:r>
        <w:rPr>
          <w:szCs w:val="24"/>
        </w:rPr>
        <w:t>资格要求：</w:t>
      </w:r>
      <w:bookmarkEnd w:id="7"/>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9"/>
        <w:gridCol w:w="3824"/>
        <w:gridCol w:w="3604"/>
        <w:gridCol w:w="1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456" w:type="dxa"/>
            <w:vAlign w:val="center"/>
          </w:tcPr>
          <w:p>
            <w:pPr>
              <w:widowControl/>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tc>
        <w:tc>
          <w:tcPr>
            <w:tcW w:w="3297" w:type="dxa"/>
            <w:vAlign w:val="center"/>
          </w:tcPr>
          <w:p>
            <w:pPr>
              <w:widowControl/>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资格要求内容</w:t>
            </w:r>
          </w:p>
        </w:tc>
        <w:tc>
          <w:tcPr>
            <w:tcW w:w="3108" w:type="dxa"/>
            <w:vAlign w:val="center"/>
          </w:tcPr>
          <w:p>
            <w:pPr>
              <w:widowControl/>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通过条件</w:t>
            </w:r>
          </w:p>
        </w:tc>
        <w:tc>
          <w:tcPr>
            <w:tcW w:w="1548" w:type="dxa"/>
            <w:vAlign w:val="center"/>
          </w:tcPr>
          <w:p>
            <w:pPr>
              <w:widowControl/>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56" w:type="dxa"/>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3297" w:type="dxa"/>
            <w:vAlign w:val="center"/>
          </w:tcPr>
          <w:p>
            <w:pPr>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具有良好的商业信誉和健全的财务会计制度</w:t>
            </w:r>
          </w:p>
        </w:tc>
        <w:tc>
          <w:tcPr>
            <w:tcW w:w="3108" w:type="dxa"/>
            <w:vMerge w:val="restart"/>
            <w:vAlign w:val="center"/>
          </w:tcPr>
          <w:p>
            <w:pPr>
              <w:rPr>
                <w:rFonts w:hint="eastAsia" w:ascii="仿宋" w:hAnsi="仿宋" w:eastAsia="仿宋" w:cs="仿宋"/>
                <w:color w:val="auto"/>
                <w:sz w:val="24"/>
                <w:szCs w:val="24"/>
              </w:rPr>
            </w:pPr>
            <w:r>
              <w:rPr>
                <w:rFonts w:hint="eastAsia" w:ascii="仿宋" w:hAnsi="仿宋" w:eastAsia="仿宋" w:cs="仿宋"/>
                <w:color w:val="auto"/>
                <w:sz w:val="24"/>
                <w:szCs w:val="24"/>
              </w:rPr>
              <w:t>统一提供承诺函(格式见本文件第四章</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"承诺函" </w:instrText>
            </w:r>
            <w:r>
              <w:rPr>
                <w:rFonts w:hint="eastAsia" w:ascii="仿宋" w:hAnsi="仿宋" w:eastAsia="仿宋" w:cs="仿宋"/>
                <w:sz w:val="24"/>
                <w:szCs w:val="24"/>
              </w:rPr>
              <w:fldChar w:fldCharType="separate"/>
            </w:r>
            <w:r>
              <w:rPr>
                <w:rStyle w:val="20"/>
                <w:rFonts w:hint="eastAsia" w:ascii="仿宋" w:hAnsi="仿宋" w:eastAsia="仿宋" w:cs="仿宋"/>
                <w:color w:val="auto"/>
                <w:sz w:val="24"/>
                <w:szCs w:val="24"/>
              </w:rPr>
              <w:t>格式二《承诺函》</w:t>
            </w:r>
            <w:r>
              <w:rPr>
                <w:rStyle w:val="20"/>
                <w:rFonts w:hint="eastAsia" w:ascii="仿宋" w:hAnsi="仿宋" w:eastAsia="仿宋" w:cs="仿宋"/>
                <w:color w:val="auto"/>
                <w:sz w:val="24"/>
                <w:szCs w:val="24"/>
              </w:rPr>
              <w:fldChar w:fldCharType="end"/>
            </w:r>
            <w:r>
              <w:rPr>
                <w:rFonts w:hint="eastAsia" w:ascii="仿宋" w:hAnsi="仿宋" w:eastAsia="仿宋" w:cs="仿宋"/>
                <w:color w:val="auto"/>
                <w:sz w:val="24"/>
                <w:szCs w:val="24"/>
              </w:rPr>
              <w:t>)</w:t>
            </w:r>
          </w:p>
        </w:tc>
        <w:tc>
          <w:tcPr>
            <w:tcW w:w="1548" w:type="dxa"/>
            <w:vMerge w:val="restart"/>
            <w:vAlign w:val="center"/>
          </w:tcPr>
          <w:p>
            <w:pPr>
              <w:pStyle w:val="6"/>
              <w:jc w:val="center"/>
              <w:rPr>
                <w:rFonts w:hint="eastAsia" w:ascii="仿宋" w:hAnsi="仿宋" w:eastAsia="仿宋" w:cs="仿宋"/>
                <w:color w:val="auto"/>
                <w:sz w:val="24"/>
                <w:szCs w:val="24"/>
              </w:rPr>
            </w:pPr>
            <w:r>
              <w:rPr>
                <w:rFonts w:hint="eastAsia" w:ascii="仿宋" w:hAnsi="仿宋" w:eastAsia="仿宋" w:cs="仿宋"/>
                <w:color w:val="auto"/>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56" w:type="dxa"/>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3297" w:type="dxa"/>
            <w:vAlign w:val="center"/>
          </w:tcPr>
          <w:p>
            <w:pPr>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具有履行合同所必需的设备和专业技术能力</w:t>
            </w:r>
          </w:p>
        </w:tc>
        <w:tc>
          <w:tcPr>
            <w:tcW w:w="3108" w:type="dxa"/>
            <w:vMerge w:val="continue"/>
            <w:vAlign w:val="center"/>
          </w:tcPr>
          <w:p>
            <w:pPr>
              <w:pStyle w:val="31"/>
              <w:numPr>
                <w:ilvl w:val="0"/>
                <w:numId w:val="12"/>
              </w:numPr>
              <w:ind w:firstLine="420"/>
              <w:rPr>
                <w:rFonts w:hint="eastAsia" w:ascii="仿宋" w:hAnsi="仿宋" w:eastAsia="仿宋" w:cs="仿宋"/>
                <w:color w:val="auto"/>
                <w:sz w:val="24"/>
                <w:szCs w:val="24"/>
              </w:rPr>
            </w:pPr>
          </w:p>
        </w:tc>
        <w:tc>
          <w:tcPr>
            <w:tcW w:w="1548" w:type="dxa"/>
            <w:vMerge w:val="continue"/>
            <w:vAlign w:val="center"/>
          </w:tcPr>
          <w:p>
            <w:pPr>
              <w:pStyle w:val="6"/>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56" w:type="dxa"/>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3297" w:type="dxa"/>
            <w:vAlign w:val="center"/>
          </w:tcPr>
          <w:p>
            <w:pPr>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有依法缴纳税收和社会保障资金的良好记录</w:t>
            </w:r>
          </w:p>
        </w:tc>
        <w:tc>
          <w:tcPr>
            <w:tcW w:w="3108" w:type="dxa"/>
            <w:vMerge w:val="continue"/>
            <w:vAlign w:val="center"/>
          </w:tcPr>
          <w:p>
            <w:pPr>
              <w:pStyle w:val="31"/>
              <w:numPr>
                <w:ilvl w:val="0"/>
                <w:numId w:val="12"/>
              </w:numPr>
              <w:ind w:firstLine="420"/>
              <w:rPr>
                <w:rFonts w:hint="eastAsia" w:ascii="仿宋" w:hAnsi="仿宋" w:eastAsia="仿宋" w:cs="仿宋"/>
                <w:color w:val="auto"/>
                <w:sz w:val="24"/>
                <w:szCs w:val="24"/>
              </w:rPr>
            </w:pPr>
          </w:p>
        </w:tc>
        <w:tc>
          <w:tcPr>
            <w:tcW w:w="1548" w:type="dxa"/>
            <w:vMerge w:val="continue"/>
            <w:vAlign w:val="center"/>
          </w:tcPr>
          <w:p>
            <w:pPr>
              <w:pStyle w:val="6"/>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56" w:type="dxa"/>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3297" w:type="dxa"/>
            <w:vAlign w:val="center"/>
          </w:tcPr>
          <w:p>
            <w:pPr>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参加本次采购活动前三年内，在经营活动中没有重大违法记录</w:t>
            </w:r>
          </w:p>
        </w:tc>
        <w:tc>
          <w:tcPr>
            <w:tcW w:w="3108" w:type="dxa"/>
            <w:vMerge w:val="continue"/>
            <w:vAlign w:val="center"/>
          </w:tcPr>
          <w:p>
            <w:pPr>
              <w:pStyle w:val="31"/>
              <w:numPr>
                <w:ilvl w:val="0"/>
                <w:numId w:val="12"/>
              </w:numPr>
              <w:ind w:firstLine="420"/>
              <w:rPr>
                <w:rFonts w:hint="eastAsia" w:ascii="仿宋" w:hAnsi="仿宋" w:eastAsia="仿宋" w:cs="仿宋"/>
                <w:color w:val="auto"/>
                <w:sz w:val="24"/>
                <w:szCs w:val="24"/>
              </w:rPr>
            </w:pPr>
          </w:p>
        </w:tc>
        <w:tc>
          <w:tcPr>
            <w:tcW w:w="1548" w:type="dxa"/>
            <w:vMerge w:val="continue"/>
            <w:vAlign w:val="center"/>
          </w:tcPr>
          <w:p>
            <w:pPr>
              <w:pStyle w:val="6"/>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56" w:type="dxa"/>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3297" w:type="dxa"/>
            <w:vAlign w:val="center"/>
          </w:tcPr>
          <w:p>
            <w:pPr>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法律、行政法规规定的其他条件</w:t>
            </w:r>
          </w:p>
        </w:tc>
        <w:tc>
          <w:tcPr>
            <w:tcW w:w="3108" w:type="dxa"/>
            <w:vMerge w:val="continue"/>
            <w:vAlign w:val="center"/>
          </w:tcPr>
          <w:p>
            <w:pPr>
              <w:pStyle w:val="31"/>
              <w:numPr>
                <w:ilvl w:val="0"/>
                <w:numId w:val="12"/>
              </w:numPr>
              <w:ind w:firstLine="420"/>
              <w:rPr>
                <w:rFonts w:hint="eastAsia" w:ascii="仿宋" w:hAnsi="仿宋" w:eastAsia="仿宋" w:cs="仿宋"/>
                <w:color w:val="auto"/>
                <w:sz w:val="24"/>
                <w:szCs w:val="24"/>
              </w:rPr>
            </w:pPr>
          </w:p>
        </w:tc>
        <w:tc>
          <w:tcPr>
            <w:tcW w:w="1548" w:type="dxa"/>
            <w:vMerge w:val="continue"/>
            <w:vAlign w:val="center"/>
          </w:tcPr>
          <w:p>
            <w:pPr>
              <w:pStyle w:val="6"/>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456" w:type="dxa"/>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3297" w:type="dxa"/>
            <w:vAlign w:val="center"/>
          </w:tcPr>
          <w:p>
            <w:pPr>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未被列入失信被执行人、重大税收违法案件当事人名单、政府采购严重违法失信行为记录名单</w:t>
            </w:r>
          </w:p>
        </w:tc>
        <w:tc>
          <w:tcPr>
            <w:tcW w:w="3108" w:type="dxa"/>
            <w:vMerge w:val="continue"/>
            <w:vAlign w:val="center"/>
          </w:tcPr>
          <w:p>
            <w:pPr>
              <w:pStyle w:val="31"/>
              <w:numPr>
                <w:ilvl w:val="0"/>
                <w:numId w:val="12"/>
              </w:numPr>
              <w:ind w:firstLine="420"/>
              <w:rPr>
                <w:rFonts w:hint="eastAsia" w:ascii="仿宋" w:hAnsi="仿宋" w:eastAsia="仿宋" w:cs="仿宋"/>
                <w:color w:val="auto"/>
                <w:sz w:val="24"/>
                <w:szCs w:val="24"/>
              </w:rPr>
            </w:pPr>
          </w:p>
        </w:tc>
        <w:tc>
          <w:tcPr>
            <w:tcW w:w="1548" w:type="dxa"/>
            <w:vMerge w:val="continue"/>
            <w:vAlign w:val="center"/>
          </w:tcPr>
          <w:p>
            <w:pPr>
              <w:pStyle w:val="6"/>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56" w:type="dxa"/>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3297" w:type="dxa"/>
            <w:vAlign w:val="center"/>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供应商应具备独立承担民事责任的能力及行业主管部门要求的各项资质</w:t>
            </w:r>
          </w:p>
        </w:tc>
        <w:tc>
          <w:tcPr>
            <w:tcW w:w="3108" w:type="dxa"/>
            <w:vMerge w:val="continue"/>
            <w:vAlign w:val="center"/>
          </w:tcPr>
          <w:p>
            <w:pPr>
              <w:pStyle w:val="31"/>
              <w:numPr>
                <w:ilvl w:val="0"/>
                <w:numId w:val="12"/>
              </w:numPr>
              <w:ind w:firstLineChars="0"/>
              <w:rPr>
                <w:rFonts w:hint="eastAsia" w:ascii="仿宋" w:hAnsi="仿宋" w:eastAsia="仿宋" w:cs="仿宋"/>
                <w:color w:val="auto"/>
                <w:sz w:val="24"/>
                <w:szCs w:val="24"/>
              </w:rPr>
            </w:pPr>
          </w:p>
        </w:tc>
        <w:tc>
          <w:tcPr>
            <w:tcW w:w="1548" w:type="dxa"/>
            <w:vMerge w:val="continue"/>
            <w:vAlign w:val="center"/>
          </w:tcPr>
          <w:p>
            <w:pPr>
              <w:pStyle w:val="6"/>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456" w:type="dxa"/>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3297" w:type="dxa"/>
            <w:vAlign w:val="center"/>
          </w:tcPr>
          <w:p>
            <w:pPr>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zh-TW" w:eastAsia="zh-TW"/>
              </w:rPr>
              <w:t>法定代表人授权委托书</w:t>
            </w:r>
          </w:p>
        </w:tc>
        <w:tc>
          <w:tcPr>
            <w:tcW w:w="3108" w:type="dxa"/>
            <w:vAlign w:val="center"/>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参选代理人授权书（加盖供应商公章）。参选代理人身份证正反面复印件（加盖供应商公章）。</w:t>
            </w:r>
          </w:p>
        </w:tc>
        <w:tc>
          <w:tcPr>
            <w:tcW w:w="1548" w:type="dxa"/>
            <w:vAlign w:val="center"/>
          </w:tcPr>
          <w:p>
            <w:pPr>
              <w:pStyle w:val="6"/>
              <w:rPr>
                <w:rFonts w:hint="eastAsia" w:ascii="仿宋" w:hAnsi="仿宋" w:eastAsia="仿宋" w:cs="仿宋"/>
                <w:color w:val="auto"/>
                <w:sz w:val="24"/>
                <w:szCs w:val="24"/>
              </w:rPr>
            </w:pPr>
            <w:r>
              <w:rPr>
                <w:rFonts w:hint="eastAsia" w:ascii="仿宋" w:hAnsi="仿宋" w:eastAsia="仿宋" w:cs="仿宋"/>
                <w:color w:val="auto"/>
                <w:sz w:val="24"/>
                <w:szCs w:val="24"/>
              </w:rPr>
              <w:t>格式详见第四章格式三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8" w:hRule="atLeast"/>
          <w:jc w:val="center"/>
        </w:trPr>
        <w:tc>
          <w:tcPr>
            <w:tcW w:w="456" w:type="dxa"/>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3297" w:type="dxa"/>
            <w:vAlign w:val="center"/>
          </w:tcPr>
          <w:p>
            <w:pPr>
              <w:widowControl/>
              <w:rPr>
                <w:rFonts w:hint="eastAsia" w:ascii="仿宋" w:hAnsi="仿宋" w:eastAsia="仿宋" w:cs="仿宋"/>
                <w:bCs/>
                <w:color w:val="auto"/>
                <w:sz w:val="24"/>
                <w:szCs w:val="24"/>
                <w:lang w:val="en-US" w:eastAsia="zh-CN"/>
              </w:rPr>
            </w:pPr>
            <w:r>
              <w:rPr>
                <w:rFonts w:hint="eastAsia" w:ascii="仿宋" w:hAnsi="仿宋" w:eastAsia="仿宋" w:cs="仿宋"/>
                <w:color w:val="auto"/>
                <w:sz w:val="24"/>
                <w:szCs w:val="24"/>
              </w:rPr>
              <w:t>其它资格要求：</w:t>
            </w:r>
            <w:r>
              <w:rPr>
                <w:rFonts w:hint="eastAsia" w:ascii="仿宋" w:hAnsi="仿宋" w:eastAsia="仿宋" w:cs="仿宋"/>
                <w:b/>
                <w:bCs/>
                <w:color w:val="auto"/>
                <w:sz w:val="24"/>
                <w:szCs w:val="24"/>
                <w:lang w:val="en-US" w:eastAsia="zh-CN"/>
              </w:rPr>
              <w:t>提供中华人民共和国增值电信业务经营许可证</w:t>
            </w:r>
          </w:p>
        </w:tc>
        <w:tc>
          <w:tcPr>
            <w:tcW w:w="3108" w:type="dxa"/>
            <w:vAlign w:val="center"/>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提供有效期内证书复印件（加盖供应商公章）</w:t>
            </w:r>
          </w:p>
        </w:tc>
        <w:tc>
          <w:tcPr>
            <w:tcW w:w="1548" w:type="dxa"/>
            <w:vAlign w:val="center"/>
          </w:tcPr>
          <w:p>
            <w:pPr>
              <w:pStyle w:val="6"/>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w:t>
            </w:r>
          </w:p>
        </w:tc>
      </w:tr>
    </w:tbl>
    <w:p>
      <w:pPr>
        <w:pStyle w:val="6"/>
        <w:rPr>
          <w:rFonts w:hint="default" w:ascii="Times New Roman" w:hAnsi="Times New Roman" w:eastAsia="宋体" w:cs="Times New Roman"/>
          <w:color w:val="auto"/>
          <w:lang w:eastAsia="zh-TW"/>
        </w:rPr>
      </w:pPr>
    </w:p>
    <w:p>
      <w:pPr>
        <w:rPr>
          <w:rFonts w:hint="eastAsia" w:ascii="仿宋" w:hAnsi="仿宋" w:eastAsia="仿宋" w:cs="仿宋"/>
          <w:b/>
          <w:bCs/>
          <w:sz w:val="24"/>
          <w:szCs w:val="24"/>
          <w:lang w:val="zh-CN" w:eastAsia="zh-CN" w:bidi="ar-SA"/>
        </w:rPr>
      </w:pPr>
      <w:bookmarkStart w:id="8" w:name="_Toc21556"/>
      <w:r>
        <w:rPr>
          <w:rFonts w:hint="eastAsia" w:ascii="仿宋" w:hAnsi="仿宋" w:eastAsia="仿宋" w:cs="仿宋"/>
          <w:b/>
          <w:bCs/>
          <w:sz w:val="24"/>
          <w:szCs w:val="24"/>
          <w:lang w:val="zh-CN" w:eastAsia="zh-CN" w:bidi="ar-SA"/>
        </w:rPr>
        <w:br w:type="page"/>
      </w:r>
    </w:p>
    <w:p>
      <w:pPr>
        <w:pStyle w:val="3"/>
        <w:pageBreakBefore w:val="0"/>
        <w:numPr>
          <w:ilvl w:val="0"/>
          <w:numId w:val="0"/>
        </w:numPr>
        <w:kinsoku/>
        <w:overflowPunct/>
        <w:topLinePunct w:val="0"/>
        <w:autoSpaceDN/>
        <w:bidi w:val="0"/>
        <w:adjustRightInd w:val="0"/>
        <w:snapToGrid w:val="0"/>
        <w:spacing w:beforeAutospacing="0" w:afterAutospacing="0" w:line="360" w:lineRule="auto"/>
        <w:ind w:right="0" w:rightChars="0"/>
        <w:textAlignment w:val="auto"/>
        <w:rPr>
          <w:rFonts w:hint="eastAsia" w:ascii="仿宋" w:hAnsi="仿宋" w:eastAsia="仿宋" w:cs="仿宋"/>
          <w:sz w:val="24"/>
          <w:szCs w:val="24"/>
        </w:rPr>
      </w:pPr>
      <w:r>
        <w:rPr>
          <w:rFonts w:hint="eastAsia" w:ascii="仿宋" w:hAnsi="仿宋" w:eastAsia="仿宋" w:cs="仿宋"/>
          <w:b/>
          <w:bCs/>
          <w:sz w:val="24"/>
          <w:szCs w:val="24"/>
          <w:lang w:val="zh-CN" w:eastAsia="zh-CN" w:bidi="ar-SA"/>
        </w:rPr>
        <w:t>二、</w:t>
      </w:r>
      <w:r>
        <w:rPr>
          <w:rStyle w:val="43"/>
          <w:rFonts w:hint="eastAsia" w:ascii="仿宋" w:hAnsi="仿宋" w:eastAsia="仿宋" w:cs="仿宋"/>
          <w:b/>
          <w:bCs/>
          <w:sz w:val="24"/>
          <w:szCs w:val="24"/>
        </w:rPr>
        <w:t>采购需求</w:t>
      </w:r>
      <w:bookmarkEnd w:id="8"/>
    </w:p>
    <w:p>
      <w:pPr>
        <w:pStyle w:val="6"/>
        <w:pageBreakBefore w:val="0"/>
        <w:numPr>
          <w:ilvl w:val="0"/>
          <w:numId w:val="0"/>
        </w:numPr>
        <w:kinsoku/>
        <w:overflowPunct/>
        <w:topLinePunct w:val="0"/>
        <w:autoSpaceDN/>
        <w:bidi w:val="0"/>
        <w:adjustRightInd w:val="0"/>
        <w:snapToGrid w:val="0"/>
        <w:spacing w:beforeAutospacing="0" w:afterAutospacing="0" w:line="360" w:lineRule="auto"/>
        <w:ind w:left="258" w:leftChars="0" w:right="0" w:rightChars="0" w:hanging="258" w:hangingChars="107"/>
        <w:textAlignment w:val="auto"/>
        <w:rPr>
          <w:rFonts w:hint="eastAsia" w:ascii="仿宋" w:hAnsi="仿宋" w:eastAsia="仿宋" w:cs="仿宋"/>
          <w:b/>
          <w:bCs/>
          <w:color w:val="auto"/>
          <w:kern w:val="2"/>
          <w:sz w:val="24"/>
          <w:szCs w:val="24"/>
          <w:u w:color="000000"/>
          <w:lang w:val="en-US" w:eastAsia="zh-CN" w:bidi="ar-SA"/>
        </w:rPr>
      </w:pPr>
      <w:r>
        <w:rPr>
          <w:rFonts w:hint="eastAsia" w:ascii="仿宋" w:hAnsi="仿宋" w:eastAsia="仿宋" w:cs="仿宋"/>
          <w:b/>
          <w:bCs/>
          <w:color w:val="auto"/>
          <w:kern w:val="2"/>
          <w:sz w:val="24"/>
          <w:szCs w:val="24"/>
          <w:u w:color="000000"/>
          <w:lang w:val="en-US" w:eastAsia="zh-CN" w:bidi="ar-SA"/>
        </w:rPr>
        <w:t>1.项目简介</w:t>
      </w:r>
    </w:p>
    <w:p>
      <w:pPr>
        <w:pStyle w:val="6"/>
        <w:pageBreakBefore w:val="0"/>
        <w:numPr>
          <w:ilvl w:val="0"/>
          <w:numId w:val="0"/>
        </w:numPr>
        <w:kinsoku/>
        <w:overflowPunct/>
        <w:topLinePunct w:val="0"/>
        <w:autoSpaceDN/>
        <w:bidi w:val="0"/>
        <w:adjustRightInd w:val="0"/>
        <w:snapToGrid w:val="0"/>
        <w:spacing w:beforeAutospacing="0" w:afterAutospacing="0" w:line="360" w:lineRule="auto"/>
        <w:ind w:right="0" w:rightChars="0" w:firstLine="480" w:firstLineChars="200"/>
        <w:textAlignment w:val="auto"/>
        <w:rPr>
          <w:rFonts w:hint="eastAsia" w:ascii="仿宋" w:hAnsi="仿宋" w:eastAsia="仿宋" w:cs="仿宋"/>
          <w:b w:val="0"/>
          <w:bCs w:val="0"/>
          <w:color w:val="auto"/>
          <w:kern w:val="2"/>
          <w:sz w:val="24"/>
          <w:szCs w:val="24"/>
          <w:u w:color="000000"/>
          <w:lang w:val="en-US" w:eastAsia="zh-CN" w:bidi="ar-SA"/>
        </w:rPr>
      </w:pPr>
      <w:r>
        <w:rPr>
          <w:rFonts w:hint="eastAsia" w:ascii="仿宋" w:hAnsi="仿宋" w:eastAsia="仿宋" w:cs="仿宋"/>
          <w:bCs/>
          <w:snapToGrid w:val="0"/>
          <w:color w:val="000000"/>
          <w:kern w:val="0"/>
          <w:sz w:val="24"/>
          <w:szCs w:val="24"/>
          <w:lang w:val="en-US" w:eastAsia="zh-CN" w:bidi="ar-SA"/>
        </w:rPr>
        <w:t>本项目拟确定一家供应商提供四川省精神医学中心四川省精神卫生服务综合管理平台互联网专线服务</w:t>
      </w:r>
      <w:r>
        <w:rPr>
          <w:rFonts w:hint="eastAsia" w:ascii="仿宋" w:hAnsi="仿宋" w:eastAsia="仿宋" w:cs="仿宋"/>
          <w:b w:val="0"/>
          <w:bCs w:val="0"/>
          <w:color w:val="auto"/>
          <w:kern w:val="2"/>
          <w:sz w:val="24"/>
          <w:szCs w:val="24"/>
          <w:u w:color="000000"/>
          <w:lang w:val="en-US" w:eastAsia="zh-CN" w:bidi="ar-SA"/>
        </w:rPr>
        <w:t>。</w:t>
      </w:r>
    </w:p>
    <w:p>
      <w:pPr>
        <w:pStyle w:val="6"/>
        <w:pageBreakBefore w:val="0"/>
        <w:numPr>
          <w:ilvl w:val="0"/>
          <w:numId w:val="0"/>
        </w:numPr>
        <w:kinsoku/>
        <w:overflowPunct/>
        <w:topLinePunct w:val="0"/>
        <w:autoSpaceDN/>
        <w:bidi w:val="0"/>
        <w:adjustRightInd w:val="0"/>
        <w:snapToGrid w:val="0"/>
        <w:spacing w:beforeAutospacing="0" w:afterAutospacing="0" w:line="360" w:lineRule="auto"/>
        <w:ind w:left="258" w:leftChars="0" w:right="0" w:rightChars="0" w:hanging="258" w:hangingChars="107"/>
        <w:textAlignment w:val="auto"/>
        <w:rPr>
          <w:rFonts w:hint="eastAsia" w:ascii="仿宋" w:hAnsi="仿宋" w:eastAsia="仿宋" w:cs="仿宋"/>
          <w:b/>
          <w:bCs/>
          <w:color w:val="auto"/>
          <w:sz w:val="24"/>
          <w:szCs w:val="24"/>
        </w:rPr>
      </w:pPr>
      <w:r>
        <w:rPr>
          <w:rFonts w:hint="eastAsia" w:ascii="仿宋" w:hAnsi="仿宋" w:eastAsia="仿宋" w:cs="仿宋"/>
          <w:b/>
          <w:bCs/>
          <w:color w:val="auto"/>
          <w:kern w:val="2"/>
          <w:sz w:val="24"/>
          <w:szCs w:val="24"/>
          <w:u w:color="000000"/>
          <w:lang w:val="en-US" w:eastAsia="zh-CN" w:bidi="ar-SA"/>
        </w:rPr>
        <w:t>2.</w:t>
      </w:r>
      <w:r>
        <w:rPr>
          <w:rFonts w:hint="eastAsia" w:ascii="仿宋" w:hAnsi="仿宋" w:eastAsia="仿宋" w:cs="仿宋"/>
          <w:b/>
          <w:bCs/>
          <w:color w:val="auto"/>
          <w:sz w:val="24"/>
          <w:szCs w:val="24"/>
          <w:lang w:val="en-US" w:eastAsia="zh-CN"/>
        </w:rPr>
        <w:t>采购清单</w:t>
      </w:r>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83"/>
        <w:gridCol w:w="2901"/>
        <w:gridCol w:w="1881"/>
        <w:gridCol w:w="1326"/>
        <w:gridCol w:w="2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550" w:type="pc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序号</w:t>
            </w:r>
          </w:p>
        </w:tc>
        <w:tc>
          <w:tcPr>
            <w:tcW w:w="1473" w:type="pc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品名</w:t>
            </w:r>
          </w:p>
        </w:tc>
        <w:tc>
          <w:tcPr>
            <w:tcW w:w="955" w:type="pc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数量</w:t>
            </w:r>
          </w:p>
        </w:tc>
        <w:tc>
          <w:tcPr>
            <w:tcW w:w="673" w:type="pc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单位</w:t>
            </w:r>
          </w:p>
        </w:tc>
        <w:tc>
          <w:tcPr>
            <w:tcW w:w="1347" w:type="pc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限高价（元）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0" w:type="pc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1</w:t>
            </w:r>
          </w:p>
        </w:tc>
        <w:tc>
          <w:tcPr>
            <w:tcW w:w="1473" w:type="pc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互联网专线服务</w:t>
            </w:r>
          </w:p>
        </w:tc>
        <w:tc>
          <w:tcPr>
            <w:tcW w:w="955" w:type="pc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73" w:type="pc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项</w:t>
            </w:r>
          </w:p>
        </w:tc>
        <w:tc>
          <w:tcPr>
            <w:tcW w:w="1347" w:type="pct"/>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258</w:t>
            </w:r>
            <w:r>
              <w:rPr>
                <w:rFonts w:hint="eastAsia" w:ascii="仿宋" w:hAnsi="仿宋" w:eastAsia="仿宋" w:cs="仿宋"/>
                <w:kern w:val="0"/>
                <w:sz w:val="24"/>
                <w:szCs w:val="24"/>
              </w:rPr>
              <w:t>00.00</w:t>
            </w:r>
          </w:p>
        </w:tc>
      </w:tr>
    </w:tbl>
    <w:p>
      <w:pPr>
        <w:pStyle w:val="14"/>
        <w:pageBreakBefore w:val="0"/>
        <w:kinsoku/>
        <w:overflowPunct/>
        <w:topLinePunct w:val="0"/>
        <w:autoSpaceDN/>
        <w:bidi w:val="0"/>
        <w:adjustRightInd w:val="0"/>
        <w:snapToGrid w:val="0"/>
        <w:spacing w:beforeAutospacing="0" w:afterAutospacing="0" w:line="360" w:lineRule="auto"/>
        <w:ind w:left="0" w:right="0" w:firstLine="0" w:firstLineChars="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3.接口清单</w:t>
      </w:r>
    </w:p>
    <w:p>
      <w:pPr>
        <w:pStyle w:val="14"/>
        <w:pageBreakBefore w:val="0"/>
        <w:kinsoku/>
        <w:overflowPunct/>
        <w:topLinePunct w:val="0"/>
        <w:autoSpaceDN/>
        <w:bidi w:val="0"/>
        <w:adjustRightInd w:val="0"/>
        <w:snapToGrid w:val="0"/>
        <w:spacing w:beforeAutospacing="0" w:afterAutospacing="0" w:line="360" w:lineRule="auto"/>
        <w:ind w:left="0" w:right="0" w:firstLine="0" w:firstLineChars="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无。</w:t>
      </w:r>
    </w:p>
    <w:p>
      <w:pPr>
        <w:pStyle w:val="14"/>
        <w:pageBreakBefore w:val="0"/>
        <w:kinsoku/>
        <w:overflowPunct/>
        <w:topLinePunct w:val="0"/>
        <w:autoSpaceDN/>
        <w:bidi w:val="0"/>
        <w:adjustRightInd w:val="0"/>
        <w:snapToGrid w:val="0"/>
        <w:spacing w:beforeAutospacing="0" w:afterAutospacing="0" w:line="360" w:lineRule="auto"/>
        <w:ind w:left="0" w:right="0" w:firstLine="0" w:firstLineChars="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4</w:t>
      </w:r>
      <w:r>
        <w:rPr>
          <w:rFonts w:hint="eastAsia" w:ascii="仿宋" w:hAnsi="仿宋" w:eastAsia="仿宋" w:cs="仿宋"/>
          <w:b/>
          <w:bCs/>
          <w:color w:val="auto"/>
          <w:sz w:val="24"/>
          <w:szCs w:val="24"/>
        </w:rPr>
        <w:t>.参数设置</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53"/>
        <w:gridCol w:w="2091"/>
        <w:gridCol w:w="6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1" w:hRule="atLeast"/>
        </w:trPr>
        <w:tc>
          <w:tcPr>
            <w:tcW w:w="85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序号</w:t>
            </w:r>
          </w:p>
        </w:tc>
        <w:tc>
          <w:tcPr>
            <w:tcW w:w="209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系统</w:t>
            </w:r>
          </w:p>
        </w:tc>
        <w:tc>
          <w:tcPr>
            <w:tcW w:w="690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1</w:t>
            </w:r>
          </w:p>
        </w:tc>
        <w:tc>
          <w:tcPr>
            <w:tcW w:w="209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互联网专线服务</w:t>
            </w:r>
          </w:p>
        </w:tc>
        <w:tc>
          <w:tcPr>
            <w:tcW w:w="690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提供一条带宽为300M的互联网专线。</w:t>
            </w:r>
          </w:p>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rPr>
              <w:t>2</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业务开通速率:上行[300M]、下行[300M]</w:t>
            </w:r>
          </w:p>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rPr>
              <w:t>3</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公网IP地址数量(个):[2]</w:t>
            </w:r>
          </w:p>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rPr>
              <w:t>4</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接入方式:[FTTH]接入</w:t>
            </w:r>
          </w:p>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rPr>
              <w:t>5</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业务实际开通地址:[四川省精神医学中心办公楼9楼]</w:t>
            </w:r>
          </w:p>
          <w:p>
            <w:pPr>
              <w:pStyle w:val="47"/>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rPr>
              <w:t>6</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业务经营范围:[公立医院]</w:t>
            </w:r>
          </w:p>
        </w:tc>
      </w:tr>
    </w:tbl>
    <w:p>
      <w:pPr>
        <w:pStyle w:val="14"/>
        <w:pageBreakBefore w:val="0"/>
        <w:kinsoku/>
        <w:overflowPunct/>
        <w:topLinePunct w:val="0"/>
        <w:autoSpaceDN/>
        <w:bidi w:val="0"/>
        <w:adjustRightInd w:val="0"/>
        <w:snapToGrid w:val="0"/>
        <w:spacing w:beforeAutospacing="0" w:afterAutospacing="0" w:line="360" w:lineRule="auto"/>
        <w:ind w:left="0" w:right="0" w:firstLine="0" w:firstLineChars="0"/>
        <w:jc w:val="both"/>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5.服务要求</w:t>
      </w:r>
    </w:p>
    <w:tbl>
      <w:tblPr>
        <w:tblStyle w:val="15"/>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07"/>
        <w:gridCol w:w="1397"/>
        <w:gridCol w:w="6105"/>
        <w:gridCol w:w="1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jc w:val="left"/>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序号</w:t>
            </w:r>
          </w:p>
        </w:tc>
        <w:tc>
          <w:tcPr>
            <w:tcW w:w="12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pPr>
              <w:pStyle w:val="47"/>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服务类型</w:t>
            </w:r>
          </w:p>
        </w:tc>
        <w:tc>
          <w:tcPr>
            <w:tcW w:w="527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pPr>
              <w:pStyle w:val="47"/>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服务内容</w:t>
            </w:r>
          </w:p>
        </w:tc>
        <w:tc>
          <w:tcPr>
            <w:tcW w:w="124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pPr>
              <w:pStyle w:val="47"/>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47"/>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1</w:t>
            </w:r>
          </w:p>
        </w:tc>
        <w:tc>
          <w:tcPr>
            <w:tcW w:w="12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47"/>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基本服务</w:t>
            </w:r>
          </w:p>
        </w:tc>
        <w:tc>
          <w:tcPr>
            <w:tcW w:w="527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pPr>
              <w:pStyle w:val="47"/>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基本服务至少满足以下内容：</w:t>
            </w:r>
          </w:p>
          <w:p>
            <w:pPr>
              <w:pStyle w:val="47"/>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1、稳定性：</w:t>
            </w:r>
            <w:r>
              <w:rPr>
                <w:rFonts w:hint="eastAsia" w:ascii="仿宋" w:hAnsi="仿宋" w:eastAsia="仿宋" w:cs="仿宋"/>
                <w:kern w:val="0"/>
                <w:sz w:val="24"/>
                <w:szCs w:val="24"/>
              </w:rPr>
              <w:t>服务期内需保障业务稳定，不无故出现崩溃或宕机现象；</w:t>
            </w:r>
          </w:p>
          <w:p>
            <w:pPr>
              <w:pStyle w:val="47"/>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2、安全性：</w:t>
            </w:r>
            <w:r>
              <w:rPr>
                <w:rFonts w:hint="eastAsia" w:ascii="仿宋" w:hAnsi="仿宋" w:eastAsia="仿宋" w:cs="仿宋"/>
                <w:kern w:val="0"/>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pPr>
              <w:pStyle w:val="47"/>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3、专线传输质量</w:t>
            </w:r>
            <w:bookmarkStart w:id="45" w:name="_GoBack"/>
            <w:bookmarkEnd w:id="45"/>
            <w:r>
              <w:rPr>
                <w:rStyle w:val="48"/>
                <w:rFonts w:hint="eastAsia" w:ascii="仿宋" w:hAnsi="仿宋" w:eastAsia="仿宋" w:cs="仿宋"/>
                <w:b/>
                <w:bCs w:val="0"/>
                <w:sz w:val="24"/>
                <w:szCs w:val="24"/>
              </w:rPr>
              <w:t>：</w:t>
            </w:r>
            <w:r>
              <w:rPr>
                <w:rFonts w:hint="eastAsia" w:ascii="仿宋" w:hAnsi="仿宋" w:eastAsia="仿宋" w:cs="仿宋"/>
                <w:kern w:val="0"/>
                <w:sz w:val="24"/>
                <w:szCs w:val="24"/>
              </w:rPr>
              <w:t>供应商收到异议后，应在5个工作日内对数据质量问题进行原因查找和反馈，30个工作日内对数据质量问题进行数据清洗；</w:t>
            </w:r>
          </w:p>
          <w:p>
            <w:pPr>
              <w:pStyle w:val="47"/>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rPr>
              <w:t>4、响应速度：</w:t>
            </w:r>
            <w:r>
              <w:rPr>
                <w:rFonts w:hint="eastAsia" w:ascii="仿宋" w:hAnsi="仿宋" w:eastAsia="仿宋" w:cs="仿宋"/>
                <w:kern w:val="0"/>
                <w:sz w:val="24"/>
                <w:szCs w:val="24"/>
              </w:rPr>
              <w:t>服务期内，采购人通过电话、微信、现场提出的支持需求，供应商须在需求提出的当日完成响应；提供该专线网络的稳定、连续运行，并提供365天的7×24小时不间断服务，若遇故障应在2小时内排除故障，若遇</w:t>
            </w:r>
            <w:r>
              <w:rPr>
                <w:rFonts w:hint="eastAsia" w:ascii="仿宋" w:hAnsi="仿宋" w:eastAsia="仿宋" w:cs="仿宋"/>
                <w:kern w:val="0"/>
                <w:sz w:val="24"/>
                <w:szCs w:val="24"/>
                <w:lang w:val="en-US" w:eastAsia="zh-CN"/>
              </w:rPr>
              <w:t>采购人</w:t>
            </w:r>
            <w:r>
              <w:rPr>
                <w:rFonts w:hint="eastAsia" w:ascii="仿宋" w:hAnsi="仿宋" w:eastAsia="仿宋" w:cs="仿宋"/>
                <w:kern w:val="0"/>
                <w:sz w:val="24"/>
                <w:szCs w:val="24"/>
              </w:rPr>
              <w:t>业务高发期，保证1个小时内故障排除；若遇计划内的线路割接，应提前24小时告知</w:t>
            </w:r>
            <w:r>
              <w:rPr>
                <w:rFonts w:hint="eastAsia" w:ascii="仿宋" w:hAnsi="仿宋" w:eastAsia="仿宋" w:cs="仿宋"/>
                <w:kern w:val="0"/>
                <w:sz w:val="24"/>
                <w:szCs w:val="24"/>
                <w:lang w:val="en-US" w:eastAsia="zh-CN"/>
              </w:rPr>
              <w:t>采购人</w:t>
            </w:r>
            <w:r>
              <w:rPr>
                <w:rFonts w:hint="eastAsia" w:ascii="仿宋" w:hAnsi="仿宋" w:eastAsia="仿宋" w:cs="仿宋"/>
                <w:kern w:val="0"/>
                <w:sz w:val="24"/>
                <w:szCs w:val="24"/>
              </w:rPr>
              <w:t>，并开通备用线路供</w:t>
            </w:r>
            <w:r>
              <w:rPr>
                <w:rFonts w:hint="eastAsia" w:ascii="仿宋" w:hAnsi="仿宋" w:eastAsia="仿宋" w:cs="仿宋"/>
                <w:kern w:val="0"/>
                <w:sz w:val="24"/>
                <w:szCs w:val="24"/>
                <w:lang w:val="en-US" w:eastAsia="zh-CN"/>
              </w:rPr>
              <w:t>采购人</w:t>
            </w:r>
            <w:r>
              <w:rPr>
                <w:rFonts w:hint="eastAsia" w:ascii="仿宋" w:hAnsi="仿宋" w:eastAsia="仿宋" w:cs="仿宋"/>
                <w:kern w:val="0"/>
                <w:sz w:val="24"/>
                <w:szCs w:val="24"/>
              </w:rPr>
              <w:t>使用；若遇意外故障，供应商应保证4小时内业务恢复，超过8小时业务未恢复的，供应商应提供备用计划</w:t>
            </w:r>
            <w:r>
              <w:rPr>
                <w:rFonts w:hint="eastAsia" w:ascii="仿宋" w:hAnsi="仿宋" w:eastAsia="仿宋" w:cs="仿宋"/>
                <w:kern w:val="0"/>
                <w:sz w:val="24"/>
                <w:szCs w:val="24"/>
                <w:lang w:eastAsia="zh-CN"/>
              </w:rPr>
              <w:t>：如临时链路应急备用方案。</w:t>
            </w:r>
          </w:p>
          <w:p>
            <w:pPr>
              <w:pStyle w:val="47"/>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lang w:val="en-US" w:eastAsia="zh-CN"/>
              </w:rPr>
              <w:t>5</w:t>
            </w:r>
            <w:r>
              <w:rPr>
                <w:rStyle w:val="48"/>
                <w:rFonts w:hint="eastAsia" w:ascii="仿宋" w:hAnsi="仿宋" w:eastAsia="仿宋" w:cs="仿宋"/>
                <w:b/>
                <w:bCs w:val="0"/>
                <w:sz w:val="24"/>
                <w:szCs w:val="24"/>
              </w:rPr>
              <w:t>、文档服务：</w:t>
            </w:r>
            <w:r>
              <w:rPr>
                <w:rFonts w:hint="eastAsia" w:ascii="仿宋" w:hAnsi="仿宋" w:eastAsia="仿宋" w:cs="仿宋"/>
                <w:kern w:val="0"/>
                <w:sz w:val="24"/>
                <w:szCs w:val="24"/>
              </w:rPr>
              <w:t>无</w:t>
            </w:r>
          </w:p>
          <w:p>
            <w:pPr>
              <w:pStyle w:val="47"/>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ind w:left="0" w:firstLine="0"/>
              <w:textAlignment w:val="auto"/>
              <w:rPr>
                <w:rFonts w:hint="eastAsia" w:ascii="仿宋" w:hAnsi="仿宋" w:eastAsia="仿宋" w:cs="仿宋"/>
                <w:kern w:val="0"/>
                <w:sz w:val="24"/>
                <w:szCs w:val="24"/>
              </w:rPr>
            </w:pPr>
            <w:r>
              <w:rPr>
                <w:rStyle w:val="48"/>
                <w:rFonts w:hint="eastAsia" w:ascii="仿宋" w:hAnsi="仿宋" w:eastAsia="仿宋" w:cs="仿宋"/>
                <w:b/>
                <w:bCs w:val="0"/>
                <w:sz w:val="24"/>
                <w:szCs w:val="24"/>
                <w:lang w:val="en-US" w:eastAsia="zh-CN"/>
              </w:rPr>
              <w:t>6</w:t>
            </w:r>
            <w:r>
              <w:rPr>
                <w:rStyle w:val="48"/>
                <w:rFonts w:hint="eastAsia" w:ascii="仿宋" w:hAnsi="仿宋" w:eastAsia="仿宋" w:cs="仿宋"/>
                <w:b/>
                <w:bCs w:val="0"/>
                <w:sz w:val="24"/>
                <w:szCs w:val="24"/>
              </w:rPr>
              <w:t>、其他：</w:t>
            </w:r>
          </w:p>
          <w:p>
            <w:pPr>
              <w:pStyle w:val="47"/>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1）从合同签订生效之日起，采购人</w:t>
            </w:r>
            <w:r>
              <w:rPr>
                <w:rStyle w:val="48"/>
                <w:rFonts w:hint="eastAsia" w:ascii="仿宋" w:hAnsi="仿宋" w:eastAsia="仿宋" w:cs="仿宋"/>
                <w:b/>
                <w:bCs w:val="0"/>
                <w:sz w:val="24"/>
                <w:szCs w:val="24"/>
                <w:u w:val="single"/>
              </w:rPr>
              <w:t>每月</w:t>
            </w:r>
            <w:r>
              <w:rPr>
                <w:rFonts w:hint="eastAsia" w:ascii="仿宋" w:hAnsi="仿宋" w:eastAsia="仿宋" w:cs="仿宋"/>
                <w:kern w:val="0"/>
                <w:sz w:val="24"/>
                <w:szCs w:val="24"/>
              </w:rPr>
              <w:t>按照</w:t>
            </w:r>
            <w:r>
              <w:rPr>
                <w:rFonts w:hint="eastAsia" w:ascii="仿宋" w:hAnsi="仿宋" w:eastAsia="仿宋" w:cs="仿宋"/>
                <w:kern w:val="0"/>
                <w:sz w:val="24"/>
                <w:szCs w:val="24"/>
                <w:lang w:val="en-US" w:eastAsia="zh-CN"/>
              </w:rPr>
              <w:t>四川省精神医学中心</w:t>
            </w:r>
            <w:r>
              <w:rPr>
                <w:rStyle w:val="48"/>
                <w:rFonts w:hint="eastAsia" w:ascii="仿宋" w:hAnsi="仿宋" w:eastAsia="仿宋" w:cs="仿宋"/>
                <w:b/>
                <w:bCs w:val="0"/>
                <w:sz w:val="24"/>
                <w:szCs w:val="24"/>
              </w:rPr>
              <w:t>供应商考核</w:t>
            </w:r>
            <w:r>
              <w:rPr>
                <w:rFonts w:hint="eastAsia" w:ascii="仿宋" w:hAnsi="仿宋" w:eastAsia="仿宋" w:cs="仿宋"/>
                <w:kern w:val="0"/>
                <w:sz w:val="24"/>
                <w:szCs w:val="24"/>
              </w:rPr>
              <w:t>指标对供应商行为进行评价考核，考核结果关联最终付款金额。</w:t>
            </w:r>
          </w:p>
          <w:p>
            <w:pPr>
              <w:pStyle w:val="47"/>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2）供应商应当与本项目相关的第三方保持有痕的沟通，明确项目的具体要求和功能等方面的细节。采购人负责组织、监督和验收，以确保项目的顺利完成。</w:t>
            </w:r>
          </w:p>
          <w:p>
            <w:pPr>
              <w:pStyle w:val="47"/>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3）如涉及因本项目开发的系统原因造成采购人的经济损失，由供应商负责向采购人进行赔偿。</w:t>
            </w:r>
          </w:p>
        </w:tc>
        <w:tc>
          <w:tcPr>
            <w:tcW w:w="124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47"/>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360" w:lineRule="auto"/>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自合同签订生效之日起3年（服务期为2026年7月1日至2029年6月30日），合同一年一签，经考核合格后续签下一年度合同</w:t>
            </w:r>
          </w:p>
        </w:tc>
      </w:tr>
    </w:tbl>
    <w:p>
      <w:pPr>
        <w:pStyle w:val="14"/>
        <w:pageBreakBefore w:val="0"/>
        <w:kinsoku/>
        <w:overflowPunct/>
        <w:topLinePunct w:val="0"/>
        <w:autoSpaceDN/>
        <w:bidi w:val="0"/>
        <w:adjustRightInd w:val="0"/>
        <w:snapToGrid w:val="0"/>
        <w:spacing w:beforeAutospacing="0" w:afterAutospacing="0" w:line="360" w:lineRule="auto"/>
        <w:ind w:left="0" w:right="0" w:firstLine="0" w:firstLineChars="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6.</w:t>
      </w:r>
      <w:r>
        <w:rPr>
          <w:rFonts w:hint="eastAsia" w:ascii="仿宋" w:hAnsi="仿宋" w:eastAsia="仿宋" w:cs="仿宋"/>
          <w:b/>
          <w:bCs/>
          <w:color w:val="auto"/>
          <w:sz w:val="24"/>
          <w:szCs w:val="24"/>
        </w:rPr>
        <w:t>商务要求：</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6.1服务地点：四川省精神医学中心</w:t>
      </w:r>
    </w:p>
    <w:p>
      <w:pPr>
        <w:pStyle w:val="4"/>
        <w:keepNext w:val="0"/>
        <w:keepLines w:val="0"/>
        <w:pageBreakBefore w:val="0"/>
        <w:widowControl w:val="0"/>
        <w:kinsoku/>
        <w:wordWrap w:val="0"/>
        <w:overflowPunct/>
        <w:topLinePunct w:val="0"/>
        <w:autoSpaceDE/>
        <w:autoSpaceDN/>
        <w:bidi w:val="0"/>
        <w:adjustRightInd/>
        <w:snapToGrid/>
        <w:spacing w:line="320" w:lineRule="exact"/>
        <w:ind w:firstLine="0" w:firstLineChars="0"/>
        <w:textAlignment w:val="auto"/>
        <w:rPr>
          <w:rFonts w:hint="eastAsia" w:ascii="仿宋" w:hAnsi="仿宋" w:eastAsia="仿宋" w:cs="仿宋"/>
          <w:bCs/>
          <w:snapToGrid w:val="0"/>
          <w:color w:val="000000"/>
          <w:kern w:val="0"/>
          <w:sz w:val="24"/>
          <w:szCs w:val="24"/>
          <w:lang w:val="en-US" w:eastAsia="zh-CN" w:bidi="ar-SA"/>
        </w:rPr>
      </w:pPr>
      <w:r>
        <w:rPr>
          <w:rFonts w:hint="eastAsia" w:ascii="仿宋" w:hAnsi="仿宋" w:eastAsia="仿宋" w:cs="仿宋"/>
          <w:color w:val="auto"/>
          <w:sz w:val="24"/>
          <w:szCs w:val="24"/>
          <w:highlight w:val="none"/>
          <w:lang w:val="en-US" w:eastAsia="zh-CN"/>
        </w:rPr>
        <w:t>6.2付款条件：</w:t>
      </w:r>
      <w:r>
        <w:rPr>
          <w:rFonts w:hint="eastAsia" w:ascii="仿宋" w:hAnsi="仿宋" w:eastAsia="仿宋" w:cs="仿宋"/>
          <w:bCs/>
          <w:snapToGrid w:val="0"/>
          <w:color w:val="000000"/>
          <w:kern w:val="0"/>
          <w:sz w:val="24"/>
          <w:szCs w:val="24"/>
          <w:lang w:val="en-US" w:eastAsia="zh-CN" w:bidi="ar-SA"/>
        </w:rPr>
        <w:t>第一次付款：合同签订生效且服务满六个月后，供应商于5日内向采购人提供合法有效票据及其他相关请款资料，采购人于接到上述票据及资料后的55日内，向供应商支付合同总价50%的金额（如有因考核等原因产生的扣款，应在支付前予以扣除）。</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Cs/>
          <w:snapToGrid w:val="0"/>
          <w:color w:val="000000"/>
          <w:kern w:val="0"/>
          <w:sz w:val="24"/>
          <w:szCs w:val="24"/>
          <w:lang w:val="en-US" w:eastAsia="zh-CN" w:bidi="ar-SA"/>
        </w:rPr>
        <w:t>第二次付款：服务期满后，供应商于5日内向采购人提供合法有效票据及其他相关请款资料，采购人于接到上述票据及资料后的55日内，向供应商支付合同总价50%的金额（如有因考核等原因产生的扣款，应在支付前予以扣除）。</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6.3履约验收方案</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（1）验收主体：采购人</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（2）验收组织方式：自行验收</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（3）验收程序：一次性验收</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（4）验收方式：现场整体验收</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（5）验收内容：按照基于本项目采购需求编制的采购文件要求及供应商响应文件情况，由供应商向采购人提供的全部服务。</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（6）验收时间：服务期满且供应商完成所有服务内容后5日内通知采购人验收，采购人接供应商通知后10日内组织验收。</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（7）是否邀请本项目的其他供应商：否</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（8）是否邀请专家：否</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（9）是否邀请服务对象：否</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（10）是否邀请第三方检测机构：否</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（11）验收标准</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pPr>
        <w:pStyle w:val="6"/>
        <w:pageBreakBefore w:val="0"/>
        <w:numPr>
          <w:ilvl w:val="0"/>
          <w:numId w:val="0"/>
        </w:numPr>
        <w:kinsoku/>
        <w:wordWrap/>
        <w:overflowPunct/>
        <w:topLinePunct w:val="0"/>
        <w:autoSpaceDN/>
        <w:bidi w:val="0"/>
        <w:adjustRightInd w:val="0"/>
        <w:snapToGrid w:val="0"/>
        <w:spacing w:beforeAutospacing="0" w:afterAutospacing="0" w:line="360" w:lineRule="auto"/>
        <w:ind w:left="0" w:leftChars="0" w:right="0" w:righ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u w:color="000000"/>
          <w:lang w:val="en-US" w:eastAsia="zh-CN" w:bidi="ar-SA"/>
        </w:rPr>
        <w:t>2）基于本项目采购需求编制的采购文件相关技术、服务要求、供应商响应文件相关响应内容。</w:t>
      </w:r>
    </w:p>
    <w:p>
      <w:pPr>
        <w:pStyle w:val="6"/>
        <w:pageBreakBefore w:val="0"/>
        <w:numPr>
          <w:ilvl w:val="0"/>
          <w:numId w:val="0"/>
        </w:numPr>
        <w:kinsoku/>
        <w:wordWrap/>
        <w:overflowPunct/>
        <w:topLinePunct w:val="0"/>
        <w:autoSpaceDN/>
        <w:bidi w:val="0"/>
        <w:adjustRightInd w:val="0"/>
        <w:snapToGrid w:val="0"/>
        <w:spacing w:beforeAutospacing="0" w:afterAutospacing="0" w:line="360" w:lineRule="auto"/>
        <w:ind w:left="0" w:leftChars="0" w:right="0" w:rightChars="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u w:color="000000"/>
          <w:lang w:val="en-US" w:eastAsia="zh-CN" w:bidi="ar-SA"/>
        </w:rPr>
        <w:t>3）产品生产厂家出具的产品说明书、技术白皮书、医疗器械注册证或备案凭证等官方技术资料（如涉及）。</w:t>
      </w:r>
    </w:p>
    <w:p>
      <w:pPr>
        <w:pStyle w:val="6"/>
        <w:pageBreakBefore w:val="0"/>
        <w:numPr>
          <w:ilvl w:val="0"/>
          <w:numId w:val="0"/>
        </w:numPr>
        <w:kinsoku/>
        <w:wordWrap/>
        <w:overflowPunct/>
        <w:topLinePunct w:val="0"/>
        <w:autoSpaceDN/>
        <w:bidi w:val="0"/>
        <w:adjustRightInd w:val="0"/>
        <w:snapToGrid w:val="0"/>
        <w:spacing w:beforeAutospacing="0" w:afterAutospacing="0" w:line="360" w:lineRule="auto"/>
        <w:ind w:left="0" w:leftChars="0" w:right="0" w:rightChars="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u w:color="000000"/>
          <w:lang w:val="en-US" w:eastAsia="zh-CN" w:bidi="ar-SA"/>
        </w:rPr>
        <w:t>4）如验收时，采购人与供应商认为本项目验收标准中的技术指标、质量要求等内容存在相互抵触或对其理解存在异议，应按照其中更严格的要求、标准等进行验收。</w:t>
      </w:r>
    </w:p>
    <w:p>
      <w:pPr>
        <w:pStyle w:val="6"/>
        <w:pageBreakBefore w:val="0"/>
        <w:numPr>
          <w:ilvl w:val="0"/>
          <w:numId w:val="0"/>
        </w:numPr>
        <w:kinsoku/>
        <w:wordWrap/>
        <w:overflowPunct/>
        <w:topLinePunct w:val="0"/>
        <w:autoSpaceDN/>
        <w:bidi w:val="0"/>
        <w:adjustRightInd w:val="0"/>
        <w:snapToGrid w:val="0"/>
        <w:spacing w:beforeAutospacing="0" w:afterAutospacing="0" w:line="360" w:lineRule="auto"/>
        <w:ind w:left="0" w:leftChars="0" w:right="0" w:rightChars="0" w:firstLine="0" w:firstLineChars="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u w:color="000000"/>
          <w:lang w:val="en-US" w:eastAsia="zh-CN" w:bidi="ar-SA"/>
        </w:rPr>
        <w:t>5）按照《财政部关于进一步加强政府采购需求和履约验收管理的指导意见》（财库〔2016〕205号）的要求进行验收。（如本项目不涉及政府采购，将参照此条款）</w:t>
      </w:r>
    </w:p>
    <w:p>
      <w:pPr>
        <w:pStyle w:val="6"/>
        <w:pageBreakBefore w:val="0"/>
        <w:numPr>
          <w:ilvl w:val="0"/>
          <w:numId w:val="0"/>
        </w:numPr>
        <w:kinsoku/>
        <w:wordWrap/>
        <w:overflowPunct/>
        <w:topLinePunct w:val="0"/>
        <w:autoSpaceDN/>
        <w:bidi w:val="0"/>
        <w:adjustRightInd w:val="0"/>
        <w:snapToGrid w:val="0"/>
        <w:spacing w:beforeAutospacing="0" w:afterAutospacing="0" w:line="360" w:lineRule="auto"/>
        <w:ind w:leftChars="0" w:right="0" w:rightChars="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6）如本项目验收方式为考核验收，则考核结果须为合格。</w:t>
      </w:r>
    </w:p>
    <w:p>
      <w:pPr>
        <w:pStyle w:val="6"/>
        <w:pageBreakBefore w:val="0"/>
        <w:kinsoku/>
        <w:wordWrap/>
        <w:overflowPunct/>
        <w:topLinePunct w:val="0"/>
        <w:autoSpaceDN/>
        <w:bidi w:val="0"/>
        <w:adjustRightInd w:val="0"/>
        <w:snapToGrid w:val="0"/>
        <w:spacing w:beforeAutospacing="0" w:afterAutospacing="0" w:line="360" w:lineRule="auto"/>
        <w:ind w:left="0" w:right="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7）其它标准：无。</w:t>
      </w:r>
    </w:p>
    <w:p>
      <w:pPr>
        <w:pStyle w:val="2"/>
        <w:keepNext w:val="0"/>
        <w:keepLines w:val="0"/>
        <w:pageBreakBefore w:val="0"/>
        <w:widowControl/>
        <w:numPr>
          <w:ilvl w:val="0"/>
          <w:numId w:val="0"/>
        </w:numPr>
        <w:suppressLineNumbers w:val="0"/>
        <w:kinsoku/>
        <w:overflowPunct/>
        <w:topLinePunct w:val="0"/>
        <w:autoSpaceDN/>
        <w:bidi w:val="0"/>
        <w:adjustRightInd w:val="0"/>
        <w:snapToGrid w:val="0"/>
        <w:spacing w:beforeAutospacing="0" w:afterAutospacing="0" w:line="360" w:lineRule="auto"/>
        <w:ind w:left="0" w:leftChars="0" w:right="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zh-TW" w:eastAsia="zh-CN"/>
        </w:rPr>
        <w:t>（</w:t>
      </w: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lang w:val="zh-TW" w:eastAsia="zh-CN"/>
        </w:rPr>
        <w:t>）履约验收其它事项：</w:t>
      </w:r>
      <w:r>
        <w:rPr>
          <w:rFonts w:hint="eastAsia" w:ascii="仿宋" w:hAnsi="仿宋" w:eastAsia="仿宋" w:cs="仿宋"/>
          <w:b w:val="0"/>
          <w:bCs w:val="0"/>
          <w:color w:val="auto"/>
          <w:sz w:val="24"/>
          <w:szCs w:val="24"/>
          <w:highlight w:val="none"/>
          <w:lang w:val="en-US" w:eastAsia="zh-CN"/>
        </w:rPr>
        <w:t>无。</w:t>
      </w:r>
    </w:p>
    <w:p>
      <w:pPr>
        <w:pStyle w:val="2"/>
        <w:keepNext w:val="0"/>
        <w:keepLines w:val="0"/>
        <w:pageBreakBefore w:val="0"/>
        <w:widowControl/>
        <w:numPr>
          <w:ilvl w:val="0"/>
          <w:numId w:val="0"/>
        </w:numPr>
        <w:suppressLineNumbers w:val="0"/>
        <w:kinsoku/>
        <w:overflowPunct/>
        <w:topLinePunct w:val="0"/>
        <w:autoSpaceDN/>
        <w:bidi w:val="0"/>
        <w:adjustRightInd w:val="0"/>
        <w:snapToGrid w:val="0"/>
        <w:spacing w:beforeAutospacing="0" w:afterAutospacing="0" w:line="360" w:lineRule="auto"/>
        <w:ind w:left="0" w:leftChars="0" w:right="0"/>
        <w:jc w:val="both"/>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6.4供应商考核表</w:t>
      </w:r>
    </w:p>
    <w:tbl>
      <w:tblPr>
        <w:tblStyle w:val="15"/>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848" w:type="dxa"/>
            <w:gridSpan w:val="6"/>
            <w:shd w:val="clear" w:color="auto" w:fill="auto"/>
            <w:tcMar>
              <w:top w:w="0" w:type="dxa"/>
              <w:left w:w="105" w:type="dxa"/>
              <w:bottom w:w="0" w:type="dxa"/>
              <w:right w:w="105" w:type="dxa"/>
            </w:tcMar>
            <w:vAlign w:val="top"/>
          </w:tcPr>
          <w:p>
            <w:pPr>
              <w:pStyle w:val="47"/>
              <w:keepNext w:val="0"/>
              <w:keepLines w:val="0"/>
              <w:widowControl/>
              <w:suppressLineNumbers w:val="0"/>
              <w:spacing w:line="240" w:lineRule="auto"/>
              <w:jc w:val="center"/>
              <w:rPr>
                <w:rFonts w:hint="eastAsia" w:ascii="仿宋" w:hAnsi="仿宋" w:eastAsia="仿宋" w:cs="仿宋"/>
                <w:kern w:val="0"/>
                <w:sz w:val="24"/>
                <w:szCs w:val="24"/>
              </w:rPr>
            </w:pPr>
            <w:bookmarkStart w:id="9" w:name="_Toc15867"/>
            <w:bookmarkStart w:id="10" w:name="第四章"/>
            <w:r>
              <w:rPr>
                <w:rStyle w:val="48"/>
                <w:rFonts w:hint="eastAsia" w:ascii="仿宋" w:hAnsi="仿宋" w:eastAsia="仿宋" w:cs="仿宋"/>
                <w:b/>
                <w:bCs w:val="0"/>
                <w:sz w:val="32"/>
                <w:szCs w:val="32"/>
              </w:rPr>
              <w:t>四川省精神医学中心供应商考核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供应商</w:t>
            </w:r>
          </w:p>
        </w:tc>
        <w:tc>
          <w:tcPr>
            <w:tcW w:w="3289" w:type="dxa"/>
            <w:gridSpan w:val="2"/>
            <w:shd w:val="clear" w:color="auto" w:fill="auto"/>
            <w:tcMar>
              <w:top w:w="0" w:type="dxa"/>
              <w:left w:w="105" w:type="dxa"/>
              <w:bottom w:w="0" w:type="dxa"/>
              <w:right w:w="105" w:type="dxa"/>
            </w:tcMar>
            <w:vAlign w:val="center"/>
          </w:tcPr>
          <w:p>
            <w:pPr>
              <w:keepNext w:val="0"/>
              <w:keepLines w:val="0"/>
              <w:widowControl/>
              <w:suppressLineNumbers w:val="0"/>
              <w:spacing w:line="240" w:lineRule="auto"/>
              <w:jc w:val="left"/>
              <w:rPr>
                <w:rFonts w:hint="eastAsia" w:ascii="仿宋" w:hAnsi="仿宋" w:eastAsia="仿宋" w:cs="仿宋"/>
                <w:kern w:val="0"/>
                <w:sz w:val="24"/>
                <w:szCs w:val="24"/>
              </w:rPr>
            </w:pPr>
          </w:p>
        </w:tc>
        <w:tc>
          <w:tcPr>
            <w:tcW w:w="1367" w:type="dxa"/>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合同名</w:t>
            </w:r>
          </w:p>
        </w:tc>
        <w:tc>
          <w:tcPr>
            <w:tcW w:w="3929" w:type="dxa"/>
            <w:gridSpan w:val="2"/>
            <w:shd w:val="clear" w:color="auto" w:fill="auto"/>
            <w:tcMar>
              <w:top w:w="0" w:type="dxa"/>
              <w:left w:w="105" w:type="dxa"/>
              <w:bottom w:w="0" w:type="dxa"/>
              <w:right w:w="105" w:type="dxa"/>
            </w:tcMar>
            <w:vAlign w:val="top"/>
          </w:tcPr>
          <w:p>
            <w:pPr>
              <w:keepNext w:val="0"/>
              <w:keepLines w:val="0"/>
              <w:widowControl/>
              <w:suppressLineNumbers w:val="0"/>
              <w:spacing w:line="240" w:lineRule="auto"/>
              <w:jc w:val="left"/>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指标类别</w:t>
            </w:r>
          </w:p>
        </w:tc>
        <w:tc>
          <w:tcPr>
            <w:tcW w:w="1558" w:type="dxa"/>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指标</w:t>
            </w:r>
          </w:p>
        </w:tc>
        <w:tc>
          <w:tcPr>
            <w:tcW w:w="6248" w:type="dxa"/>
            <w:gridSpan w:val="3"/>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考核内容</w:t>
            </w:r>
          </w:p>
        </w:tc>
        <w:tc>
          <w:tcPr>
            <w:tcW w:w="779" w:type="dxa"/>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vMerge w:val="restar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after="195" w:afterAutospacing="0"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性能质量评价</w:t>
            </w:r>
          </w:p>
        </w:tc>
        <w:tc>
          <w:tcPr>
            <w:tcW w:w="1558" w:type="dxa"/>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稳定性</w:t>
            </w:r>
          </w:p>
        </w:tc>
        <w:tc>
          <w:tcPr>
            <w:tcW w:w="6248" w:type="dxa"/>
            <w:gridSpan w:val="3"/>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rPr>
                <w:rFonts w:hint="eastAsia" w:ascii="仿宋" w:hAnsi="仿宋" w:eastAsia="仿宋" w:cs="仿宋"/>
                <w:kern w:val="0"/>
                <w:sz w:val="24"/>
                <w:szCs w:val="24"/>
              </w:rPr>
            </w:pPr>
            <w:r>
              <w:rPr>
                <w:rFonts w:hint="eastAsia" w:ascii="仿宋" w:hAnsi="仿宋" w:eastAsia="仿宋" w:cs="仿宋"/>
                <w:kern w:val="0"/>
                <w:sz w:val="24"/>
                <w:szCs w:val="24"/>
              </w:rPr>
              <w:t>出现故障，导致系统不稳定，影响医院业务：出现故障时间≤30分钟扣1分，30＜分钟且≤60分钟扣2分，&gt;60分钟扣5分；</w:t>
            </w:r>
          </w:p>
        </w:tc>
        <w:tc>
          <w:tcPr>
            <w:tcW w:w="779" w:type="dxa"/>
            <w:shd w:val="clear" w:color="auto" w:fill="auto"/>
            <w:tcMar>
              <w:top w:w="0" w:type="dxa"/>
              <w:left w:w="105" w:type="dxa"/>
              <w:bottom w:w="0" w:type="dxa"/>
              <w:right w:w="105" w:type="dxa"/>
            </w:tcMar>
            <w:vAlign w:val="top"/>
          </w:tcPr>
          <w:p>
            <w:pPr>
              <w:keepNext w:val="0"/>
              <w:keepLines w:val="0"/>
              <w:widowControl/>
              <w:suppressLineNumbers w:val="0"/>
              <w:spacing w:line="240" w:lineRule="auto"/>
              <w:jc w:val="left"/>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vMerge w:val="continue"/>
            <w:shd w:val="clear" w:color="auto" w:fill="auto"/>
            <w:tcMar>
              <w:top w:w="0" w:type="dxa"/>
              <w:left w:w="105" w:type="dxa"/>
              <w:bottom w:w="0" w:type="dxa"/>
              <w:right w:w="105" w:type="dxa"/>
            </w:tcMar>
            <w:vAlign w:val="center"/>
          </w:tcPr>
          <w:p>
            <w:pPr>
              <w:spacing w:line="240" w:lineRule="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安全性</w:t>
            </w:r>
          </w:p>
        </w:tc>
        <w:tc>
          <w:tcPr>
            <w:tcW w:w="6248" w:type="dxa"/>
            <w:gridSpan w:val="3"/>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rPr>
                <w:rFonts w:hint="eastAsia" w:ascii="仿宋" w:hAnsi="仿宋" w:eastAsia="仿宋" w:cs="仿宋"/>
                <w:kern w:val="0"/>
                <w:sz w:val="24"/>
                <w:szCs w:val="24"/>
              </w:rPr>
            </w:pPr>
            <w:r>
              <w:rPr>
                <w:rFonts w:hint="eastAsia" w:ascii="仿宋" w:hAnsi="仿宋" w:eastAsia="仿宋" w:cs="仿宋"/>
                <w:kern w:val="0"/>
                <w:sz w:val="24"/>
                <w:szCs w:val="24"/>
              </w:rPr>
              <w:t>未具备完善的安全防护机制，存在数据丢失或泄漏的风险，发现一次扣2分；</w:t>
            </w:r>
            <w:r>
              <w:rPr>
                <w:rFonts w:hint="eastAsia" w:ascii="仿宋" w:hAnsi="仿宋" w:eastAsia="仿宋" w:cs="仿宋"/>
                <w:kern w:val="0"/>
                <w:sz w:val="24"/>
                <w:szCs w:val="24"/>
                <w:lang w:val="en-US" w:eastAsia="zh-CN"/>
              </w:rPr>
              <w:t>采购人</w:t>
            </w:r>
            <w:r>
              <w:rPr>
                <w:rFonts w:hint="eastAsia" w:ascii="仿宋" w:hAnsi="仿宋" w:eastAsia="仿宋" w:cs="仿宋"/>
                <w:kern w:val="0"/>
                <w:sz w:val="24"/>
                <w:szCs w:val="24"/>
              </w:rPr>
              <w:t>有权对现有程序和数据保留备份，供应商违规操作导致采购方机器硬盘中的任何数据和程序损坏或丢失一次扣5分；备份维护不合理，备份数据损坏导致在需要时无法恢复，每次扣5分；</w:t>
            </w:r>
          </w:p>
        </w:tc>
        <w:tc>
          <w:tcPr>
            <w:tcW w:w="779" w:type="dxa"/>
            <w:shd w:val="clear" w:color="auto" w:fill="auto"/>
            <w:tcMar>
              <w:top w:w="0" w:type="dxa"/>
              <w:left w:w="105" w:type="dxa"/>
              <w:bottom w:w="0" w:type="dxa"/>
              <w:right w:w="105" w:type="dxa"/>
            </w:tcMar>
            <w:vAlign w:val="top"/>
          </w:tcPr>
          <w:p>
            <w:pPr>
              <w:keepNext w:val="0"/>
              <w:keepLines w:val="0"/>
              <w:widowControl/>
              <w:suppressLineNumbers w:val="0"/>
              <w:spacing w:line="240" w:lineRule="auto"/>
              <w:jc w:val="left"/>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vMerge w:val="continue"/>
            <w:shd w:val="clear" w:color="auto" w:fill="auto"/>
            <w:tcMar>
              <w:top w:w="0" w:type="dxa"/>
              <w:left w:w="105" w:type="dxa"/>
              <w:bottom w:w="0" w:type="dxa"/>
              <w:right w:w="105" w:type="dxa"/>
            </w:tcMar>
            <w:vAlign w:val="center"/>
          </w:tcPr>
          <w:p>
            <w:pPr>
              <w:spacing w:line="240" w:lineRule="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用户满意度</w:t>
            </w:r>
          </w:p>
        </w:tc>
        <w:tc>
          <w:tcPr>
            <w:tcW w:w="6248" w:type="dxa"/>
            <w:gridSpan w:val="3"/>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rPr>
                <w:rFonts w:hint="eastAsia" w:ascii="仿宋" w:hAnsi="仿宋" w:eastAsia="仿宋" w:cs="仿宋"/>
                <w:kern w:val="0"/>
                <w:sz w:val="24"/>
                <w:szCs w:val="24"/>
              </w:rPr>
            </w:pPr>
            <w:r>
              <w:rPr>
                <w:rFonts w:hint="eastAsia" w:ascii="仿宋" w:hAnsi="仿宋" w:eastAsia="仿宋" w:cs="仿宋"/>
                <w:kern w:val="0"/>
                <w:sz w:val="24"/>
                <w:szCs w:val="24"/>
              </w:rPr>
              <w:t>接到投诉时，一次扣1分；出现整改和处理后仍然不满足要求的情况，每5日为一个周期追扣2分，不满一个周期的算一个周期；</w:t>
            </w:r>
          </w:p>
        </w:tc>
        <w:tc>
          <w:tcPr>
            <w:tcW w:w="779" w:type="dxa"/>
            <w:shd w:val="clear" w:color="auto" w:fill="auto"/>
            <w:tcMar>
              <w:top w:w="0" w:type="dxa"/>
              <w:left w:w="105" w:type="dxa"/>
              <w:bottom w:w="0" w:type="dxa"/>
              <w:right w:w="105" w:type="dxa"/>
            </w:tcMar>
            <w:vAlign w:val="top"/>
          </w:tcPr>
          <w:p>
            <w:pPr>
              <w:keepNext w:val="0"/>
              <w:keepLines w:val="0"/>
              <w:widowControl/>
              <w:suppressLineNumbers w:val="0"/>
              <w:spacing w:line="240" w:lineRule="auto"/>
              <w:jc w:val="left"/>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vMerge w:val="continue"/>
            <w:shd w:val="clear" w:color="auto" w:fill="auto"/>
            <w:tcMar>
              <w:top w:w="0" w:type="dxa"/>
              <w:left w:w="105" w:type="dxa"/>
              <w:bottom w:w="0" w:type="dxa"/>
              <w:right w:w="105" w:type="dxa"/>
            </w:tcMar>
            <w:vAlign w:val="center"/>
          </w:tcPr>
          <w:p>
            <w:pPr>
              <w:spacing w:line="240" w:lineRule="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响应速度</w:t>
            </w:r>
          </w:p>
        </w:tc>
        <w:tc>
          <w:tcPr>
            <w:tcW w:w="6248" w:type="dxa"/>
            <w:gridSpan w:val="3"/>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ind w:left="0" w:firstLine="0"/>
              <w:rPr>
                <w:rFonts w:hint="eastAsia" w:ascii="仿宋" w:hAnsi="仿宋" w:eastAsia="仿宋" w:cs="仿宋"/>
                <w:kern w:val="0"/>
                <w:sz w:val="24"/>
                <w:szCs w:val="24"/>
              </w:rPr>
            </w:pPr>
            <w:r>
              <w:rPr>
                <w:rFonts w:hint="eastAsia" w:ascii="仿宋" w:hAnsi="仿宋" w:eastAsia="仿宋" w:cs="仿宋"/>
                <w:kern w:val="0"/>
                <w:sz w:val="24"/>
                <w:szCs w:val="24"/>
              </w:rPr>
              <w:t>若需要现场支持时，须及时响应，不响应扣1分；发现异常不处理或未向采购人及时汇报，扣0.5分；服务期内不接听电话，每次扣0.5分；微信群响应不及时或不按规定响应，每次扣0.1分；</w:t>
            </w:r>
          </w:p>
        </w:tc>
        <w:tc>
          <w:tcPr>
            <w:tcW w:w="779" w:type="dxa"/>
            <w:shd w:val="clear" w:color="auto" w:fill="auto"/>
            <w:tcMar>
              <w:top w:w="0" w:type="dxa"/>
              <w:left w:w="105" w:type="dxa"/>
              <w:bottom w:w="0" w:type="dxa"/>
              <w:right w:w="105" w:type="dxa"/>
            </w:tcMar>
            <w:vAlign w:val="top"/>
          </w:tcPr>
          <w:p>
            <w:pPr>
              <w:keepNext w:val="0"/>
              <w:keepLines w:val="0"/>
              <w:widowControl/>
              <w:suppressLineNumbers w:val="0"/>
              <w:spacing w:line="240" w:lineRule="auto"/>
              <w:jc w:val="left"/>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vMerge w:val="continue"/>
            <w:shd w:val="clear" w:color="auto" w:fill="auto"/>
            <w:tcMar>
              <w:top w:w="0" w:type="dxa"/>
              <w:left w:w="105" w:type="dxa"/>
              <w:bottom w:w="0" w:type="dxa"/>
              <w:right w:w="105" w:type="dxa"/>
            </w:tcMar>
            <w:vAlign w:val="center"/>
          </w:tcPr>
          <w:p>
            <w:pPr>
              <w:spacing w:line="240" w:lineRule="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备件供应</w:t>
            </w:r>
          </w:p>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(本项仅涉及提供硬件的供应商)</w:t>
            </w:r>
          </w:p>
        </w:tc>
        <w:tc>
          <w:tcPr>
            <w:tcW w:w="6248" w:type="dxa"/>
            <w:gridSpan w:val="3"/>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提供该专线网络的稳定、连续运行，并提供365天的7×24小时不间断服务，若遇故障应在2小时内排除故障，若遇采购人业务高发期，保证1个小时内故障排除；若遇计划内的线路割接，应提前24小时告知采购人，并开通备用线路供采购人使用；若遇意外故障，供应商应保证4小时内业务恢复，超过8小时业务未恢复的，供应商应提供备用计划，超过24小时无法恢复服务一次扣5分；未按规定进行机房基础维护每次扣0.5分</w:t>
            </w:r>
            <w:r>
              <w:rPr>
                <w:rFonts w:hint="eastAsia" w:ascii="仿宋" w:hAnsi="仿宋" w:eastAsia="仿宋" w:cs="仿宋"/>
                <w:kern w:val="0"/>
                <w:sz w:val="24"/>
                <w:szCs w:val="24"/>
              </w:rPr>
              <w:t>；</w:t>
            </w:r>
          </w:p>
        </w:tc>
        <w:tc>
          <w:tcPr>
            <w:tcW w:w="779" w:type="dxa"/>
            <w:shd w:val="clear" w:color="auto" w:fill="auto"/>
            <w:tcMar>
              <w:top w:w="0" w:type="dxa"/>
              <w:left w:w="105" w:type="dxa"/>
              <w:bottom w:w="0" w:type="dxa"/>
              <w:right w:w="105" w:type="dxa"/>
            </w:tcMar>
            <w:vAlign w:val="top"/>
          </w:tcPr>
          <w:p>
            <w:pPr>
              <w:keepNext w:val="0"/>
              <w:keepLines w:val="0"/>
              <w:widowControl/>
              <w:suppressLineNumbers w:val="0"/>
              <w:spacing w:line="240" w:lineRule="auto"/>
              <w:jc w:val="left"/>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263" w:type="dxa"/>
            <w:vMerge w:val="restart"/>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after="195" w:afterAutospacing="0"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违规违</w:t>
            </w:r>
          </w:p>
          <w:p>
            <w:pPr>
              <w:pStyle w:val="47"/>
              <w:keepNext w:val="0"/>
              <w:keepLines w:val="0"/>
              <w:widowControl/>
              <w:suppressLineNumbers w:val="0"/>
              <w:autoSpaceDE w:val="0"/>
              <w:autoSpaceDN/>
              <w:spacing w:after="195" w:afterAutospacing="0"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纪评价</w:t>
            </w:r>
          </w:p>
        </w:tc>
        <w:tc>
          <w:tcPr>
            <w:tcW w:w="1558" w:type="dxa"/>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after="195" w:afterAutospacing="0"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廉洁从业</w:t>
            </w:r>
          </w:p>
        </w:tc>
        <w:tc>
          <w:tcPr>
            <w:tcW w:w="6248" w:type="dxa"/>
            <w:gridSpan w:val="3"/>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rPr>
                <w:rFonts w:hint="eastAsia" w:ascii="仿宋" w:hAnsi="仿宋" w:eastAsia="仿宋" w:cs="仿宋"/>
                <w:kern w:val="0"/>
                <w:sz w:val="24"/>
                <w:szCs w:val="24"/>
              </w:rPr>
            </w:pPr>
            <w:r>
              <w:rPr>
                <w:rStyle w:val="48"/>
                <w:rFonts w:hint="eastAsia" w:ascii="仿宋" w:hAnsi="仿宋" w:eastAsia="仿宋" w:cs="仿宋"/>
                <w:b/>
                <w:bCs w:val="0"/>
                <w:sz w:val="24"/>
                <w:szCs w:val="24"/>
              </w:rPr>
              <w:t>违反行业廉洁要求或违法违纪行为，一旦查实，一票否决</w:t>
            </w:r>
          </w:p>
        </w:tc>
        <w:tc>
          <w:tcPr>
            <w:tcW w:w="779" w:type="dxa"/>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一票否决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vMerge w:val="continue"/>
            <w:shd w:val="clear" w:color="auto" w:fill="auto"/>
            <w:tcMar>
              <w:top w:w="0" w:type="dxa"/>
              <w:left w:w="105" w:type="dxa"/>
              <w:bottom w:w="0" w:type="dxa"/>
              <w:right w:w="105" w:type="dxa"/>
            </w:tcMar>
            <w:vAlign w:val="center"/>
          </w:tcPr>
          <w:p>
            <w:pPr>
              <w:spacing w:line="240" w:lineRule="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安全规范</w:t>
            </w:r>
          </w:p>
        </w:tc>
        <w:tc>
          <w:tcPr>
            <w:tcW w:w="6248" w:type="dxa"/>
            <w:gridSpan w:val="3"/>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rPr>
                <w:rFonts w:hint="eastAsia" w:ascii="仿宋" w:hAnsi="仿宋" w:eastAsia="仿宋" w:cs="仿宋"/>
                <w:kern w:val="0"/>
                <w:sz w:val="24"/>
                <w:szCs w:val="24"/>
              </w:rPr>
            </w:pPr>
            <w:r>
              <w:rPr>
                <w:rFonts w:hint="eastAsia" w:ascii="仿宋" w:hAnsi="仿宋" w:eastAsia="仿宋" w:cs="仿宋"/>
                <w:kern w:val="0"/>
                <w:sz w:val="24"/>
                <w:szCs w:val="24"/>
              </w:rPr>
              <w:t>不遵守安全生产规范，每次扣2分；</w:t>
            </w:r>
          </w:p>
        </w:tc>
        <w:tc>
          <w:tcPr>
            <w:tcW w:w="779" w:type="dxa"/>
            <w:shd w:val="clear" w:color="auto" w:fill="auto"/>
            <w:tcMar>
              <w:top w:w="0" w:type="dxa"/>
              <w:left w:w="105" w:type="dxa"/>
              <w:bottom w:w="0" w:type="dxa"/>
              <w:right w:w="105" w:type="dxa"/>
            </w:tcMar>
            <w:vAlign w:val="center"/>
          </w:tcPr>
          <w:p>
            <w:pPr>
              <w:keepNext w:val="0"/>
              <w:keepLines w:val="0"/>
              <w:widowControl/>
              <w:suppressLineNumbers w:val="0"/>
              <w:spacing w:line="240" w:lineRule="auto"/>
              <w:jc w:val="left"/>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vMerge w:val="continue"/>
            <w:shd w:val="clear" w:color="auto" w:fill="auto"/>
            <w:tcMar>
              <w:top w:w="0" w:type="dxa"/>
              <w:left w:w="105" w:type="dxa"/>
              <w:bottom w:w="0" w:type="dxa"/>
              <w:right w:w="105" w:type="dxa"/>
            </w:tcMar>
            <w:vAlign w:val="center"/>
          </w:tcPr>
          <w:p>
            <w:pPr>
              <w:spacing w:line="240" w:lineRule="auto"/>
              <w:rPr>
                <w:rFonts w:hint="eastAsia" w:ascii="仿宋" w:hAnsi="仿宋" w:eastAsia="仿宋" w:cs="仿宋"/>
                <w:sz w:val="24"/>
                <w:szCs w:val="24"/>
              </w:rPr>
            </w:pPr>
          </w:p>
        </w:tc>
        <w:tc>
          <w:tcPr>
            <w:tcW w:w="1558" w:type="dxa"/>
            <w:shd w:val="clear" w:color="auto" w:fill="auto"/>
            <w:tcMar>
              <w:top w:w="0" w:type="dxa"/>
              <w:left w:w="105" w:type="dxa"/>
              <w:bottom w:w="0" w:type="dxa"/>
              <w:right w:w="105" w:type="dxa"/>
            </w:tcMar>
            <w:vAlign w:val="center"/>
          </w:tcPr>
          <w:p>
            <w:pPr>
              <w:pStyle w:val="47"/>
              <w:keepNext w:val="0"/>
              <w:keepLines w:val="0"/>
              <w:widowControl/>
              <w:suppressLineNumbers w:val="0"/>
              <w:autoSpaceDE w:val="0"/>
              <w:autoSpaceDN/>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其他违纪违规</w:t>
            </w:r>
          </w:p>
        </w:tc>
        <w:tc>
          <w:tcPr>
            <w:tcW w:w="6248" w:type="dxa"/>
            <w:gridSpan w:val="3"/>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rPr>
                <w:rFonts w:hint="eastAsia" w:ascii="仿宋" w:hAnsi="仿宋" w:eastAsia="仿宋" w:cs="仿宋"/>
                <w:kern w:val="0"/>
                <w:sz w:val="24"/>
                <w:szCs w:val="24"/>
              </w:rPr>
            </w:pPr>
            <w:r>
              <w:rPr>
                <w:rFonts w:hint="eastAsia" w:ascii="仿宋" w:hAnsi="仿宋" w:eastAsia="仿宋" w:cs="仿宋"/>
                <w:kern w:val="0"/>
                <w:sz w:val="24"/>
                <w:szCs w:val="24"/>
              </w:rPr>
              <w:t>其它不利于医院信息化建设相关行为，视情节严重程度，经采购人讨论酌情扣分</w:t>
            </w:r>
          </w:p>
        </w:tc>
        <w:tc>
          <w:tcPr>
            <w:tcW w:w="779" w:type="dxa"/>
            <w:shd w:val="clear" w:color="auto" w:fill="auto"/>
            <w:tcMar>
              <w:top w:w="0" w:type="dxa"/>
              <w:left w:w="105" w:type="dxa"/>
              <w:bottom w:w="0" w:type="dxa"/>
              <w:right w:w="105" w:type="dxa"/>
            </w:tcMar>
            <w:vAlign w:val="center"/>
          </w:tcPr>
          <w:p>
            <w:pPr>
              <w:keepNext w:val="0"/>
              <w:keepLines w:val="0"/>
              <w:widowControl/>
              <w:suppressLineNumbers w:val="0"/>
              <w:spacing w:line="240" w:lineRule="auto"/>
              <w:jc w:val="left"/>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扣分合计</w:t>
            </w:r>
          </w:p>
        </w:tc>
        <w:tc>
          <w:tcPr>
            <w:tcW w:w="8585" w:type="dxa"/>
            <w:gridSpan w:val="5"/>
            <w:shd w:val="clear" w:color="auto" w:fill="auto"/>
            <w:tcMar>
              <w:top w:w="0" w:type="dxa"/>
              <w:left w:w="105" w:type="dxa"/>
              <w:bottom w:w="0" w:type="dxa"/>
              <w:right w:w="105" w:type="dxa"/>
            </w:tcMar>
            <w:vAlign w:val="center"/>
          </w:tcPr>
          <w:p>
            <w:pPr>
              <w:keepNext w:val="0"/>
              <w:keepLines w:val="0"/>
              <w:widowControl/>
              <w:suppressLineNumbers w:val="0"/>
              <w:spacing w:line="240" w:lineRule="auto"/>
              <w:jc w:val="left"/>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263" w:type="dxa"/>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jc w:val="center"/>
              <w:rPr>
                <w:rFonts w:hint="eastAsia" w:ascii="仿宋" w:hAnsi="仿宋" w:eastAsia="仿宋" w:cs="仿宋"/>
                <w:kern w:val="0"/>
                <w:sz w:val="24"/>
                <w:szCs w:val="24"/>
              </w:rPr>
            </w:pPr>
            <w:r>
              <w:rPr>
                <w:rStyle w:val="48"/>
                <w:rFonts w:hint="eastAsia" w:ascii="仿宋" w:hAnsi="仿宋" w:eastAsia="仿宋" w:cs="仿宋"/>
                <w:b/>
                <w:bCs w:val="0"/>
                <w:sz w:val="24"/>
                <w:szCs w:val="24"/>
              </w:rPr>
              <w:t>考核人</w:t>
            </w:r>
          </w:p>
        </w:tc>
        <w:tc>
          <w:tcPr>
            <w:tcW w:w="8585" w:type="dxa"/>
            <w:gridSpan w:val="5"/>
            <w:shd w:val="clear" w:color="auto" w:fill="auto"/>
            <w:tcMar>
              <w:top w:w="0" w:type="dxa"/>
              <w:left w:w="105" w:type="dxa"/>
              <w:bottom w:w="0" w:type="dxa"/>
              <w:right w:w="105" w:type="dxa"/>
            </w:tcMar>
            <w:vAlign w:val="center"/>
          </w:tcPr>
          <w:p>
            <w:pPr>
              <w:pStyle w:val="47"/>
              <w:keepNext w:val="0"/>
              <w:keepLines w:val="0"/>
              <w:widowControl/>
              <w:suppressLineNumbers w:val="0"/>
              <w:spacing w:line="240" w:lineRule="auto"/>
              <w:rPr>
                <w:rFonts w:hint="eastAsia" w:ascii="仿宋" w:hAnsi="仿宋" w:eastAsia="仿宋" w:cs="仿宋"/>
                <w:kern w:val="0"/>
                <w:sz w:val="24"/>
                <w:szCs w:val="24"/>
              </w:rPr>
            </w:pPr>
            <w:r>
              <w:rPr>
                <w:rFonts w:hint="eastAsia" w:ascii="仿宋" w:hAnsi="仿宋" w:eastAsia="仿宋" w:cs="仿宋"/>
                <w:kern w:val="0"/>
                <w:sz w:val="24"/>
                <w:szCs w:val="24"/>
              </w:rPr>
              <w:t>                                                               年    月    日</w:t>
            </w:r>
          </w:p>
        </w:tc>
      </w:tr>
    </w:tbl>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0" w:firstLineChars="0"/>
        <w:textAlignment w:val="auto"/>
        <w:rPr>
          <w:rFonts w:hint="eastAsia" w:ascii="仿宋" w:hAnsi="仿宋" w:eastAsia="仿宋" w:cs="仿宋"/>
          <w:color w:val="auto"/>
          <w:sz w:val="24"/>
          <w:szCs w:val="24"/>
          <w:lang w:val="zh-TW"/>
        </w:rPr>
      </w:pPr>
      <w:r>
        <w:rPr>
          <w:rFonts w:hint="eastAsia" w:ascii="仿宋" w:hAnsi="仿宋" w:eastAsia="仿宋" w:cs="仿宋"/>
          <w:color w:val="auto"/>
          <w:sz w:val="24"/>
          <w:szCs w:val="24"/>
          <w:lang w:val="zh-TW"/>
        </w:rPr>
        <w:t>备注：</w:t>
      </w:r>
    </w:p>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lang w:val="zh-TW"/>
        </w:rPr>
      </w:pPr>
      <w:r>
        <w:rPr>
          <w:rFonts w:hint="eastAsia" w:ascii="仿宋" w:hAnsi="仿宋" w:eastAsia="仿宋" w:cs="仿宋"/>
          <w:color w:val="auto"/>
          <w:sz w:val="24"/>
          <w:szCs w:val="24"/>
          <w:lang w:val="zh-TW"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TW" w:eastAsia="zh-CN"/>
        </w:rPr>
        <w:t>）</w:t>
      </w:r>
      <w:r>
        <w:rPr>
          <w:rFonts w:hint="eastAsia" w:ascii="仿宋" w:hAnsi="仿宋" w:eastAsia="仿宋" w:cs="仿宋"/>
          <w:color w:val="auto"/>
          <w:sz w:val="24"/>
          <w:szCs w:val="24"/>
          <w:lang w:val="zh-TW"/>
        </w:rPr>
        <w:t>服务期内，采购人可按照本项目采购需求内容对应的考核指标对供应商进行考核，具体指标以采购人要求为准；</w:t>
      </w:r>
    </w:p>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lang w:val="zh-TW"/>
        </w:rPr>
      </w:pPr>
      <w:r>
        <w:rPr>
          <w:rFonts w:hint="eastAsia" w:ascii="仿宋" w:hAnsi="仿宋" w:eastAsia="仿宋" w:cs="仿宋"/>
          <w:color w:val="auto"/>
          <w:sz w:val="24"/>
          <w:szCs w:val="24"/>
          <w:lang w:val="zh-TW"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TW" w:eastAsia="zh-CN"/>
        </w:rPr>
        <w:t>）</w:t>
      </w:r>
      <w:r>
        <w:rPr>
          <w:rFonts w:hint="eastAsia" w:ascii="仿宋" w:hAnsi="仿宋" w:eastAsia="仿宋" w:cs="仿宋"/>
          <w:color w:val="auto"/>
          <w:sz w:val="24"/>
          <w:szCs w:val="24"/>
          <w:lang w:val="zh-TW"/>
        </w:rPr>
        <w:t>考核关联最终付款金额，具体计算规则如下：</w:t>
      </w:r>
    </w:p>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lang w:val="zh-TW" w:eastAsia="zh-CN"/>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TW"/>
        </w:rPr>
        <w:t>平均扣分=服务期汇总考核扣分之和÷服务期内考核次数</w:t>
      </w:r>
      <w:r>
        <w:rPr>
          <w:rFonts w:hint="eastAsia" w:ascii="仿宋" w:hAnsi="仿宋" w:eastAsia="仿宋" w:cs="仿宋"/>
          <w:color w:val="auto"/>
          <w:sz w:val="24"/>
          <w:szCs w:val="24"/>
          <w:lang w:val="zh-TW" w:eastAsia="zh-CN"/>
        </w:rPr>
        <w:t>；</w:t>
      </w:r>
    </w:p>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lang w:val="zh-TW"/>
        </w:rPr>
      </w:pPr>
      <w:r>
        <w:rPr>
          <w:rFonts w:hint="eastAsia" w:ascii="仿宋" w:hAnsi="仿宋" w:eastAsia="仿宋" w:cs="仿宋"/>
          <w:color w:val="auto"/>
          <w:sz w:val="24"/>
          <w:szCs w:val="24"/>
          <w:lang w:val="zh-TW"/>
        </w:rPr>
        <w:t>2）0分&lt;平均扣分≤3分，将对供应商进行诫勉谈话；</w:t>
      </w:r>
    </w:p>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lang w:val="zh-TW"/>
        </w:rPr>
      </w:pPr>
      <w:r>
        <w:rPr>
          <w:rFonts w:hint="eastAsia" w:ascii="仿宋" w:hAnsi="仿宋" w:eastAsia="仿宋" w:cs="仿宋"/>
          <w:color w:val="auto"/>
          <w:sz w:val="24"/>
          <w:szCs w:val="24"/>
          <w:lang w:val="zh-TW"/>
        </w:rPr>
        <w:t>3）3分&lt;平均扣分≤5分，对供应商提出警告，从合同待支付金额中扣除合同</w:t>
      </w:r>
      <w:r>
        <w:rPr>
          <w:rFonts w:hint="eastAsia" w:ascii="仿宋" w:hAnsi="仿宋" w:eastAsia="仿宋" w:cs="仿宋"/>
          <w:color w:val="auto"/>
          <w:sz w:val="24"/>
          <w:szCs w:val="24"/>
          <w:lang w:val="en-US" w:eastAsia="zh-CN"/>
        </w:rPr>
        <w:t>总</w:t>
      </w:r>
      <w:r>
        <w:rPr>
          <w:rFonts w:hint="eastAsia" w:ascii="仿宋" w:hAnsi="仿宋" w:eastAsia="仿宋" w:cs="仿宋"/>
          <w:color w:val="auto"/>
          <w:sz w:val="24"/>
          <w:szCs w:val="24"/>
          <w:lang w:val="zh-TW"/>
        </w:rPr>
        <w:t>金额5%费用，扣完为止；</w:t>
      </w:r>
    </w:p>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lang w:val="zh-TW"/>
        </w:rPr>
      </w:pPr>
      <w:r>
        <w:rPr>
          <w:rFonts w:hint="eastAsia" w:ascii="仿宋" w:hAnsi="仿宋" w:eastAsia="仿宋" w:cs="仿宋"/>
          <w:color w:val="auto"/>
          <w:sz w:val="24"/>
          <w:szCs w:val="24"/>
          <w:lang w:val="zh-TW"/>
        </w:rPr>
        <w:t>4）5分&lt;平均扣分≤10分，对供应商提出严重警告，从合同待支付金额中扣除合同</w:t>
      </w:r>
      <w:r>
        <w:rPr>
          <w:rFonts w:hint="eastAsia" w:ascii="仿宋" w:hAnsi="仿宋" w:eastAsia="仿宋" w:cs="仿宋"/>
          <w:color w:val="auto"/>
          <w:sz w:val="24"/>
          <w:szCs w:val="24"/>
          <w:lang w:val="en-US" w:eastAsia="zh-CN"/>
        </w:rPr>
        <w:t>总</w:t>
      </w:r>
      <w:r>
        <w:rPr>
          <w:rFonts w:hint="eastAsia" w:ascii="仿宋" w:hAnsi="仿宋" w:eastAsia="仿宋" w:cs="仿宋"/>
          <w:color w:val="auto"/>
          <w:sz w:val="24"/>
          <w:szCs w:val="24"/>
          <w:lang w:val="zh-TW"/>
        </w:rPr>
        <w:t>金额10%费用，扣完为止；</w:t>
      </w:r>
    </w:p>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lang w:val="zh-TW"/>
        </w:rPr>
      </w:pPr>
      <w:r>
        <w:rPr>
          <w:rFonts w:hint="eastAsia" w:ascii="仿宋" w:hAnsi="仿宋" w:eastAsia="仿宋" w:cs="仿宋"/>
          <w:color w:val="auto"/>
          <w:sz w:val="24"/>
          <w:szCs w:val="24"/>
          <w:lang w:val="zh-TW"/>
        </w:rPr>
        <w:t>4）10分&lt;平均扣分，视为不合格，终止合同，合同待支付金额不予</w:t>
      </w:r>
      <w:r>
        <w:rPr>
          <w:rFonts w:hint="eastAsia" w:ascii="仿宋" w:hAnsi="仿宋" w:eastAsia="仿宋" w:cs="仿宋"/>
          <w:color w:val="auto"/>
          <w:sz w:val="24"/>
          <w:szCs w:val="24"/>
          <w:lang w:val="en-US" w:eastAsia="zh-CN"/>
        </w:rPr>
        <w:t>支付</w:t>
      </w:r>
      <w:r>
        <w:rPr>
          <w:rFonts w:hint="eastAsia" w:ascii="仿宋" w:hAnsi="仿宋" w:eastAsia="仿宋" w:cs="仿宋"/>
          <w:color w:val="auto"/>
          <w:sz w:val="24"/>
          <w:szCs w:val="24"/>
          <w:lang w:val="zh-TW"/>
        </w:rPr>
        <w:t>；</w:t>
      </w:r>
    </w:p>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lang w:val="zh-TW"/>
        </w:rPr>
      </w:pPr>
      <w:r>
        <w:rPr>
          <w:rFonts w:hint="eastAsia" w:ascii="仿宋" w:hAnsi="仿宋" w:eastAsia="仿宋" w:cs="仿宋"/>
          <w:color w:val="auto"/>
          <w:sz w:val="24"/>
          <w:szCs w:val="24"/>
          <w:lang w:val="zh-TW"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TW" w:eastAsia="zh-CN"/>
        </w:rPr>
        <w:t>）</w:t>
      </w:r>
      <w:r>
        <w:rPr>
          <w:rFonts w:hint="eastAsia" w:ascii="仿宋" w:hAnsi="仿宋" w:eastAsia="仿宋" w:cs="仿宋"/>
          <w:color w:val="auto"/>
          <w:sz w:val="24"/>
          <w:szCs w:val="24"/>
          <w:lang w:val="zh-TW"/>
        </w:rPr>
        <w:t>供应商出现一票否决时，将对其违法违纪的相关情况汇报院纪委，同时按供应商违约情况取消本次合作，扣除所有剩余款项，并保留后续追究供应商责任的权利。</w:t>
      </w:r>
    </w:p>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lang w:val="zh-TW"/>
        </w:rPr>
      </w:pPr>
      <w:r>
        <w:rPr>
          <w:rFonts w:hint="eastAsia" w:ascii="仿宋" w:hAnsi="仿宋" w:eastAsia="仿宋" w:cs="仿宋"/>
          <w:color w:val="auto"/>
          <w:sz w:val="24"/>
          <w:szCs w:val="24"/>
          <w:lang w:val="zh-TW" w:eastAsia="zh-CN"/>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TW" w:eastAsia="zh-CN"/>
        </w:rPr>
        <w:t>）</w:t>
      </w:r>
      <w:r>
        <w:rPr>
          <w:rFonts w:hint="eastAsia" w:ascii="仿宋" w:hAnsi="仿宋" w:eastAsia="仿宋" w:cs="仿宋"/>
          <w:color w:val="auto"/>
          <w:sz w:val="24"/>
          <w:szCs w:val="24"/>
          <w:lang w:val="zh-TW"/>
        </w:rPr>
        <w:t>如合同待支付金额或履约保证金中无款可扣且考核后出现扣款情况，乙方承诺在得到甲方考核结果后的10日内向甲方缴纳对应的扣款金额。</w:t>
      </w:r>
      <w:r>
        <w:rPr>
          <w:rFonts w:hint="eastAsia" w:ascii="仿宋" w:hAnsi="仿宋" w:eastAsia="仿宋" w:cs="仿宋"/>
          <w:b/>
          <w:bCs/>
          <w:color w:val="auto"/>
          <w:sz w:val="24"/>
          <w:szCs w:val="24"/>
          <w:lang w:val="zh-TW"/>
        </w:rPr>
        <w:t>（提供承诺函）</w:t>
      </w:r>
    </w:p>
    <w:p>
      <w:pPr>
        <w:pStyle w:val="14"/>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480" w:firstLineChars="200"/>
        <w:textAlignment w:val="auto"/>
        <w:rPr>
          <w:rFonts w:hint="default" w:cs="Times New Roman" w:asciiTheme="majorEastAsia" w:hAnsiTheme="majorEastAsia" w:eastAsiaTheme="majorEastAsia"/>
          <w:b/>
          <w:bCs/>
          <w:color w:val="auto"/>
          <w:szCs w:val="36"/>
          <w:lang w:val="zh-TW"/>
        </w:rPr>
      </w:pPr>
      <w:r>
        <w:rPr>
          <w:rFonts w:hint="eastAsia" w:ascii="仿宋" w:hAnsi="仿宋" w:eastAsia="仿宋" w:cs="仿宋"/>
          <w:color w:val="auto"/>
          <w:sz w:val="24"/>
          <w:szCs w:val="24"/>
          <w:lang w:val="zh-TW" w:eastAsia="zh-CN"/>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val="zh-TW" w:eastAsia="zh-CN"/>
        </w:rPr>
        <w:t>）</w:t>
      </w:r>
      <w:r>
        <w:rPr>
          <w:rFonts w:hint="eastAsia" w:ascii="仿宋" w:hAnsi="仿宋" w:eastAsia="仿宋" w:cs="仿宋"/>
          <w:color w:val="auto"/>
          <w:sz w:val="24"/>
          <w:szCs w:val="24"/>
          <w:lang w:val="zh-TW"/>
        </w:rPr>
        <w:t>本考核指标最终解释权归</w:t>
      </w:r>
      <w:r>
        <w:rPr>
          <w:rFonts w:hint="eastAsia" w:ascii="仿宋" w:hAnsi="仿宋" w:eastAsia="仿宋" w:cs="仿宋"/>
          <w:color w:val="auto"/>
          <w:sz w:val="24"/>
          <w:szCs w:val="24"/>
          <w:lang w:val="zh-TW" w:eastAsia="zh-CN"/>
        </w:rPr>
        <w:t>四川省精神医学中心</w:t>
      </w:r>
      <w:r>
        <w:rPr>
          <w:rFonts w:hint="eastAsia" w:ascii="仿宋" w:hAnsi="仿宋" w:eastAsia="仿宋" w:cs="仿宋"/>
          <w:color w:val="auto"/>
          <w:sz w:val="24"/>
          <w:szCs w:val="24"/>
          <w:lang w:val="zh-TW"/>
        </w:rPr>
        <w:t>。</w:t>
      </w:r>
      <w:r>
        <w:rPr>
          <w:rFonts w:hint="default"/>
          <w:color w:val="auto"/>
          <w:lang w:val="zh-TW"/>
        </w:rPr>
        <w:br w:type="page"/>
      </w:r>
    </w:p>
    <w:p>
      <w:pPr>
        <w:pStyle w:val="2"/>
        <w:rPr>
          <w:rFonts w:cs="Times New Roman" w:asciiTheme="majorEastAsia" w:hAnsiTheme="majorEastAsia" w:eastAsiaTheme="majorEastAsia"/>
          <w:szCs w:val="36"/>
          <w:lang w:val="zh-TW"/>
        </w:rPr>
      </w:pPr>
      <w:r>
        <w:fldChar w:fldCharType="begin"/>
      </w:r>
      <w:r>
        <w:instrText xml:space="preserve"> HYPERLINK \l "目录" </w:instrText>
      </w:r>
      <w:r>
        <w:fldChar w:fldCharType="separate"/>
      </w:r>
      <w:r>
        <w:rPr>
          <w:rStyle w:val="20"/>
          <w:rFonts w:hint="eastAsia" w:cs="Times New Roman" w:asciiTheme="majorEastAsia" w:hAnsiTheme="majorEastAsia" w:eastAsiaTheme="majorEastAsia"/>
          <w:szCs w:val="36"/>
          <w:u w:val="none"/>
          <w:lang w:val="zh-TW"/>
        </w:rPr>
        <w:t>报价文件</w:t>
      </w:r>
      <w:r>
        <w:rPr>
          <w:rStyle w:val="20"/>
          <w:rFonts w:hint="eastAsia" w:cs="Times New Roman" w:asciiTheme="majorEastAsia" w:hAnsiTheme="majorEastAsia" w:eastAsiaTheme="majorEastAsia"/>
          <w:szCs w:val="36"/>
          <w:u w:val="none"/>
          <w:lang w:val="zh-TW"/>
        </w:rPr>
        <w:fldChar w:fldCharType="end"/>
      </w:r>
      <w:bookmarkEnd w:id="9"/>
      <w:r>
        <w:rPr>
          <w:rFonts w:hint="eastAsia"/>
          <w:lang w:val="en-US"/>
        </w:rPr>
        <w:t>格式</w:t>
      </w:r>
    </w:p>
    <w:bookmarkEnd w:id="10"/>
    <w:p>
      <w:pPr>
        <w:pStyle w:val="6"/>
        <w:numPr>
          <w:ilvl w:val="0"/>
          <w:numId w:val="13"/>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pPr>
        <w:pStyle w:val="6"/>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pPr>
        <w:pStyle w:val="6"/>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pPr>
        <w:pStyle w:val="6"/>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pPr>
        <w:pStyle w:val="6"/>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pPr>
        <w:pStyle w:val="6"/>
        <w:jc w:val="left"/>
        <w:rPr>
          <w:rFonts w:hint="default" w:ascii="Times New Roman" w:hAnsi="Times New Roman" w:eastAsia="宋体" w:cs="Times New Roman"/>
          <w:color w:val="auto"/>
          <w:sz w:val="24"/>
          <w:szCs w:val="24"/>
        </w:rPr>
      </w:pPr>
    </w:p>
    <w:p>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pPr>
        <w:pStyle w:val="6"/>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pPr>
        <w:pStyle w:val="6"/>
        <w:jc w:val="center"/>
        <w:rPr>
          <w:rFonts w:hint="default" w:ascii="Times New Roman" w:hAnsi="Times New Roman" w:eastAsia="宋体" w:cs="Times New Roman"/>
          <w:b/>
          <w:bCs/>
          <w:color w:val="auto"/>
          <w:sz w:val="24"/>
          <w:szCs w:val="24"/>
          <w:lang w:val="zh-TW"/>
        </w:rPr>
      </w:pPr>
    </w:p>
    <w:p>
      <w:pPr>
        <w:jc w:val="left"/>
        <w:rPr>
          <w:rFonts w:hint="default" w:ascii="Times New Roman" w:hAnsi="Times New Roman" w:eastAsia="宋体" w:cs="Times New Roman"/>
          <w:color w:val="auto"/>
          <w:sz w:val="24"/>
          <w:szCs w:val="24"/>
        </w:rPr>
      </w:pPr>
      <w:bookmarkStart w:id="11" w:name="_Toc9428"/>
      <w:bookmarkStart w:id="12" w:name="_Toc19851"/>
      <w:bookmarkStart w:id="13" w:name="_Toc30609"/>
    </w:p>
    <w:p>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1"/>
      <w:bookmarkEnd w:id="12"/>
      <w:bookmarkEnd w:id="13"/>
      <w:r>
        <w:rPr>
          <w:rFonts w:ascii="Times New Roman" w:hAnsi="Times New Roman" w:eastAsia="宋体" w:cs="Times New Roman"/>
          <w:b/>
          <w:bCs/>
          <w:color w:val="auto"/>
          <w:sz w:val="28"/>
          <w:szCs w:val="28"/>
          <w:u w:val="single"/>
        </w:rPr>
        <w:t>XXX</w:t>
      </w:r>
    </w:p>
    <w:p>
      <w:pPr>
        <w:jc w:val="left"/>
        <w:rPr>
          <w:rFonts w:hint="default" w:ascii="Times New Roman" w:hAnsi="Times New Roman" w:eastAsia="宋体" w:cs="Times New Roman"/>
          <w:b/>
          <w:bCs/>
          <w:color w:val="auto"/>
          <w:sz w:val="28"/>
          <w:szCs w:val="28"/>
        </w:rPr>
      </w:pPr>
      <w:bookmarkStart w:id="14" w:name="_Toc9041"/>
      <w:bookmarkStart w:id="15" w:name="_Toc32352"/>
      <w:bookmarkStart w:id="16" w:name="_Toc1544"/>
      <w:r>
        <w:rPr>
          <w:rFonts w:hint="default" w:ascii="Times New Roman" w:hAnsi="Times New Roman" w:eastAsia="宋体" w:cs="Times New Roman"/>
          <w:b/>
          <w:bCs/>
          <w:color w:val="auto"/>
          <w:sz w:val="28"/>
          <w:szCs w:val="28"/>
        </w:rPr>
        <w:t>项目编号：</w:t>
      </w:r>
      <w:bookmarkEnd w:id="14"/>
      <w:bookmarkEnd w:id="15"/>
      <w:bookmarkEnd w:id="16"/>
      <w:r>
        <w:rPr>
          <w:rFonts w:ascii="Times New Roman" w:hAnsi="Times New Roman" w:eastAsia="宋体" w:cs="Times New Roman"/>
          <w:b/>
          <w:bCs/>
          <w:color w:val="auto"/>
          <w:sz w:val="28"/>
          <w:szCs w:val="28"/>
          <w:u w:val="single"/>
        </w:rPr>
        <w:t>XXX</w:t>
      </w:r>
    </w:p>
    <w:p>
      <w:pPr>
        <w:rPr>
          <w:rFonts w:hint="default" w:ascii="Times New Roman" w:hAnsi="Times New Roman" w:eastAsia="宋体" w:cs="Times New Roman"/>
          <w:color w:val="auto"/>
        </w:rPr>
      </w:pPr>
    </w:p>
    <w:p>
      <w:pPr>
        <w:rPr>
          <w:rFonts w:hint="default" w:ascii="Times New Roman" w:hAnsi="Times New Roman" w:eastAsia="宋体" w:cs="Times New Roman"/>
          <w:color w:val="auto"/>
        </w:rPr>
      </w:pPr>
    </w:p>
    <w:p>
      <w:pPr>
        <w:rPr>
          <w:rFonts w:hint="default" w:ascii="Times New Roman" w:hAnsi="Times New Roman" w:eastAsia="宋体" w:cs="Times New Roman"/>
          <w:color w:val="auto"/>
        </w:rPr>
      </w:pPr>
    </w:p>
    <w:p>
      <w:pPr>
        <w:jc w:val="left"/>
        <w:rPr>
          <w:rFonts w:hint="default" w:ascii="Times New Roman" w:hAnsi="Times New Roman" w:eastAsia="宋体" w:cs="Times New Roman"/>
          <w:color w:val="auto"/>
          <w:sz w:val="84"/>
          <w:szCs w:val="24"/>
        </w:rPr>
      </w:pPr>
      <w:bookmarkStart w:id="17" w:name="_Toc24097"/>
      <w:bookmarkStart w:id="18" w:name="_Toc21472"/>
    </w:p>
    <w:bookmarkEnd w:id="17"/>
    <w:bookmarkEnd w:id="18"/>
    <w:p>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pPr>
        <w:rPr>
          <w:rFonts w:hint="default" w:ascii="Times New Roman" w:hAnsi="Times New Roman" w:eastAsia="宋体" w:cs="Times New Roman"/>
          <w:color w:val="auto"/>
        </w:rPr>
      </w:pPr>
    </w:p>
    <w:p>
      <w:pPr>
        <w:rPr>
          <w:rFonts w:hint="default" w:ascii="Times New Roman" w:hAnsi="Times New Roman" w:eastAsia="宋体" w:cs="Times New Roman"/>
          <w:color w:val="auto"/>
        </w:rPr>
      </w:pPr>
    </w:p>
    <w:p>
      <w:pPr>
        <w:rPr>
          <w:rFonts w:hint="default" w:ascii="Times New Roman" w:hAnsi="Times New Roman" w:eastAsia="宋体" w:cs="Times New Roman"/>
          <w:color w:val="auto"/>
        </w:rPr>
      </w:pPr>
    </w:p>
    <w:p>
      <w:pPr>
        <w:rPr>
          <w:rFonts w:hint="default" w:ascii="Times New Roman" w:hAnsi="Times New Roman" w:eastAsia="宋体" w:cs="Times New Roman"/>
          <w:color w:val="auto"/>
        </w:rPr>
      </w:pPr>
    </w:p>
    <w:p>
      <w:pPr>
        <w:rPr>
          <w:rFonts w:hint="default" w:ascii="Times New Roman" w:hAnsi="Times New Roman" w:eastAsia="宋体" w:cs="Times New Roman"/>
          <w:color w:val="auto"/>
        </w:rPr>
      </w:pPr>
    </w:p>
    <w:p>
      <w:pPr>
        <w:jc w:val="left"/>
        <w:rPr>
          <w:rFonts w:hint="default" w:ascii="Times New Roman" w:hAnsi="Times New Roman" w:eastAsia="宋体" w:cs="Times New Roman"/>
          <w:color w:val="auto"/>
          <w:sz w:val="28"/>
          <w:szCs w:val="24"/>
        </w:rPr>
      </w:pPr>
      <w:bookmarkStart w:id="19" w:name="_Toc17163"/>
      <w:bookmarkStart w:id="20" w:name="_Toc24859"/>
      <w:bookmarkStart w:id="21" w:name="_Toc1690"/>
      <w:bookmarkStart w:id="22" w:name="_Toc32749"/>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color w:val="auto"/>
          <w:sz w:val="28"/>
          <w:szCs w:val="24"/>
        </w:rPr>
      </w:pPr>
    </w:p>
    <w:p>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9"/>
      <w:bookmarkEnd w:id="20"/>
      <w:bookmarkEnd w:id="21"/>
      <w:bookmarkEnd w:id="22"/>
      <w:r>
        <w:rPr>
          <w:rFonts w:ascii="Times New Roman" w:hAnsi="Times New Roman" w:eastAsia="宋体" w:cs="Times New Roman"/>
          <w:b/>
          <w:bCs/>
          <w:color w:val="auto"/>
          <w:sz w:val="28"/>
          <w:szCs w:val="24"/>
          <w:u w:val="double"/>
        </w:rPr>
        <w:t>XXX</w:t>
      </w:r>
    </w:p>
    <w:p>
      <w:pPr>
        <w:pStyle w:val="6"/>
        <w:rPr>
          <w:rFonts w:hint="default" w:eastAsia="宋体"/>
          <w:color w:val="auto"/>
        </w:rPr>
      </w:pPr>
    </w:p>
    <w:p>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pPr>
        <w:pStyle w:val="6"/>
        <w:rPr>
          <w:rFonts w:hint="default" w:eastAsia="宋体"/>
          <w:color w:val="auto"/>
        </w:rPr>
      </w:pPr>
    </w:p>
    <w:p>
      <w:pPr>
        <w:jc w:val="left"/>
        <w:rPr>
          <w:rFonts w:hint="default" w:ascii="Times New Roman" w:hAnsi="Times New Roman" w:eastAsia="宋体" w:cs="Times New Roman"/>
          <w:b/>
          <w:bCs/>
          <w:color w:val="auto"/>
          <w:sz w:val="28"/>
          <w:szCs w:val="24"/>
        </w:rPr>
      </w:pPr>
      <w:bookmarkStart w:id="23" w:name="_Toc5996"/>
      <w:bookmarkStart w:id="24" w:name="_Toc2989"/>
      <w:bookmarkStart w:id="25" w:name="_Toc27135"/>
      <w:bookmarkStart w:id="26" w:name="_Toc27526"/>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3"/>
      <w:bookmarkEnd w:id="24"/>
      <w:bookmarkEnd w:id="25"/>
      <w:bookmarkEnd w:id="26"/>
      <w:r>
        <w:rPr>
          <w:rFonts w:ascii="Times New Roman" w:hAnsi="Times New Roman" w:eastAsia="宋体" w:cs="Times New Roman"/>
          <w:b/>
          <w:bCs/>
          <w:color w:val="auto"/>
          <w:sz w:val="28"/>
          <w:szCs w:val="24"/>
          <w:u w:val="double"/>
        </w:rPr>
        <w:t>XXX</w:t>
      </w:r>
    </w:p>
    <w:p>
      <w:pPr>
        <w:pStyle w:val="6"/>
        <w:rPr>
          <w:rFonts w:hint="default" w:ascii="Times New Roman" w:hAnsi="Times New Roman" w:eastAsia="宋体" w:cs="Times New Roman"/>
          <w:color w:val="auto"/>
        </w:rPr>
      </w:pPr>
    </w:p>
    <w:p>
      <w:pPr>
        <w:pStyle w:val="6"/>
        <w:rPr>
          <w:rFonts w:hint="default" w:ascii="Times New Roman" w:hAnsi="Times New Roman" w:eastAsia="宋体" w:cs="Times New Roman"/>
          <w:color w:val="auto"/>
        </w:rPr>
      </w:pPr>
    </w:p>
    <w:p>
      <w:pPr>
        <w:pStyle w:val="6"/>
        <w:rPr>
          <w:rFonts w:hint="default" w:ascii="Times New Roman" w:hAnsi="Times New Roman" w:eastAsia="宋体" w:cs="Times New Roman"/>
          <w:color w:val="auto"/>
        </w:rPr>
      </w:pPr>
    </w:p>
    <w:p>
      <w:pPr>
        <w:pStyle w:val="6"/>
        <w:rPr>
          <w:rFonts w:hint="default" w:ascii="Times New Roman" w:hAnsi="Times New Roman" w:eastAsia="宋体" w:cs="Times New Roman"/>
          <w:color w:val="auto"/>
        </w:rPr>
      </w:pPr>
    </w:p>
    <w:p>
      <w:pPr>
        <w:pStyle w:val="6"/>
        <w:rPr>
          <w:rFonts w:hint="default" w:ascii="Times New Roman" w:hAnsi="Times New Roman" w:eastAsia="宋体" w:cs="Times New Roman"/>
          <w:color w:val="auto"/>
        </w:rPr>
      </w:pPr>
    </w:p>
    <w:p>
      <w:pPr>
        <w:pStyle w:val="6"/>
        <w:jc w:val="center"/>
        <w:rPr>
          <w:rFonts w:hint="default" w:ascii="Times New Roman" w:hAnsi="Times New Roman" w:eastAsia="宋体" w:cs="Times New Roman"/>
          <w:b/>
          <w:bCs/>
          <w:color w:val="auto"/>
          <w:sz w:val="24"/>
          <w:szCs w:val="24"/>
          <w:lang w:val="zh-TW" w:eastAsia="zh-TW"/>
        </w:rPr>
      </w:pPr>
      <w:bookmarkStart w:id="27" w:name="_Toc5056"/>
      <w:bookmarkStart w:id="28" w:name="_Toc2031"/>
      <w:bookmarkStart w:id="29" w:name="_Toc19987"/>
      <w:bookmarkStart w:id="30" w:name="_Toc7233"/>
      <w:r>
        <w:rPr>
          <w:rFonts w:hint="default" w:ascii="Times New Roman" w:hAnsi="Times New Roman" w:eastAsia="宋体" w:cs="Times New Roman"/>
          <w:color w:val="auto"/>
          <w:sz w:val="28"/>
          <w:szCs w:val="24"/>
        </w:rPr>
        <w:t>日期：</w:t>
      </w:r>
      <w:r>
        <w:rPr>
          <w:rFonts w:hint="eastAsia" w:ascii="Times New Roman" w:hAnsi="Times New Roman" w:eastAsia="宋体" w:cs="Times New Roman"/>
          <w:color w:val="auto"/>
          <w:sz w:val="28"/>
          <w:szCs w:val="24"/>
          <w:lang w:eastAsia="zh-CN"/>
        </w:rPr>
        <w:t>2026</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7"/>
      <w:bookmarkEnd w:id="28"/>
      <w:bookmarkEnd w:id="29"/>
      <w:bookmarkEnd w:id="30"/>
    </w:p>
    <w:p>
      <w:pPr>
        <w:rPr>
          <w:rFonts w:hint="default" w:cs="Times New Roman" w:asciiTheme="majorEastAsia" w:hAnsiTheme="majorEastAsia" w:eastAsiaTheme="majorEastAsia"/>
          <w:color w:val="auto"/>
          <w:sz w:val="30"/>
          <w:szCs w:val="30"/>
          <w:lang w:val="zh-TW" w:eastAsia="zh-TW"/>
        </w:rPr>
      </w:pPr>
      <w:bookmarkStart w:id="31" w:name="承诺函"/>
      <w:r>
        <w:rPr>
          <w:rFonts w:hint="default" w:cs="Times New Roman" w:asciiTheme="majorEastAsia" w:hAnsiTheme="majorEastAsia" w:eastAsiaTheme="majorEastAsia"/>
          <w:color w:val="auto"/>
          <w:sz w:val="30"/>
          <w:szCs w:val="30"/>
          <w:lang w:val="zh-TW" w:eastAsia="zh-TW"/>
        </w:rPr>
        <w:br w:type="page"/>
      </w:r>
    </w:p>
    <w:p>
      <w:pPr>
        <w:pStyle w:val="6"/>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1"/>
    <w:p>
      <w:pPr>
        <w:pStyle w:val="6"/>
        <w:jc w:val="left"/>
        <w:rPr>
          <w:rFonts w:hint="default" w:ascii="Times New Roman" w:hAnsi="Times New Roman" w:eastAsia="宋体" w:cs="Times New Roman"/>
          <w:b/>
          <w:bCs/>
          <w:color w:val="auto"/>
          <w:lang w:val="zh-TW"/>
        </w:rPr>
      </w:pPr>
    </w:p>
    <w:p>
      <w:pPr>
        <w:jc w:val="center"/>
        <w:rPr>
          <w:rStyle w:val="38"/>
          <w:rFonts w:hint="default" w:ascii="Times New Roman" w:hAnsi="Times New Roman" w:cs="Times New Roman" w:eastAsiaTheme="majorEastAsia"/>
          <w:b/>
          <w:bCs/>
          <w:color w:val="auto"/>
          <w:sz w:val="32"/>
          <w:szCs w:val="32"/>
        </w:rPr>
      </w:pPr>
      <w:r>
        <w:rPr>
          <w:rStyle w:val="38"/>
          <w:rFonts w:hint="default" w:ascii="Times New Roman" w:hAnsi="Times New Roman" w:cs="Times New Roman" w:eastAsiaTheme="majorEastAsia"/>
          <w:b/>
          <w:bCs/>
          <w:color w:val="auto"/>
          <w:sz w:val="32"/>
          <w:szCs w:val="32"/>
        </w:rPr>
        <w:t>承诺函</w:t>
      </w:r>
    </w:p>
    <w:p>
      <w:pPr>
        <w:pStyle w:val="6"/>
        <w:rPr>
          <w:rFonts w:hint="default" w:ascii="Times New Roman" w:hAnsi="Times New Roman" w:eastAsia="宋体" w:cs="Times New Roman"/>
          <w:color w:val="auto"/>
        </w:rPr>
      </w:pPr>
    </w:p>
    <w:p>
      <w:pPr>
        <w:spacing w:line="360" w:lineRule="auto"/>
        <w:contextualSpacing/>
        <w:rPr>
          <w:rFonts w:hint="default" w:ascii="宋体" w:hAnsi="宋体" w:eastAsia="宋体" w:cs="宋体"/>
          <w:color w:val="auto"/>
        </w:rPr>
      </w:pPr>
      <w:r>
        <w:rPr>
          <w:rFonts w:ascii="宋体" w:hAnsi="宋体" w:eastAsia="宋体" w:cs="宋体"/>
          <w:color w:val="auto"/>
        </w:rPr>
        <w:t>致</w:t>
      </w:r>
      <w:r>
        <w:rPr>
          <w:rFonts w:hint="eastAsia" w:ascii="宋体" w:hAnsi="宋体" w:eastAsia="宋体" w:cs="宋体"/>
          <w:color w:val="auto"/>
          <w:lang w:eastAsia="zh-CN"/>
        </w:rPr>
        <w:t>四川省精神医学中心</w:t>
      </w:r>
      <w:r>
        <w:rPr>
          <w:rFonts w:ascii="宋体" w:hAnsi="宋体" w:eastAsia="宋体" w:cs="宋体"/>
          <w:color w:val="auto"/>
        </w:rPr>
        <w:t>：</w:t>
      </w:r>
    </w:p>
    <w:p>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pPr>
        <w:pStyle w:val="6"/>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pPr>
        <w:adjustRightInd w:val="0"/>
        <w:spacing w:line="360" w:lineRule="auto"/>
        <w:ind w:firstLine="787" w:firstLineChars="375"/>
        <w:contextualSpacing/>
        <w:rPr>
          <w:rFonts w:hint="default" w:ascii="宋体" w:hAnsi="宋体" w:eastAsia="宋体" w:cs="宋体"/>
          <w:color w:val="auto"/>
        </w:rPr>
      </w:pPr>
    </w:p>
    <w:p>
      <w:pPr>
        <w:adjustRightInd w:val="0"/>
        <w:spacing w:line="360" w:lineRule="auto"/>
        <w:contextualSpacing/>
        <w:jc w:val="right"/>
        <w:rPr>
          <w:rFonts w:hint="default" w:ascii="宋体" w:hAnsi="宋体" w:eastAsia="宋体" w:cs="宋体"/>
          <w:color w:val="auto"/>
        </w:rPr>
      </w:pPr>
    </w:p>
    <w:p>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pPr>
        <w:pStyle w:val="6"/>
        <w:spacing w:line="360" w:lineRule="auto"/>
        <w:rPr>
          <w:rFonts w:hint="default" w:ascii="宋体" w:hAnsi="宋体" w:eastAsia="宋体" w:cs="宋体"/>
          <w:color w:val="auto"/>
        </w:rPr>
      </w:pPr>
    </w:p>
    <w:p>
      <w:pPr>
        <w:pStyle w:val="6"/>
        <w:spacing w:line="360" w:lineRule="auto"/>
        <w:rPr>
          <w:rFonts w:hint="default" w:ascii="宋体" w:hAnsi="宋体" w:eastAsia="宋体" w:cs="宋体"/>
          <w:color w:val="auto"/>
        </w:rPr>
      </w:pPr>
      <w:r>
        <w:rPr>
          <w:rFonts w:ascii="宋体" w:hAnsi="宋体" w:eastAsia="宋体" w:cs="宋体"/>
          <w:color w:val="auto"/>
        </w:rPr>
        <w:t>供应商法人签字（章）：</w:t>
      </w:r>
    </w:p>
    <w:p>
      <w:pPr>
        <w:pStyle w:val="6"/>
        <w:spacing w:line="360" w:lineRule="auto"/>
        <w:contextualSpacing/>
        <w:jc w:val="left"/>
        <w:rPr>
          <w:rFonts w:hint="default" w:ascii="宋体" w:hAnsi="宋体" w:eastAsia="宋体" w:cs="宋体"/>
          <w:color w:val="auto"/>
        </w:rPr>
      </w:pPr>
    </w:p>
    <w:p>
      <w:pPr>
        <w:pStyle w:val="6"/>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w:t>
      </w:r>
      <w:r>
        <w:rPr>
          <w:rFonts w:hint="eastAsia" w:ascii="宋体" w:hAnsi="宋体" w:eastAsia="宋体" w:cs="宋体"/>
          <w:color w:val="auto"/>
          <w:lang w:eastAsia="zh-CN"/>
        </w:rPr>
        <w:t>2026</w:t>
      </w:r>
      <w:r>
        <w:rPr>
          <w:rFonts w:ascii="宋体" w:hAnsi="宋体" w:eastAsia="宋体" w:cs="宋体"/>
          <w:color w:val="auto"/>
        </w:rPr>
        <w:t>年XXX月XXX日</w:t>
      </w:r>
    </w:p>
    <w:p>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pPr>
        <w:pStyle w:val="6"/>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pPr>
        <w:pStyle w:val="6"/>
        <w:jc w:val="center"/>
        <w:rPr>
          <w:rFonts w:hint="default" w:cs="Times New Roman" w:asciiTheme="majorEastAsia" w:hAnsiTheme="majorEastAsia" w:eastAsiaTheme="majorEastAsia"/>
          <w:color w:val="auto"/>
          <w:sz w:val="30"/>
          <w:szCs w:val="30"/>
          <w:lang w:val="zh-TW" w:eastAsia="zh-TW"/>
        </w:rPr>
      </w:pPr>
    </w:p>
    <w:p>
      <w:pPr>
        <w:pStyle w:val="6"/>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pPr>
        <w:snapToGrid w:val="0"/>
        <w:spacing w:line="540" w:lineRule="exact"/>
        <w:ind w:firstLine="560" w:firstLineChars="200"/>
        <w:rPr>
          <w:rFonts w:hint="default" w:ascii="仿宋" w:hAnsi="仿宋" w:eastAsia="仿宋" w:cs="仿宋"/>
          <w:color w:val="auto"/>
          <w:sz w:val="28"/>
          <w:szCs w:val="28"/>
        </w:rPr>
      </w:pPr>
    </w:p>
    <w:p>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pPr>
        <w:snapToGrid w:val="0"/>
        <w:spacing w:line="540" w:lineRule="exact"/>
        <w:ind w:firstLine="280"/>
        <w:rPr>
          <w:rFonts w:hint="default" w:ascii="仿宋" w:hAnsi="仿宋" w:eastAsia="仿宋" w:cs="仿宋"/>
          <w:color w:val="auto"/>
          <w:sz w:val="28"/>
          <w:szCs w:val="28"/>
        </w:rPr>
      </w:pPr>
    </w:p>
    <w:p>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pPr>
        <w:snapToGrid w:val="0"/>
        <w:spacing w:line="540" w:lineRule="exact"/>
        <w:ind w:firstLine="280"/>
        <w:rPr>
          <w:rFonts w:hint="default" w:ascii="仿宋" w:hAnsi="仿宋" w:eastAsia="仿宋" w:cs="仿宋"/>
          <w:color w:val="auto"/>
          <w:sz w:val="28"/>
          <w:szCs w:val="28"/>
        </w:rPr>
      </w:pPr>
    </w:p>
    <w:p>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pPr>
        <w:snapToGrid w:val="0"/>
        <w:spacing w:line="540" w:lineRule="exact"/>
        <w:ind w:firstLine="705"/>
        <w:jc w:val="right"/>
        <w:rPr>
          <w:rFonts w:hint="default" w:ascii="仿宋" w:hAnsi="仿宋" w:eastAsia="仿宋" w:cs="仿宋"/>
          <w:color w:val="auto"/>
          <w:sz w:val="28"/>
          <w:szCs w:val="28"/>
        </w:rPr>
      </w:pPr>
    </w:p>
    <w:p>
      <w:pPr>
        <w:jc w:val="left"/>
        <w:rPr>
          <w:rStyle w:val="38"/>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pPr>
        <w:pStyle w:val="6"/>
        <w:jc w:val="left"/>
        <w:rPr>
          <w:rFonts w:hint="default" w:cs="Times New Roman" w:asciiTheme="majorEastAsia" w:hAnsiTheme="majorEastAsia" w:eastAsiaTheme="majorEastAsia"/>
          <w:b/>
          <w:bCs/>
          <w:color w:val="auto"/>
          <w:sz w:val="30"/>
          <w:szCs w:val="30"/>
          <w:lang w:val="zh-TW" w:eastAsia="zh-TW"/>
        </w:rPr>
      </w:pPr>
    </w:p>
    <w:p>
      <w:pPr>
        <w:pStyle w:val="6"/>
        <w:jc w:val="left"/>
        <w:rPr>
          <w:rFonts w:hint="default" w:cs="Times New Roman" w:asciiTheme="majorEastAsia" w:hAnsiTheme="majorEastAsia" w:eastAsiaTheme="majorEastAsia"/>
          <w:b/>
          <w:bCs/>
          <w:color w:val="auto"/>
          <w:sz w:val="30"/>
          <w:szCs w:val="30"/>
          <w:lang w:val="zh-TW" w:eastAsia="zh-TW"/>
        </w:rPr>
      </w:pPr>
    </w:p>
    <w:p>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pPr>
        <w:pStyle w:val="6"/>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pPr>
        <w:pStyle w:val="6"/>
        <w:jc w:val="center"/>
        <w:rPr>
          <w:rFonts w:hint="default" w:ascii="Times New Roman" w:hAnsi="Times New Roman" w:eastAsia="宋体" w:cs="Times New Roman"/>
          <w:b/>
          <w:bCs/>
          <w:color w:val="auto"/>
          <w:sz w:val="36"/>
          <w:szCs w:val="36"/>
          <w:lang w:eastAsia="zh-TW"/>
        </w:rPr>
      </w:pPr>
    </w:p>
    <w:p>
      <w:pPr>
        <w:pStyle w:val="6"/>
        <w:rPr>
          <w:rFonts w:hint="default" w:ascii="Times New Roman" w:hAnsi="Times New Roman" w:eastAsia="宋体" w:cs="Times New Roman"/>
          <w:color w:val="auto"/>
          <w:kern w:val="0"/>
          <w:sz w:val="24"/>
          <w:szCs w:val="24"/>
          <w:lang w:val="zh-TW"/>
        </w:rPr>
      </w:pPr>
    </w:p>
    <w:tbl>
      <w:tblPr>
        <w:tblStyle w:val="15"/>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047"/>
        <w:gridCol w:w="4751"/>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pPr>
        <w:pStyle w:val="6"/>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pPr>
        <w:spacing w:line="360" w:lineRule="auto"/>
        <w:ind w:firstLine="369"/>
        <w:jc w:val="left"/>
        <w:rPr>
          <w:rFonts w:hint="default" w:ascii="Times New Roman" w:hAnsi="Times New Roman" w:eastAsia="宋体" w:cs="Times New Roman"/>
          <w:b/>
          <w:bCs/>
          <w:color w:val="auto"/>
          <w:sz w:val="24"/>
          <w:szCs w:val="24"/>
        </w:rPr>
      </w:pPr>
    </w:p>
    <w:p>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pPr>
        <w:rPr>
          <w:rFonts w:hint="default" w:cs="Times New Roman" w:asciiTheme="majorEastAsia" w:hAnsiTheme="majorEastAsia" w:eastAsiaTheme="majorEastAsia"/>
          <w:color w:val="auto"/>
          <w:sz w:val="30"/>
          <w:szCs w:val="30"/>
          <w:lang w:val="zh-TW" w:eastAsia="zh-TW"/>
        </w:rPr>
      </w:pPr>
      <w:bookmarkStart w:id="32" w:name="格式五报价情况"/>
      <w:r>
        <w:rPr>
          <w:rFonts w:hint="default" w:cs="Times New Roman" w:asciiTheme="majorEastAsia" w:hAnsiTheme="majorEastAsia" w:eastAsiaTheme="majorEastAsia"/>
          <w:color w:val="auto"/>
          <w:sz w:val="30"/>
          <w:szCs w:val="30"/>
          <w:lang w:val="zh-TW" w:eastAsia="zh-TW"/>
        </w:rPr>
        <w:br w:type="page"/>
      </w:r>
    </w:p>
    <w:p>
      <w:pPr>
        <w:pStyle w:val="6"/>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0"/>
          <w:rFonts w:hint="default" w:cs="Times New Roman" w:asciiTheme="majorEastAsia" w:hAnsiTheme="majorEastAsia" w:eastAsiaTheme="majorEastAsia"/>
          <w:color w:val="auto"/>
          <w:sz w:val="30"/>
          <w:szCs w:val="30"/>
          <w:u w:val="none"/>
          <w:lang w:val="zh-TW" w:eastAsia="zh-TW"/>
        </w:rPr>
        <w:t>格式</w:t>
      </w:r>
      <w:r>
        <w:rPr>
          <w:rStyle w:val="20"/>
          <w:rFonts w:cs="Times New Roman" w:asciiTheme="majorEastAsia" w:hAnsiTheme="majorEastAsia" w:eastAsiaTheme="majorEastAsia"/>
          <w:color w:val="auto"/>
          <w:sz w:val="30"/>
          <w:szCs w:val="30"/>
          <w:u w:val="none"/>
          <w:lang w:val="zh-TW" w:eastAsia="zh-TW"/>
        </w:rPr>
        <w:t>五</w:t>
      </w:r>
      <w:r>
        <w:rPr>
          <w:rStyle w:val="20"/>
          <w:rFonts w:hint="default" w:cs="Times New Roman" w:asciiTheme="majorEastAsia" w:hAnsiTheme="majorEastAsia" w:eastAsiaTheme="majorEastAsia"/>
          <w:color w:val="auto"/>
          <w:sz w:val="30"/>
          <w:szCs w:val="30"/>
          <w:u w:val="none"/>
          <w:lang w:val="zh-TW"/>
        </w:rPr>
        <w:t>：报价</w:t>
      </w:r>
      <w:r>
        <w:rPr>
          <w:rStyle w:val="20"/>
          <w:rFonts w:cs="Times New Roman" w:asciiTheme="majorEastAsia" w:hAnsiTheme="majorEastAsia" w:eastAsiaTheme="majorEastAsia"/>
          <w:color w:val="auto"/>
          <w:sz w:val="30"/>
          <w:szCs w:val="30"/>
          <w:u w:val="none"/>
          <w:lang w:val="zh-TW"/>
        </w:rPr>
        <w:t>情况</w:t>
      </w:r>
      <w:r>
        <w:rPr>
          <w:rStyle w:val="20"/>
          <w:rFonts w:cs="Times New Roman" w:asciiTheme="majorEastAsia" w:hAnsiTheme="majorEastAsia" w:eastAsiaTheme="majorEastAsia"/>
          <w:color w:val="auto"/>
          <w:sz w:val="30"/>
          <w:szCs w:val="30"/>
          <w:u w:val="none"/>
          <w:lang w:val="zh-TW"/>
        </w:rPr>
        <w:fldChar w:fldCharType="end"/>
      </w:r>
    </w:p>
    <w:p>
      <w:pPr>
        <w:jc w:val="center"/>
        <w:rPr>
          <w:rStyle w:val="20"/>
          <w:rFonts w:hint="default" w:cs="Times New Roman" w:asciiTheme="majorEastAsia" w:hAnsiTheme="majorEastAsia" w:eastAsiaTheme="majorEastAsia"/>
          <w:color w:val="auto"/>
          <w:sz w:val="30"/>
          <w:szCs w:val="30"/>
        </w:rPr>
      </w:pPr>
      <w:r>
        <w:rPr>
          <w:rStyle w:val="20"/>
          <w:rFonts w:cs="Times New Roman" w:asciiTheme="majorEastAsia" w:hAnsiTheme="majorEastAsia" w:eastAsiaTheme="majorEastAsia"/>
          <w:color w:val="auto"/>
          <w:sz w:val="30"/>
          <w:szCs w:val="30"/>
        </w:rPr>
        <w:t>报价一览表</w:t>
      </w:r>
    </w:p>
    <w:p>
      <w:pPr>
        <w:rPr>
          <w:rFonts w:hint="default"/>
          <w:color w:val="auto"/>
        </w:rPr>
      </w:pPr>
    </w:p>
    <w:bookmarkEnd w:id="32"/>
    <w:p>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6"/>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70"/>
        <w:gridCol w:w="2216"/>
        <w:gridCol w:w="4615"/>
        <w:gridCol w:w="2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jc w:val="center"/>
        </w:trPr>
        <w:tc>
          <w:tcPr>
            <w:tcW w:w="447" w:type="pct"/>
            <w:vAlign w:val="center"/>
          </w:tcPr>
          <w:p>
            <w:pPr>
              <w:spacing w:line="240" w:lineRule="auto"/>
              <w:jc w:val="center"/>
              <w:rPr>
                <w:rFonts w:hint="eastAsia" w:ascii="宋体" w:hAnsi="宋体" w:eastAsia="宋体" w:cs="宋体"/>
                <w:b/>
                <w:bCs/>
                <w:kern w:val="0"/>
                <w:sz w:val="21"/>
                <w:szCs w:val="21"/>
                <w:lang w:val="zh-TW" w:eastAsia="zh-TW"/>
              </w:rPr>
            </w:pPr>
            <w:r>
              <w:rPr>
                <w:rFonts w:hint="eastAsia" w:ascii="宋体" w:hAnsi="宋体" w:eastAsia="宋体" w:cs="宋体"/>
                <w:b/>
                <w:bCs/>
                <w:kern w:val="0"/>
                <w:sz w:val="21"/>
                <w:szCs w:val="21"/>
                <w:lang w:val="zh-TW" w:eastAsia="zh-TW"/>
              </w:rPr>
              <w:t>序号</w:t>
            </w:r>
          </w:p>
        </w:tc>
        <w:tc>
          <w:tcPr>
            <w:tcW w:w="1137" w:type="pct"/>
            <w:vAlign w:val="center"/>
          </w:tcPr>
          <w:p>
            <w:pPr>
              <w:spacing w:line="240" w:lineRule="auto"/>
              <w:jc w:val="center"/>
              <w:rPr>
                <w:rFonts w:hint="eastAsia" w:ascii="宋体" w:hAnsi="宋体" w:eastAsia="宋体" w:cs="宋体"/>
                <w:b/>
                <w:bCs/>
                <w:kern w:val="0"/>
                <w:sz w:val="21"/>
                <w:szCs w:val="21"/>
                <w:lang w:val="zh-TW" w:eastAsia="zh-CN"/>
              </w:rPr>
            </w:pPr>
            <w:r>
              <w:rPr>
                <w:rFonts w:hint="eastAsia" w:ascii="宋体" w:hAnsi="宋体" w:eastAsia="宋体" w:cs="宋体"/>
                <w:b/>
                <w:bCs/>
                <w:kern w:val="0"/>
                <w:sz w:val="21"/>
                <w:szCs w:val="21"/>
                <w:lang w:val="en-US" w:eastAsia="zh-CN"/>
              </w:rPr>
              <w:t>采购标的</w:t>
            </w:r>
          </w:p>
        </w:tc>
        <w:tc>
          <w:tcPr>
            <w:tcW w:w="2370" w:type="pct"/>
            <w:vAlign w:val="center"/>
          </w:tcPr>
          <w:p>
            <w:pPr>
              <w:spacing w:line="240" w:lineRule="auto"/>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报价（元）</w:t>
            </w:r>
          </w:p>
        </w:tc>
        <w:tc>
          <w:tcPr>
            <w:tcW w:w="1044" w:type="pct"/>
            <w:vAlign w:val="center"/>
          </w:tcPr>
          <w:p>
            <w:pPr>
              <w:spacing w:line="240" w:lineRule="auto"/>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7" w:hRule="atLeast"/>
          <w:jc w:val="center"/>
        </w:trPr>
        <w:tc>
          <w:tcPr>
            <w:tcW w:w="447" w:type="pct"/>
            <w:vAlign w:val="center"/>
          </w:tcPr>
          <w:p>
            <w:pPr>
              <w:pStyle w:val="6"/>
              <w:jc w:val="center"/>
              <w:rPr>
                <w:rFonts w:hint="eastAsia" w:ascii="宋体" w:hAnsi="宋体" w:eastAsia="宋体" w:cs="宋体"/>
                <w:sz w:val="21"/>
                <w:szCs w:val="21"/>
              </w:rPr>
            </w:pPr>
            <w:r>
              <w:rPr>
                <w:rFonts w:hint="eastAsia" w:ascii="宋体" w:hAnsi="宋体" w:eastAsia="宋体" w:cs="宋体"/>
                <w:sz w:val="21"/>
                <w:szCs w:val="21"/>
              </w:rPr>
              <w:t>1</w:t>
            </w:r>
          </w:p>
        </w:tc>
        <w:tc>
          <w:tcPr>
            <w:tcW w:w="1137" w:type="pct"/>
            <w:vAlign w:val="center"/>
          </w:tcPr>
          <w:p>
            <w:pPr>
              <w:pStyle w:val="6"/>
              <w:jc w:val="center"/>
              <w:rPr>
                <w:rFonts w:hint="eastAsia" w:ascii="宋体" w:hAnsi="宋体" w:eastAsia="宋体" w:cs="宋体"/>
                <w:sz w:val="21"/>
                <w:szCs w:val="21"/>
              </w:rPr>
            </w:pPr>
            <w:r>
              <w:rPr>
                <w:rFonts w:hint="eastAsia" w:ascii="宋体" w:hAnsi="宋体" w:eastAsia="宋体" w:cs="宋体"/>
                <w:sz w:val="21"/>
                <w:szCs w:val="21"/>
              </w:rPr>
              <w:t>四川省精神卫生服务综合管理平台互联网专线服务</w:t>
            </w:r>
          </w:p>
        </w:tc>
        <w:tc>
          <w:tcPr>
            <w:tcW w:w="2370" w:type="pct"/>
            <w:vAlign w:val="top"/>
          </w:tcPr>
          <w:p>
            <w:pPr>
              <w:pStyle w:val="6"/>
              <w:jc w:val="center"/>
              <w:rPr>
                <w:rFonts w:hint="eastAsia" w:ascii="宋体" w:hAnsi="宋体" w:eastAsia="宋体" w:cs="宋体"/>
                <w:sz w:val="21"/>
                <w:szCs w:val="21"/>
              </w:rPr>
            </w:pPr>
          </w:p>
        </w:tc>
        <w:tc>
          <w:tcPr>
            <w:tcW w:w="1044" w:type="pct"/>
            <w:vAlign w:val="center"/>
          </w:tcPr>
          <w:p>
            <w:pPr>
              <w:pStyle w:val="6"/>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0" w:hRule="atLeast"/>
          <w:jc w:val="center"/>
        </w:trPr>
        <w:tc>
          <w:tcPr>
            <w:tcW w:w="1585" w:type="pct"/>
            <w:gridSpan w:val="2"/>
            <w:vAlign w:val="center"/>
          </w:tcPr>
          <w:p>
            <w:pPr>
              <w:pStyle w:val="6"/>
              <w:jc w:val="center"/>
              <w:rPr>
                <w:rFonts w:hint="eastAsia" w:ascii="宋体" w:hAnsi="宋体" w:eastAsia="宋体" w:cs="宋体"/>
                <w:sz w:val="21"/>
                <w:szCs w:val="21"/>
              </w:rPr>
            </w:pPr>
            <w:r>
              <w:rPr>
                <w:rFonts w:hint="eastAsia" w:ascii="宋体" w:hAnsi="宋体" w:eastAsia="宋体" w:cs="宋体"/>
                <w:kern w:val="0"/>
                <w:sz w:val="21"/>
                <w:szCs w:val="21"/>
                <w:lang w:val="zh-TW" w:eastAsia="zh-TW"/>
              </w:rPr>
              <w:t>报价合计</w:t>
            </w:r>
          </w:p>
        </w:tc>
        <w:tc>
          <w:tcPr>
            <w:tcW w:w="2370" w:type="pct"/>
            <w:vAlign w:val="center"/>
          </w:tcPr>
          <w:p>
            <w:pPr>
              <w:pStyle w:val="6"/>
              <w:jc w:val="center"/>
              <w:rPr>
                <w:rFonts w:hint="eastAsia" w:ascii="宋体" w:hAnsi="宋体" w:eastAsia="宋体" w:cs="宋体"/>
                <w:sz w:val="21"/>
                <w:szCs w:val="21"/>
              </w:rPr>
            </w:pPr>
            <w:r>
              <w:rPr>
                <w:rFonts w:hint="eastAsia" w:ascii="宋体" w:hAnsi="宋体" w:eastAsia="宋体" w:cs="宋体"/>
                <w:kern w:val="0"/>
                <w:sz w:val="21"/>
                <w:szCs w:val="21"/>
                <w:lang w:val="zh-TW" w:eastAsia="zh-TW"/>
              </w:rPr>
              <w:t xml:space="preserve">大写：       </w:t>
            </w:r>
            <w:r>
              <w:rPr>
                <w:rFonts w:hint="eastAsia" w:ascii="宋体" w:hAnsi="宋体" w:eastAsia="宋体" w:cs="宋体"/>
                <w:kern w:val="0"/>
                <w:sz w:val="21"/>
                <w:szCs w:val="21"/>
                <w:lang w:val="zh-TW"/>
              </w:rPr>
              <w:t xml:space="preserve">    </w:t>
            </w:r>
            <w:r>
              <w:rPr>
                <w:rFonts w:hint="eastAsia" w:ascii="宋体" w:hAnsi="宋体" w:eastAsia="宋体" w:cs="宋体"/>
                <w:kern w:val="0"/>
                <w:sz w:val="21"/>
                <w:szCs w:val="21"/>
                <w:lang w:val="zh-TW" w:eastAsia="zh-TW"/>
              </w:rPr>
              <w:t>小写：</w:t>
            </w:r>
          </w:p>
        </w:tc>
        <w:tc>
          <w:tcPr>
            <w:tcW w:w="1044" w:type="pct"/>
            <w:vAlign w:val="center"/>
          </w:tcPr>
          <w:p>
            <w:pPr>
              <w:pStyle w:val="6"/>
              <w:jc w:val="center"/>
              <w:rPr>
                <w:rFonts w:hint="eastAsia" w:ascii="宋体" w:hAnsi="宋体" w:eastAsia="宋体" w:cs="宋体"/>
                <w:kern w:val="0"/>
                <w:sz w:val="21"/>
                <w:szCs w:val="21"/>
                <w:lang w:val="zh-TW" w:eastAsia="zh-TW"/>
              </w:rPr>
            </w:pPr>
          </w:p>
        </w:tc>
      </w:tr>
    </w:tbl>
    <w:p>
      <w:pPr>
        <w:widowControl/>
        <w:spacing w:line="360" w:lineRule="auto"/>
        <w:ind w:firstLine="420" w:firstLineChars="200"/>
        <w:jc w:val="left"/>
        <w:rPr>
          <w:rFonts w:ascii="宋体" w:hAnsi="宋体" w:eastAsia="宋体" w:cs="宋体"/>
          <w:color w:val="auto"/>
        </w:rPr>
      </w:pPr>
    </w:p>
    <w:p>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所有报价均用人民币表示。运输、安装、调试、检验、培训、税金和保险等费用以及采购文件规定的其他费用均应包含在报价中；应完整填写产品的品牌和型号或项目内容。</w:t>
      </w:r>
    </w:p>
    <w:p>
      <w:pPr>
        <w:widowControl/>
        <w:spacing w:line="360" w:lineRule="auto"/>
        <w:jc w:val="left"/>
        <w:rPr>
          <w:rFonts w:hint="default" w:ascii="宋体" w:hAnsi="宋体" w:eastAsia="宋体" w:cs="宋体"/>
          <w:color w:val="auto"/>
        </w:rPr>
      </w:pPr>
    </w:p>
    <w:p>
      <w:pPr>
        <w:widowControl/>
        <w:spacing w:line="360" w:lineRule="auto"/>
        <w:jc w:val="left"/>
        <w:rPr>
          <w:rFonts w:hint="default" w:ascii="宋体" w:hAnsi="宋体" w:eastAsia="宋体" w:cs="宋体"/>
          <w:color w:val="auto"/>
        </w:rPr>
      </w:pPr>
    </w:p>
    <w:p>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pPr>
        <w:widowControl/>
        <w:spacing w:line="360" w:lineRule="auto"/>
        <w:jc w:val="left"/>
        <w:rPr>
          <w:rFonts w:hint="default" w:ascii="宋体" w:hAnsi="宋体" w:eastAsia="宋体" w:cs="宋体"/>
          <w:color w:val="auto"/>
        </w:rPr>
      </w:pPr>
      <w:r>
        <w:rPr>
          <w:rFonts w:ascii="宋体" w:hAnsi="宋体" w:eastAsia="宋体" w:cs="宋体"/>
          <w:color w:val="auto"/>
        </w:rPr>
        <w:t>法定代表（负责人）或授权代表人</w:t>
      </w:r>
    </w:p>
    <w:p>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pPr>
        <w:spacing w:line="360" w:lineRule="auto"/>
        <w:jc w:val="right"/>
        <w:rPr>
          <w:rFonts w:hint="default" w:ascii="宋体" w:hAnsi="宋体" w:eastAsia="宋体" w:cs="宋体"/>
          <w:color w:val="auto"/>
        </w:rPr>
      </w:pPr>
    </w:p>
    <w:p>
      <w:pPr>
        <w:spacing w:line="360" w:lineRule="auto"/>
        <w:jc w:val="both"/>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pPr>
        <w:widowControl/>
        <w:jc w:val="left"/>
        <w:rPr>
          <w:rFonts w:hint="default" w:ascii="Times New Roman" w:hAnsi="Times New Roman" w:eastAsia="宋体" w:cs="Times New Roman"/>
          <w:color w:val="auto"/>
          <w:lang w:val="zh-TW" w:eastAsia="zh-TW"/>
        </w:rPr>
      </w:pPr>
    </w:p>
    <w:p>
      <w:pPr>
        <w:rPr>
          <w:rFonts w:hint="default" w:cs="Times New Roman" w:asciiTheme="majorEastAsia" w:hAnsiTheme="majorEastAsia" w:eastAsiaTheme="majorEastAsia"/>
          <w:color w:val="auto"/>
          <w:sz w:val="30"/>
          <w:szCs w:val="30"/>
          <w:lang w:val="zh-TW" w:eastAsia="zh-TW"/>
        </w:rPr>
      </w:pPr>
      <w:bookmarkStart w:id="33" w:name="第七章"/>
      <w:r>
        <w:rPr>
          <w:rFonts w:hint="default" w:cs="Times New Roman" w:asciiTheme="majorEastAsia" w:hAnsiTheme="majorEastAsia" w:eastAsiaTheme="majorEastAsia"/>
          <w:color w:val="auto"/>
          <w:sz w:val="30"/>
          <w:szCs w:val="30"/>
          <w:lang w:val="zh-TW" w:eastAsia="zh-TW"/>
        </w:rPr>
        <w:br w:type="page"/>
      </w:r>
    </w:p>
    <w:p>
      <w:pPr>
        <w:pStyle w:val="6"/>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pPr>
        <w:pStyle w:val="6"/>
        <w:rPr>
          <w:rFonts w:hint="default" w:ascii="Times New Roman" w:hAnsi="Times New Roman" w:eastAsia="PMingLiU" w:cs="Times New Roman"/>
          <w:b/>
          <w:bCs/>
          <w:color w:val="auto"/>
          <w:sz w:val="36"/>
          <w:szCs w:val="36"/>
          <w:lang w:val="zh-TW" w:eastAsia="zh-TW"/>
        </w:rPr>
      </w:pPr>
    </w:p>
    <w:p>
      <w:pPr>
        <w:pStyle w:val="6"/>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pPr>
        <w:pStyle w:val="6"/>
        <w:rPr>
          <w:rFonts w:hint="default" w:ascii="Times New Roman" w:hAnsi="Times New Roman" w:eastAsia="PMingLiU" w:cs="Times New Roman"/>
          <w:b/>
          <w:bCs/>
          <w:color w:val="auto"/>
          <w:sz w:val="36"/>
          <w:szCs w:val="36"/>
          <w:lang w:val="zh-TW" w:eastAsia="zh-TW"/>
        </w:rPr>
      </w:pPr>
    </w:p>
    <w:p>
      <w:pPr>
        <w:pStyle w:val="6"/>
        <w:rPr>
          <w:rFonts w:hint="default" w:ascii="Times New Roman" w:hAnsi="Times New Roman" w:eastAsia="PMingLiU" w:cs="Times New Roman"/>
          <w:b/>
          <w:bCs/>
          <w:color w:val="auto"/>
          <w:sz w:val="36"/>
          <w:szCs w:val="36"/>
          <w:lang w:val="zh-TW" w:eastAsia="zh-TW"/>
        </w:rPr>
      </w:pPr>
    </w:p>
    <w:bookmarkEnd w:id="33"/>
    <w:p>
      <w:pPr>
        <w:rPr>
          <w:rFonts w:hint="default" w:cs="Times New Roman" w:asciiTheme="majorEastAsia" w:hAnsiTheme="majorEastAsia" w:eastAsiaTheme="majorEastAsia"/>
          <w:b/>
          <w:bCs/>
          <w:color w:val="auto"/>
          <w:sz w:val="32"/>
          <w:szCs w:val="32"/>
          <w:lang w:val="zh-TW" w:eastAsia="zh-TW"/>
        </w:rPr>
      </w:pPr>
      <w:bookmarkStart w:id="34" w:name="第五章"/>
      <w:r>
        <w:rPr>
          <w:rFonts w:hint="default" w:cs="Times New Roman" w:asciiTheme="majorEastAsia" w:hAnsiTheme="majorEastAsia" w:eastAsiaTheme="majorEastAsia"/>
          <w:b/>
          <w:bCs/>
          <w:color w:val="auto"/>
          <w:sz w:val="32"/>
          <w:szCs w:val="32"/>
          <w:lang w:val="zh-TW" w:eastAsia="zh-TW"/>
        </w:rPr>
        <w:br w:type="page"/>
      </w:r>
    </w:p>
    <w:p>
      <w:pPr>
        <w:pStyle w:val="2"/>
        <w:ind w:firstLine="0"/>
        <w:rPr>
          <w:lang w:val="zh-TW" w:eastAsia="zh-TW"/>
        </w:rPr>
      </w:pPr>
      <w:bookmarkStart w:id="35" w:name="_Toc11837"/>
      <w:r>
        <w:rPr>
          <w:lang w:val="zh-TW" w:eastAsia="zh-TW"/>
        </w:rPr>
        <w:fldChar w:fldCharType="begin"/>
      </w:r>
      <w:r>
        <w:rPr>
          <w:lang w:val="zh-TW" w:eastAsia="zh-TW"/>
        </w:rPr>
        <w:instrText xml:space="preserve"> HYPERLINK  \l "目录" </w:instrText>
      </w:r>
      <w:r>
        <w:rPr>
          <w:lang w:val="zh-TW" w:eastAsia="zh-TW"/>
        </w:rPr>
        <w:fldChar w:fldCharType="separate"/>
      </w:r>
      <w:r>
        <w:rPr>
          <w:rStyle w:val="20"/>
          <w:rFonts w:cs="Times New Roman" w:asciiTheme="majorEastAsia" w:hAnsiTheme="majorEastAsia" w:eastAsiaTheme="majorEastAsia"/>
          <w:szCs w:val="32"/>
          <w:lang w:val="zh-TW" w:eastAsia="zh-TW"/>
        </w:rPr>
        <w:t>合同</w:t>
      </w:r>
      <w:r>
        <w:rPr>
          <w:rStyle w:val="20"/>
          <w:rFonts w:cs="Times New Roman" w:asciiTheme="majorEastAsia" w:hAnsiTheme="majorEastAsia" w:eastAsiaTheme="majorEastAsia"/>
          <w:szCs w:val="32"/>
          <w:lang w:val="zh-TW"/>
        </w:rPr>
        <w:t>（协议）</w:t>
      </w:r>
      <w:r>
        <w:rPr>
          <w:rStyle w:val="20"/>
          <w:rFonts w:cs="Times New Roman" w:asciiTheme="majorEastAsia" w:hAnsiTheme="majorEastAsia" w:eastAsiaTheme="majorEastAsia"/>
          <w:szCs w:val="32"/>
          <w:lang w:val="zh-TW" w:eastAsia="zh-TW"/>
        </w:rPr>
        <w:t>主要条款</w:t>
      </w:r>
      <w:r>
        <w:rPr>
          <w:lang w:val="zh-TW" w:eastAsia="zh-TW"/>
        </w:rPr>
        <w:fldChar w:fldCharType="end"/>
      </w:r>
      <w:bookmarkEnd w:id="35"/>
    </w:p>
    <w:bookmarkEnd w:id="34"/>
    <w:p>
      <w:pPr>
        <w:pStyle w:val="6"/>
        <w:jc w:val="center"/>
        <w:rPr>
          <w:rFonts w:hint="default" w:eastAsia="宋体"/>
          <w:color w:val="auto"/>
          <w:szCs w:val="20"/>
        </w:rPr>
      </w:pPr>
      <w:r>
        <w:rPr>
          <w:rFonts w:hint="default" w:ascii="Times New Roman" w:hAnsi="Times New Roman" w:eastAsia="宋体" w:cs="Times New Roman"/>
          <w:color w:val="auto"/>
          <w:sz w:val="32"/>
          <w:szCs w:val="32"/>
        </w:rPr>
        <w:t xml:space="preserve">  </w:t>
      </w:r>
    </w:p>
    <w:p>
      <w:pPr>
        <w:pStyle w:val="39"/>
        <w:rPr>
          <w:sz w:val="48"/>
          <w:szCs w:val="48"/>
        </w:rPr>
      </w:pPr>
      <w:r>
        <w:rPr>
          <w:rFonts w:hint="eastAsia"/>
          <w:sz w:val="48"/>
          <w:szCs w:val="48"/>
        </w:rPr>
        <w:t>*</w:t>
      </w:r>
      <w:r>
        <w:rPr>
          <w:sz w:val="48"/>
          <w:szCs w:val="48"/>
        </w:rPr>
        <w:t>**</w:t>
      </w:r>
      <w:r>
        <w:rPr>
          <w:rFonts w:hint="eastAsia"/>
          <w:sz w:val="48"/>
          <w:szCs w:val="48"/>
        </w:rPr>
        <w:t>服务项目</w:t>
      </w:r>
    </w:p>
    <w:p>
      <w:pPr>
        <w:pStyle w:val="39"/>
        <w:rPr>
          <w:sz w:val="48"/>
          <w:szCs w:val="48"/>
        </w:rPr>
      </w:pPr>
      <w:r>
        <w:rPr>
          <w:rFonts w:hint="eastAsia"/>
          <w:sz w:val="48"/>
          <w:szCs w:val="48"/>
        </w:rPr>
        <w:t>采购</w:t>
      </w:r>
      <w:r>
        <w:rPr>
          <w:sz w:val="48"/>
          <w:szCs w:val="48"/>
        </w:rPr>
        <w:t>合同</w:t>
      </w:r>
    </w:p>
    <w:p>
      <w:pPr>
        <w:rPr>
          <w:sz w:val="24"/>
        </w:rPr>
        <w:sectPr>
          <w:headerReference r:id="rId7" w:type="default"/>
          <w:footerReference r:id="rId8" w:type="default"/>
          <w:footerReference r:id="rId9" w:type="even"/>
          <w:pgSz w:w="11906" w:h="16838"/>
          <w:pgMar w:top="1134" w:right="1134" w:bottom="1134" w:left="1134" w:header="850" w:footer="567" w:gutter="0"/>
          <w:pgNumType w:fmt="decimal" w:start="1"/>
          <w:cols w:space="425" w:num="1"/>
          <w:docGrid w:linePitch="312" w:charSpace="0"/>
        </w:sectPr>
      </w:pPr>
    </w:p>
    <w:p>
      <w:pPr>
        <w:adjustRightInd w:val="0"/>
        <w:ind w:firstLine="420" w:firstLineChars="200"/>
        <w:contextualSpacing/>
        <w:jc w:val="left"/>
        <w:rPr>
          <w:color w:val="000000"/>
          <w:szCs w:val="21"/>
        </w:rPr>
      </w:pPr>
    </w:p>
    <w:p>
      <w:pPr>
        <w:adjustRightInd w:val="0"/>
        <w:ind w:firstLine="420" w:firstLineChars="200"/>
        <w:contextualSpacing/>
        <w:jc w:val="left"/>
        <w:rPr>
          <w:color w:val="000000"/>
          <w:szCs w:val="21"/>
        </w:rPr>
      </w:pPr>
    </w:p>
    <w:tbl>
      <w:tblPr>
        <w:tblStyle w:val="15"/>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color w:val="000000"/>
                <w:szCs w:val="21"/>
              </w:rPr>
            </w:pPr>
            <w:r>
              <w:rPr>
                <w:b/>
                <w:bCs/>
                <w:color w:val="000000"/>
                <w:szCs w:val="21"/>
              </w:rPr>
              <w:t>合同编号</w:t>
            </w:r>
            <w:r>
              <w:rPr>
                <w:color w:val="000000"/>
                <w:szCs w:val="21"/>
              </w:rPr>
              <w:t>：CGZX-***</w:t>
            </w:r>
          </w:p>
          <w:p>
            <w:pPr>
              <w:contextualSpacing/>
              <w:rPr>
                <w:color w:val="000000"/>
                <w:szCs w:val="21"/>
              </w:rPr>
            </w:pPr>
            <w:r>
              <w:rPr>
                <w:b/>
                <w:bCs/>
                <w:color w:val="000000"/>
                <w:szCs w:val="21"/>
              </w:rPr>
              <w:t>签订地点</w:t>
            </w:r>
            <w:r>
              <w:rPr>
                <w:color w:val="000000"/>
                <w:szCs w:val="21"/>
              </w:rPr>
              <w:t>：四川省人民医院</w:t>
            </w:r>
          </w:p>
        </w:tc>
      </w:tr>
      <w:tr>
        <w:tblPrEx>
          <w:tblCellMar>
            <w:top w:w="0" w:type="dxa"/>
            <w:left w:w="0" w:type="dxa"/>
            <w:bottom w:w="0" w:type="dxa"/>
            <w:right w:w="0" w:type="dxa"/>
          </w:tblCellMar>
        </w:tblPrEx>
        <w:trPr>
          <w:jc w:val="center"/>
        </w:trPr>
        <w:tc>
          <w:tcPr>
            <w:tcW w:w="4962" w:type="dxa"/>
          </w:tcPr>
          <w:p>
            <w:pPr>
              <w:rPr>
                <w:szCs w:val="21"/>
              </w:rPr>
            </w:pPr>
            <w:r>
              <w:rPr>
                <w:b/>
                <w:bCs/>
                <w:szCs w:val="21"/>
              </w:rPr>
              <w:t>采购人（以下简称甲方）</w:t>
            </w:r>
            <w:r>
              <w:rPr>
                <w:szCs w:val="21"/>
              </w:rPr>
              <w:t>：四川省人民医院</w:t>
            </w:r>
          </w:p>
          <w:p>
            <w:pPr>
              <w:rPr>
                <w:szCs w:val="21"/>
              </w:rPr>
            </w:pPr>
            <w:r>
              <w:rPr>
                <w:b/>
                <w:bCs/>
                <w:szCs w:val="21"/>
              </w:rPr>
              <w:t>地址</w:t>
            </w:r>
            <w:r>
              <w:rPr>
                <w:szCs w:val="21"/>
              </w:rPr>
              <w:t>：四川省成都市一环路西二段32号</w:t>
            </w:r>
          </w:p>
          <w:p>
            <w:pPr>
              <w:rPr>
                <w:szCs w:val="21"/>
              </w:rPr>
            </w:pPr>
            <w:r>
              <w:rPr>
                <w:b/>
                <w:bCs/>
                <w:szCs w:val="21"/>
              </w:rPr>
              <w:t>项目联系人</w:t>
            </w:r>
            <w:r>
              <w:rPr>
                <w:szCs w:val="21"/>
              </w:rPr>
              <w:t xml:space="preserve">：*** </w:t>
            </w:r>
            <w:r>
              <w:rPr>
                <w:b/>
                <w:bCs/>
                <w:szCs w:val="21"/>
              </w:rPr>
              <w:t>电话</w:t>
            </w:r>
            <w:r>
              <w:rPr>
                <w:szCs w:val="21"/>
              </w:rPr>
              <w:t>：***</w:t>
            </w:r>
          </w:p>
          <w:p>
            <w:r>
              <w:rPr>
                <w:rFonts w:hint="eastAsia"/>
                <w:b/>
                <w:bCs/>
                <w:szCs w:val="21"/>
              </w:rPr>
              <w:t>电子邮件：</w:t>
            </w:r>
            <w:r>
              <w:rPr>
                <w:rFonts w:hint="eastAsia"/>
                <w:szCs w:val="21"/>
              </w:rPr>
              <w:t>*</w:t>
            </w:r>
            <w:r>
              <w:rPr>
                <w:szCs w:val="21"/>
              </w:rPr>
              <w:t>**</w:t>
            </w:r>
          </w:p>
        </w:tc>
        <w:tc>
          <w:tcPr>
            <w:tcW w:w="5242" w:type="dxa"/>
          </w:tcPr>
          <w:p>
            <w:pPr>
              <w:rPr>
                <w:b/>
                <w:bCs/>
                <w:szCs w:val="21"/>
              </w:rPr>
            </w:pPr>
            <w:r>
              <w:rPr>
                <w:b/>
                <w:bCs/>
                <w:szCs w:val="21"/>
              </w:rPr>
              <w:t>供应商（以下简称乙方）：***</w:t>
            </w:r>
          </w:p>
          <w:p>
            <w:pPr>
              <w:rPr>
                <w:b/>
                <w:bCs/>
                <w:szCs w:val="21"/>
              </w:rPr>
            </w:pPr>
            <w:r>
              <w:rPr>
                <w:b/>
                <w:bCs/>
                <w:szCs w:val="21"/>
              </w:rPr>
              <w:t>地址：***</w:t>
            </w:r>
          </w:p>
          <w:p>
            <w:pPr>
              <w:rPr>
                <w:b/>
                <w:bCs/>
                <w:szCs w:val="21"/>
              </w:rPr>
            </w:pPr>
            <w:r>
              <w:rPr>
                <w:b/>
                <w:bCs/>
                <w:szCs w:val="21"/>
              </w:rPr>
              <w:t>移动电话：***</w:t>
            </w:r>
          </w:p>
          <w:p>
            <w:pPr>
              <w:contextualSpacing/>
              <w:rPr>
                <w:b/>
                <w:bCs/>
                <w:szCs w:val="21"/>
              </w:rPr>
            </w:pPr>
            <w:r>
              <w:rPr>
                <w:b/>
                <w:bCs/>
                <w:szCs w:val="21"/>
              </w:rPr>
              <w:t>联系人：***</w:t>
            </w:r>
          </w:p>
          <w:p>
            <w:pPr>
              <w:rPr>
                <w:bCs/>
                <w:szCs w:val="21"/>
              </w:rPr>
            </w:pPr>
            <w:r>
              <w:rPr>
                <w:rFonts w:hint="eastAsia"/>
                <w:b/>
                <w:bCs/>
                <w:szCs w:val="21"/>
              </w:rPr>
              <w:t>电子邮件：</w:t>
            </w:r>
            <w:r>
              <w:rPr>
                <w:rFonts w:hint="eastAsia"/>
                <w:szCs w:val="21"/>
              </w:rPr>
              <w:t>*</w:t>
            </w:r>
            <w:r>
              <w:rPr>
                <w:szCs w:val="21"/>
              </w:rPr>
              <w:t>**</w:t>
            </w:r>
          </w:p>
        </w:tc>
      </w:tr>
    </w:tbl>
    <w:p>
      <w:pPr>
        <w:ind w:firstLine="420" w:firstLineChars="200"/>
        <w:contextualSpacing/>
        <w:jc w:val="left"/>
        <w:rPr>
          <w:color w:val="000000"/>
          <w:szCs w:val="21"/>
        </w:rPr>
      </w:pPr>
    </w:p>
    <w:p>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pPr>
        <w:contextualSpacing/>
        <w:jc w:val="left"/>
        <w:rPr>
          <w:b/>
          <w:szCs w:val="21"/>
        </w:rPr>
      </w:pPr>
    </w:p>
    <w:p>
      <w:pPr>
        <w:pStyle w:val="31"/>
        <w:numPr>
          <w:ilvl w:val="0"/>
          <w:numId w:val="17"/>
        </w:numPr>
        <w:ind w:left="0" w:firstLine="0" w:firstLineChars="0"/>
        <w:contextualSpacing/>
        <w:jc w:val="left"/>
        <w:rPr>
          <w:b/>
          <w:szCs w:val="21"/>
        </w:rPr>
      </w:pPr>
      <w:r>
        <w:rPr>
          <w:b/>
          <w:szCs w:val="21"/>
        </w:rPr>
        <w:t>合同标的</w:t>
      </w:r>
    </w:p>
    <w:p>
      <w:pPr>
        <w:pStyle w:val="8"/>
        <w:numPr>
          <w:ilvl w:val="0"/>
          <w:numId w:val="18"/>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pPr>
        <w:pStyle w:val="8"/>
        <w:numPr>
          <w:ilvl w:val="0"/>
          <w:numId w:val="18"/>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pPr>
        <w:pStyle w:val="8"/>
        <w:numPr>
          <w:ilvl w:val="0"/>
          <w:numId w:val="18"/>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31"/>
              <w:ind w:firstLine="0" w:firstLineChars="0"/>
              <w:jc w:val="center"/>
              <w:rPr>
                <w:color w:val="000000"/>
                <w:szCs w:val="21"/>
              </w:rPr>
            </w:pPr>
            <w:r>
              <w:rPr>
                <w:color w:val="000000"/>
                <w:szCs w:val="21"/>
              </w:rPr>
              <w:t>序号</w:t>
            </w:r>
          </w:p>
        </w:tc>
        <w:tc>
          <w:tcPr>
            <w:tcW w:w="2977" w:type="dxa"/>
            <w:vAlign w:val="center"/>
          </w:tcPr>
          <w:p>
            <w:pPr>
              <w:pStyle w:val="31"/>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pPr>
              <w:pStyle w:val="31"/>
              <w:ind w:firstLine="0" w:firstLineChars="0"/>
              <w:jc w:val="center"/>
              <w:rPr>
                <w:color w:val="000000"/>
                <w:szCs w:val="21"/>
              </w:rPr>
            </w:pPr>
            <w:r>
              <w:rPr>
                <w:color w:val="000000"/>
                <w:szCs w:val="21"/>
              </w:rPr>
              <w:t>具体内容</w:t>
            </w:r>
          </w:p>
        </w:tc>
        <w:tc>
          <w:tcPr>
            <w:tcW w:w="963" w:type="dxa"/>
            <w:vAlign w:val="center"/>
          </w:tcPr>
          <w:p>
            <w:pPr>
              <w:pStyle w:val="31"/>
              <w:ind w:firstLine="0" w:firstLineChars="0"/>
              <w:jc w:val="center"/>
              <w:rPr>
                <w:color w:val="000000"/>
                <w:szCs w:val="21"/>
              </w:rPr>
            </w:pPr>
            <w:r>
              <w:rPr>
                <w:color w:val="000000"/>
                <w:szCs w:val="21"/>
              </w:rPr>
              <w:t>分项价格（万元）</w:t>
            </w:r>
          </w:p>
        </w:tc>
        <w:tc>
          <w:tcPr>
            <w:tcW w:w="2016" w:type="dxa"/>
          </w:tcPr>
          <w:p>
            <w:pPr>
              <w:pStyle w:val="31"/>
              <w:ind w:firstLine="0" w:firstLineChars="0"/>
              <w:jc w:val="center"/>
              <w:rPr>
                <w:color w:val="000000"/>
                <w:szCs w:val="21"/>
              </w:rPr>
            </w:pPr>
            <w:r>
              <w:rPr>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31"/>
              <w:ind w:firstLine="0" w:firstLineChars="0"/>
              <w:jc w:val="center"/>
              <w:rPr>
                <w:color w:val="000000"/>
                <w:szCs w:val="21"/>
              </w:rPr>
            </w:pPr>
            <w:r>
              <w:rPr>
                <w:rFonts w:hint="eastAsia"/>
                <w:color w:val="000000"/>
                <w:szCs w:val="21"/>
              </w:rPr>
              <w:t>1</w:t>
            </w:r>
          </w:p>
        </w:tc>
        <w:tc>
          <w:tcPr>
            <w:tcW w:w="2977" w:type="dxa"/>
            <w:vAlign w:val="center"/>
          </w:tcPr>
          <w:p>
            <w:pPr>
              <w:pStyle w:val="31"/>
              <w:ind w:firstLine="0" w:firstLineChars="0"/>
              <w:rPr>
                <w:color w:val="000000"/>
                <w:szCs w:val="21"/>
              </w:rPr>
            </w:pPr>
          </w:p>
        </w:tc>
        <w:tc>
          <w:tcPr>
            <w:tcW w:w="3686" w:type="dxa"/>
            <w:vAlign w:val="center"/>
          </w:tcPr>
          <w:p>
            <w:pPr>
              <w:pStyle w:val="31"/>
              <w:ind w:firstLine="0" w:firstLineChars="0"/>
              <w:rPr>
                <w:color w:val="000000"/>
                <w:szCs w:val="21"/>
              </w:rPr>
            </w:pPr>
          </w:p>
        </w:tc>
        <w:tc>
          <w:tcPr>
            <w:tcW w:w="963" w:type="dxa"/>
            <w:vAlign w:val="center"/>
          </w:tcPr>
          <w:p>
            <w:pPr>
              <w:pStyle w:val="31"/>
              <w:ind w:firstLine="0" w:firstLineChars="0"/>
              <w:jc w:val="center"/>
              <w:rPr>
                <w:color w:val="000000"/>
                <w:szCs w:val="21"/>
              </w:rPr>
            </w:pPr>
          </w:p>
        </w:tc>
        <w:tc>
          <w:tcPr>
            <w:tcW w:w="2016" w:type="dxa"/>
          </w:tcPr>
          <w:p>
            <w:pPr>
              <w:pStyle w:val="31"/>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31"/>
              <w:ind w:firstLine="0" w:firstLineChars="0"/>
              <w:jc w:val="center"/>
              <w:rPr>
                <w:color w:val="000000"/>
                <w:szCs w:val="21"/>
              </w:rPr>
            </w:pPr>
            <w:r>
              <w:rPr>
                <w:rFonts w:hint="eastAsia"/>
                <w:color w:val="000000"/>
                <w:szCs w:val="21"/>
              </w:rPr>
              <w:t>2</w:t>
            </w:r>
          </w:p>
        </w:tc>
        <w:tc>
          <w:tcPr>
            <w:tcW w:w="2977" w:type="dxa"/>
            <w:vAlign w:val="center"/>
          </w:tcPr>
          <w:p>
            <w:pPr>
              <w:pStyle w:val="31"/>
              <w:ind w:firstLine="0" w:firstLineChars="0"/>
              <w:rPr>
                <w:color w:val="000000"/>
                <w:szCs w:val="21"/>
              </w:rPr>
            </w:pPr>
          </w:p>
        </w:tc>
        <w:tc>
          <w:tcPr>
            <w:tcW w:w="3686" w:type="dxa"/>
            <w:vAlign w:val="center"/>
          </w:tcPr>
          <w:p>
            <w:pPr>
              <w:pStyle w:val="31"/>
              <w:ind w:firstLine="0" w:firstLineChars="0"/>
              <w:rPr>
                <w:color w:val="000000"/>
                <w:szCs w:val="21"/>
              </w:rPr>
            </w:pPr>
          </w:p>
        </w:tc>
        <w:tc>
          <w:tcPr>
            <w:tcW w:w="963" w:type="dxa"/>
            <w:vAlign w:val="center"/>
          </w:tcPr>
          <w:p>
            <w:pPr>
              <w:pStyle w:val="31"/>
              <w:ind w:firstLine="0" w:firstLineChars="0"/>
              <w:jc w:val="center"/>
              <w:rPr>
                <w:color w:val="000000"/>
                <w:szCs w:val="21"/>
              </w:rPr>
            </w:pPr>
          </w:p>
        </w:tc>
        <w:tc>
          <w:tcPr>
            <w:tcW w:w="2016" w:type="dxa"/>
          </w:tcPr>
          <w:p>
            <w:pPr>
              <w:pStyle w:val="31"/>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31"/>
              <w:ind w:firstLine="0" w:firstLineChars="0"/>
              <w:jc w:val="center"/>
              <w:rPr>
                <w:color w:val="000000"/>
                <w:szCs w:val="21"/>
              </w:rPr>
            </w:pPr>
            <w:r>
              <w:rPr>
                <w:rFonts w:hint="eastAsia"/>
                <w:color w:val="000000"/>
                <w:szCs w:val="21"/>
              </w:rPr>
              <w:t>3</w:t>
            </w:r>
          </w:p>
        </w:tc>
        <w:tc>
          <w:tcPr>
            <w:tcW w:w="2977" w:type="dxa"/>
            <w:vAlign w:val="center"/>
          </w:tcPr>
          <w:p>
            <w:pPr>
              <w:pStyle w:val="31"/>
              <w:ind w:firstLine="0" w:firstLineChars="0"/>
              <w:rPr>
                <w:color w:val="000000"/>
                <w:szCs w:val="21"/>
              </w:rPr>
            </w:pPr>
          </w:p>
        </w:tc>
        <w:tc>
          <w:tcPr>
            <w:tcW w:w="3686" w:type="dxa"/>
            <w:vAlign w:val="center"/>
          </w:tcPr>
          <w:p>
            <w:pPr>
              <w:pStyle w:val="31"/>
              <w:ind w:firstLine="0" w:firstLineChars="0"/>
              <w:rPr>
                <w:color w:val="000000"/>
                <w:szCs w:val="21"/>
              </w:rPr>
            </w:pPr>
          </w:p>
        </w:tc>
        <w:tc>
          <w:tcPr>
            <w:tcW w:w="963" w:type="dxa"/>
            <w:vAlign w:val="center"/>
          </w:tcPr>
          <w:p>
            <w:pPr>
              <w:pStyle w:val="31"/>
              <w:ind w:firstLine="0" w:firstLineChars="0"/>
              <w:jc w:val="center"/>
              <w:rPr>
                <w:color w:val="000000"/>
                <w:szCs w:val="21"/>
              </w:rPr>
            </w:pPr>
          </w:p>
        </w:tc>
        <w:tc>
          <w:tcPr>
            <w:tcW w:w="2016" w:type="dxa"/>
          </w:tcPr>
          <w:p>
            <w:pPr>
              <w:pStyle w:val="31"/>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31"/>
              <w:ind w:firstLine="0" w:firstLineChars="0"/>
              <w:jc w:val="center"/>
              <w:rPr>
                <w:color w:val="000000"/>
                <w:szCs w:val="21"/>
              </w:rPr>
            </w:pPr>
            <w:r>
              <w:rPr>
                <w:color w:val="000000"/>
                <w:szCs w:val="21"/>
              </w:rPr>
              <w:t>…</w:t>
            </w:r>
          </w:p>
        </w:tc>
        <w:tc>
          <w:tcPr>
            <w:tcW w:w="2977" w:type="dxa"/>
            <w:vAlign w:val="center"/>
          </w:tcPr>
          <w:p>
            <w:pPr>
              <w:pStyle w:val="31"/>
              <w:ind w:firstLine="0" w:firstLineChars="0"/>
              <w:rPr>
                <w:color w:val="000000"/>
                <w:szCs w:val="21"/>
              </w:rPr>
            </w:pPr>
          </w:p>
        </w:tc>
        <w:tc>
          <w:tcPr>
            <w:tcW w:w="3686" w:type="dxa"/>
            <w:vAlign w:val="center"/>
          </w:tcPr>
          <w:p>
            <w:pPr>
              <w:pStyle w:val="31"/>
              <w:ind w:firstLine="0" w:firstLineChars="0"/>
              <w:rPr>
                <w:color w:val="000000"/>
                <w:szCs w:val="21"/>
              </w:rPr>
            </w:pPr>
          </w:p>
        </w:tc>
        <w:tc>
          <w:tcPr>
            <w:tcW w:w="963" w:type="dxa"/>
            <w:vAlign w:val="center"/>
          </w:tcPr>
          <w:p>
            <w:pPr>
              <w:pStyle w:val="31"/>
              <w:ind w:firstLine="0" w:firstLineChars="0"/>
              <w:jc w:val="center"/>
              <w:rPr>
                <w:color w:val="000000"/>
                <w:szCs w:val="21"/>
              </w:rPr>
            </w:pPr>
          </w:p>
        </w:tc>
        <w:tc>
          <w:tcPr>
            <w:tcW w:w="2016" w:type="dxa"/>
          </w:tcPr>
          <w:p>
            <w:pPr>
              <w:pStyle w:val="31"/>
              <w:ind w:firstLine="0" w:firstLineChars="0"/>
              <w:rPr>
                <w:color w:val="000000"/>
                <w:szCs w:val="21"/>
              </w:rPr>
            </w:pPr>
          </w:p>
        </w:tc>
      </w:tr>
    </w:tbl>
    <w:p>
      <w:pPr>
        <w:pStyle w:val="31"/>
        <w:numPr>
          <w:ilvl w:val="0"/>
          <w:numId w:val="17"/>
        </w:numPr>
        <w:ind w:firstLineChars="0"/>
        <w:jc w:val="left"/>
        <w:rPr>
          <w:b/>
          <w:szCs w:val="21"/>
        </w:rPr>
      </w:pPr>
      <w:r>
        <w:rPr>
          <w:b/>
          <w:szCs w:val="21"/>
        </w:rPr>
        <w:t>合同</w:t>
      </w:r>
      <w:r>
        <w:rPr>
          <w:rFonts w:hint="eastAsia"/>
          <w:b/>
          <w:szCs w:val="21"/>
        </w:rPr>
        <w:t>价款</w:t>
      </w:r>
    </w:p>
    <w:p>
      <w:pPr>
        <w:ind w:firstLine="480"/>
        <w:contextualSpacing/>
        <w:jc w:val="left"/>
        <w:rPr>
          <w:szCs w:val="21"/>
        </w:rPr>
      </w:pPr>
      <w:bookmarkStart w:id="36" w:name="OLE_LINK1"/>
      <w:bookmarkStart w:id="37" w:name="OLE_LINK2"/>
      <w:r>
        <w:rPr>
          <w:color w:val="000000"/>
          <w:szCs w:val="21"/>
        </w:rPr>
        <w:sym w:font="Wingdings 2" w:char="F052"/>
      </w:r>
      <w:r>
        <w:rPr>
          <w:rFonts w:hint="eastAsia"/>
          <w:szCs w:val="21"/>
        </w:rPr>
        <w:t>全包服务</w:t>
      </w:r>
    </w:p>
    <w:p>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pPr>
        <w:ind w:firstLine="480"/>
        <w:contextualSpacing/>
        <w:jc w:val="left"/>
      </w:pPr>
      <w:r>
        <w:rPr>
          <w:color w:val="000000"/>
          <w:szCs w:val="21"/>
          <w:shd w:val="clear" w:color="auto" w:fill="FFFFFF"/>
        </w:rPr>
        <w:sym w:font="Wingdings" w:char="F0A8"/>
      </w:r>
      <w:r>
        <w:rPr>
          <w:rFonts w:hint="eastAsia"/>
        </w:rPr>
        <w:t>半包服务</w:t>
      </w:r>
    </w:p>
    <w:p>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38" w:name="OLE_LINK28"/>
      <w:r>
        <w:rPr>
          <w:szCs w:val="21"/>
        </w:rPr>
        <w:t>人民币大写：*** 圆整，即RMB *** 元</w:t>
      </w:r>
      <w:bookmarkEnd w:id="38"/>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pPr>
        <w:ind w:firstLine="480"/>
        <w:contextualSpacing/>
        <w:jc w:val="left"/>
      </w:pPr>
      <w:r>
        <w:rPr>
          <w:color w:val="000000"/>
          <w:szCs w:val="21"/>
          <w:shd w:val="clear" w:color="auto" w:fill="FFFFFF"/>
        </w:rPr>
        <w:sym w:font="Wingdings" w:char="F0A8"/>
      </w:r>
      <w:r>
        <w:rPr>
          <w:rFonts w:hint="eastAsia"/>
        </w:rPr>
        <w:t>按实结算</w:t>
      </w:r>
    </w:p>
    <w:p>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36"/>
    <w:bookmarkEnd w:id="37"/>
    <w:p>
      <w:pPr>
        <w:pStyle w:val="31"/>
        <w:numPr>
          <w:ilvl w:val="0"/>
          <w:numId w:val="17"/>
        </w:numPr>
        <w:ind w:left="0" w:firstLine="0" w:firstLineChars="0"/>
        <w:jc w:val="left"/>
        <w:rPr>
          <w:b/>
          <w:szCs w:val="21"/>
        </w:rPr>
      </w:pPr>
      <w:r>
        <w:rPr>
          <w:b/>
          <w:szCs w:val="21"/>
        </w:rPr>
        <w:t>服务期限</w:t>
      </w:r>
      <w:r>
        <w:rPr>
          <w:i/>
          <w:iCs/>
          <w:szCs w:val="21"/>
          <w:highlight w:val="yellow"/>
        </w:rPr>
        <w:t>&lt;根据项目实际情况选择&gt;</w:t>
      </w:r>
    </w:p>
    <w:p>
      <w:pPr>
        <w:pStyle w:val="31"/>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pPr>
        <w:pStyle w:val="31"/>
        <w:jc w:val="left"/>
        <w:rPr>
          <w:bCs/>
          <w:szCs w:val="21"/>
        </w:rPr>
      </w:pPr>
    </w:p>
    <w:p>
      <w:pPr>
        <w:pStyle w:val="31"/>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pPr>
        <w:pStyle w:val="31"/>
        <w:jc w:val="left"/>
        <w:rPr>
          <w:bCs/>
          <w:szCs w:val="21"/>
        </w:rPr>
      </w:pPr>
    </w:p>
    <w:p>
      <w:pPr>
        <w:pStyle w:val="31"/>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39" w:name="OLE_LINK29"/>
      <w:r>
        <w:rPr>
          <w:rFonts w:hint="eastAsia"/>
          <w:bCs/>
          <w:szCs w:val="21"/>
        </w:rPr>
        <w:t>，考核标准详见附件</w:t>
      </w:r>
      <w:r>
        <w:rPr>
          <w:rFonts w:hint="eastAsia"/>
          <w:bCs/>
          <w:szCs w:val="21"/>
          <w:u w:val="single"/>
        </w:rPr>
        <w:t>2</w:t>
      </w:r>
      <w:r>
        <w:rPr>
          <w:rFonts w:hint="eastAsia"/>
          <w:bCs/>
          <w:szCs w:val="21"/>
        </w:rPr>
        <w:t>《考核标准》</w:t>
      </w:r>
      <w:bookmarkEnd w:id="39"/>
      <w:r>
        <w:rPr>
          <w:bCs/>
          <w:szCs w:val="21"/>
        </w:rPr>
        <w:t>。</w:t>
      </w:r>
    </w:p>
    <w:p>
      <w:pPr>
        <w:pStyle w:val="31"/>
        <w:numPr>
          <w:ilvl w:val="0"/>
          <w:numId w:val="17"/>
        </w:numPr>
        <w:ind w:left="0" w:firstLine="0" w:firstLineChars="0"/>
        <w:contextualSpacing/>
        <w:jc w:val="left"/>
        <w:rPr>
          <w:b/>
          <w:szCs w:val="21"/>
        </w:rPr>
      </w:pPr>
      <w:r>
        <w:rPr>
          <w:b/>
          <w:szCs w:val="21"/>
        </w:rPr>
        <w:t>服务</w:t>
      </w:r>
      <w:r>
        <w:rPr>
          <w:rFonts w:hint="eastAsia"/>
          <w:b/>
          <w:szCs w:val="21"/>
        </w:rPr>
        <w:t>方案</w:t>
      </w:r>
    </w:p>
    <w:p>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pPr>
        <w:pStyle w:val="31"/>
        <w:numPr>
          <w:ilvl w:val="0"/>
          <w:numId w:val="17"/>
        </w:numPr>
        <w:ind w:left="0" w:firstLine="0" w:firstLineChars="0"/>
        <w:contextualSpacing/>
        <w:jc w:val="left"/>
        <w:rPr>
          <w:b/>
          <w:szCs w:val="21"/>
        </w:rPr>
      </w:pPr>
      <w:r>
        <w:rPr>
          <w:b/>
          <w:szCs w:val="21"/>
        </w:rPr>
        <w:t>验收</w:t>
      </w:r>
    </w:p>
    <w:p>
      <w:pPr>
        <w:pStyle w:val="31"/>
        <w:numPr>
          <w:ilvl w:val="0"/>
          <w:numId w:val="19"/>
        </w:numPr>
        <w:ind w:left="0" w:firstLine="0" w:firstLineChars="0"/>
        <w:contextualSpacing/>
        <w:rPr>
          <w:szCs w:val="21"/>
        </w:rPr>
      </w:pPr>
      <w:r>
        <w:rPr>
          <w:szCs w:val="21"/>
        </w:rPr>
        <w:t>甲、乙双方确定，按照本合同约定的验收方案对乙方按本合同约定所提供的服务进行验收。</w:t>
      </w:r>
    </w:p>
    <w:p>
      <w:pPr>
        <w:pStyle w:val="31"/>
        <w:numPr>
          <w:ilvl w:val="0"/>
          <w:numId w:val="19"/>
        </w:numPr>
        <w:ind w:left="0" w:firstLine="0" w:firstLineChars="0"/>
        <w:contextualSpacing/>
        <w:rPr>
          <w:szCs w:val="21"/>
        </w:rPr>
      </w:pPr>
      <w:r>
        <w:rPr>
          <w:szCs w:val="21"/>
        </w:rPr>
        <w:t>验收方案：</w:t>
      </w:r>
    </w:p>
    <w:p>
      <w:pPr>
        <w:pStyle w:val="31"/>
        <w:numPr>
          <w:ilvl w:val="0"/>
          <w:numId w:val="20"/>
        </w:numPr>
        <w:ind w:firstLineChars="0"/>
        <w:contextualSpacing/>
        <w:rPr>
          <w:color w:val="000000"/>
          <w:szCs w:val="21"/>
        </w:rPr>
      </w:pPr>
      <w:r>
        <w:rPr>
          <w:rFonts w:hint="eastAsia"/>
          <w:color w:val="000000"/>
          <w:szCs w:val="21"/>
        </w:rPr>
        <w:t>验收主体：甲方</w:t>
      </w:r>
    </w:p>
    <w:p>
      <w:pPr>
        <w:pStyle w:val="31"/>
        <w:numPr>
          <w:ilvl w:val="0"/>
          <w:numId w:val="20"/>
        </w:numPr>
        <w:ind w:firstLineChars="0"/>
        <w:contextualSpacing/>
        <w:rPr>
          <w:color w:val="000000"/>
          <w:szCs w:val="21"/>
        </w:rPr>
      </w:pPr>
      <w:r>
        <w:rPr>
          <w:rFonts w:hint="eastAsia"/>
          <w:color w:val="000000"/>
          <w:szCs w:val="21"/>
        </w:rPr>
        <w:t>验收组织方式：自行验收</w:t>
      </w:r>
    </w:p>
    <w:p>
      <w:pPr>
        <w:pStyle w:val="31"/>
        <w:numPr>
          <w:ilvl w:val="0"/>
          <w:numId w:val="20"/>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pPr>
        <w:pStyle w:val="31"/>
        <w:numPr>
          <w:ilvl w:val="0"/>
          <w:numId w:val="20"/>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pPr>
        <w:pStyle w:val="31"/>
        <w:numPr>
          <w:ilvl w:val="0"/>
          <w:numId w:val="20"/>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pPr>
        <w:pStyle w:val="31"/>
        <w:numPr>
          <w:ilvl w:val="0"/>
          <w:numId w:val="20"/>
        </w:numPr>
        <w:ind w:firstLineChars="0"/>
        <w:contextualSpacing/>
        <w:rPr>
          <w:color w:val="000000"/>
          <w:szCs w:val="21"/>
        </w:rPr>
      </w:pPr>
      <w:r>
        <w:rPr>
          <w:rFonts w:hint="eastAsia"/>
          <w:color w:val="000000"/>
          <w:szCs w:val="21"/>
        </w:rPr>
        <w:t>履约</w:t>
      </w:r>
      <w:r>
        <w:rPr>
          <w:color w:val="000000"/>
          <w:szCs w:val="21"/>
        </w:rPr>
        <w:t>验收时间：</w:t>
      </w:r>
    </w:p>
    <w:p>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pPr>
        <w:pStyle w:val="14"/>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pPr>
        <w:pStyle w:val="31"/>
        <w:numPr>
          <w:ilvl w:val="0"/>
          <w:numId w:val="20"/>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31"/>
        <w:numPr>
          <w:ilvl w:val="0"/>
          <w:numId w:val="20"/>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31"/>
        <w:numPr>
          <w:ilvl w:val="0"/>
          <w:numId w:val="20"/>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31"/>
        <w:numPr>
          <w:ilvl w:val="0"/>
          <w:numId w:val="20"/>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31"/>
        <w:numPr>
          <w:ilvl w:val="0"/>
          <w:numId w:val="20"/>
        </w:numPr>
        <w:ind w:firstLineChars="0"/>
        <w:contextualSpacing/>
        <w:rPr>
          <w:szCs w:val="21"/>
        </w:rPr>
      </w:pPr>
      <w:r>
        <w:rPr>
          <w:szCs w:val="21"/>
        </w:rPr>
        <w:t>验收标准：</w:t>
      </w:r>
    </w:p>
    <w:p>
      <w:pPr>
        <w:pStyle w:val="14"/>
        <w:numPr>
          <w:ilvl w:val="0"/>
          <w:numId w:val="21"/>
        </w:numPr>
        <w:spacing w:after="0"/>
        <w:ind w:firstLineChars="0"/>
        <w:contextualSpacing/>
        <w:rPr>
          <w:rFonts w:ascii="Times New Roman" w:hAnsi="Times New Roman"/>
          <w:szCs w:val="21"/>
        </w:rPr>
      </w:pPr>
      <w:bookmarkStart w:id="40" w:name="OLE_LINK4"/>
      <w:r>
        <w:rPr>
          <w:rFonts w:ascii="Times New Roman" w:hAnsi="Times New Roman"/>
          <w:szCs w:val="21"/>
          <w:shd w:val="clear" w:color="auto" w:fill="FFFFFF"/>
        </w:rPr>
        <w:t>国家相关法律法规、行业标准、技术规范。</w:t>
      </w:r>
    </w:p>
    <w:p>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pPr>
        <w:pStyle w:val="14"/>
        <w:numPr>
          <w:ilvl w:val="0"/>
          <w:numId w:val="21"/>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40"/>
    <w:p>
      <w:pPr>
        <w:pStyle w:val="14"/>
        <w:numPr>
          <w:ilvl w:val="0"/>
          <w:numId w:val="21"/>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pPr>
        <w:pStyle w:val="31"/>
        <w:numPr>
          <w:ilvl w:val="0"/>
          <w:numId w:val="20"/>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pPr>
        <w:pStyle w:val="31"/>
        <w:numPr>
          <w:ilvl w:val="0"/>
          <w:numId w:val="19"/>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pPr>
        <w:pStyle w:val="31"/>
        <w:numPr>
          <w:ilvl w:val="0"/>
          <w:numId w:val="17"/>
        </w:numPr>
        <w:ind w:left="0" w:firstLine="0" w:firstLineChars="0"/>
        <w:contextualSpacing/>
        <w:jc w:val="left"/>
        <w:rPr>
          <w:b/>
          <w:szCs w:val="21"/>
        </w:rPr>
      </w:pPr>
      <w:r>
        <w:rPr>
          <w:b/>
          <w:szCs w:val="21"/>
        </w:rPr>
        <w:t>付款方式</w:t>
      </w:r>
    </w:p>
    <w:p>
      <w:pPr>
        <w:pStyle w:val="8"/>
        <w:numPr>
          <w:ilvl w:val="0"/>
          <w:numId w:val="22"/>
        </w:numPr>
        <w:spacing w:after="0" w:line="240" w:lineRule="auto"/>
        <w:ind w:left="227" w:leftChars="0" w:hanging="227"/>
        <w:contextualSpacing/>
        <w:jc w:val="left"/>
        <w:rPr>
          <w:szCs w:val="21"/>
        </w:rPr>
      </w:pPr>
      <w:r>
        <w:rPr>
          <w:szCs w:val="21"/>
        </w:rPr>
        <w:t>履约保证金：</w:t>
      </w:r>
    </w:p>
    <w:p>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pPr>
        <w:pStyle w:val="8"/>
        <w:numPr>
          <w:ilvl w:val="0"/>
          <w:numId w:val="22"/>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pPr>
        <w:pStyle w:val="14"/>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pPr>
        <w:pStyle w:val="14"/>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41" w:name="OLE_LINK30"/>
      <w:r>
        <w:rPr>
          <w:rFonts w:hint="eastAsia"/>
          <w:szCs w:val="21"/>
        </w:rPr>
        <w:t>固定部分价款</w:t>
      </w:r>
      <w:bookmarkEnd w:id="41"/>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pPr>
        <w:pStyle w:val="14"/>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pPr>
        <w:pStyle w:val="8"/>
        <w:numPr>
          <w:ilvl w:val="0"/>
          <w:numId w:val="22"/>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pPr>
        <w:pStyle w:val="8"/>
        <w:numPr>
          <w:ilvl w:val="0"/>
          <w:numId w:val="22"/>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pPr>
        <w:pStyle w:val="31"/>
        <w:numPr>
          <w:ilvl w:val="0"/>
          <w:numId w:val="17"/>
        </w:numPr>
        <w:ind w:left="0" w:firstLine="0" w:firstLineChars="0"/>
        <w:contextualSpacing/>
        <w:jc w:val="left"/>
        <w:rPr>
          <w:b/>
          <w:szCs w:val="21"/>
        </w:rPr>
      </w:pPr>
      <w:r>
        <w:rPr>
          <w:b/>
          <w:szCs w:val="21"/>
        </w:rPr>
        <w:t>双方权利与义务</w:t>
      </w:r>
    </w:p>
    <w:p>
      <w:pPr>
        <w:pStyle w:val="8"/>
        <w:numPr>
          <w:ilvl w:val="0"/>
          <w:numId w:val="23"/>
        </w:numPr>
        <w:spacing w:after="0" w:line="240" w:lineRule="auto"/>
        <w:ind w:left="227" w:leftChars="0" w:hanging="227"/>
        <w:contextualSpacing/>
        <w:jc w:val="left"/>
        <w:rPr>
          <w:szCs w:val="21"/>
        </w:rPr>
      </w:pPr>
      <w:r>
        <w:rPr>
          <w:szCs w:val="21"/>
        </w:rPr>
        <w:t>甲方权利与义务</w:t>
      </w:r>
    </w:p>
    <w:p>
      <w:pPr>
        <w:pStyle w:val="31"/>
        <w:numPr>
          <w:ilvl w:val="0"/>
          <w:numId w:val="24"/>
        </w:numPr>
        <w:adjustRightInd w:val="0"/>
        <w:ind w:left="525" w:hanging="525" w:hangingChars="250"/>
        <w:contextualSpacing/>
        <w:jc w:val="left"/>
        <w:rPr>
          <w:szCs w:val="21"/>
        </w:rPr>
      </w:pPr>
      <w:r>
        <w:rPr>
          <w:szCs w:val="21"/>
        </w:rPr>
        <w:t>按合同约定向乙方支付费用。</w:t>
      </w:r>
    </w:p>
    <w:p>
      <w:pPr>
        <w:pStyle w:val="31"/>
        <w:numPr>
          <w:ilvl w:val="0"/>
          <w:numId w:val="24"/>
        </w:numPr>
        <w:adjustRightInd w:val="0"/>
        <w:ind w:left="525" w:hanging="525" w:hangingChars="250"/>
        <w:contextualSpacing/>
        <w:jc w:val="left"/>
        <w:rPr>
          <w:szCs w:val="21"/>
        </w:rPr>
      </w:pPr>
      <w:r>
        <w:rPr>
          <w:szCs w:val="21"/>
        </w:rPr>
        <w:t>保证乙方实施服务所必须的外部条件如电源、水源的正常供应及开启、关闭等。</w:t>
      </w:r>
    </w:p>
    <w:p>
      <w:pPr>
        <w:pStyle w:val="31"/>
        <w:numPr>
          <w:ilvl w:val="0"/>
          <w:numId w:val="24"/>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pPr>
        <w:pStyle w:val="31"/>
        <w:numPr>
          <w:ilvl w:val="0"/>
          <w:numId w:val="24"/>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pPr>
        <w:pStyle w:val="8"/>
        <w:numPr>
          <w:ilvl w:val="0"/>
          <w:numId w:val="23"/>
        </w:numPr>
        <w:spacing w:after="0" w:line="240" w:lineRule="auto"/>
        <w:ind w:left="227" w:leftChars="0" w:hanging="227"/>
        <w:contextualSpacing/>
        <w:jc w:val="left"/>
        <w:rPr>
          <w:szCs w:val="21"/>
        </w:rPr>
      </w:pPr>
      <w:r>
        <w:rPr>
          <w:szCs w:val="21"/>
        </w:rPr>
        <w:t>乙方权利与义务</w:t>
      </w:r>
    </w:p>
    <w:p>
      <w:pPr>
        <w:pStyle w:val="8"/>
        <w:numPr>
          <w:ilvl w:val="0"/>
          <w:numId w:val="25"/>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pPr>
        <w:pStyle w:val="8"/>
        <w:numPr>
          <w:ilvl w:val="0"/>
          <w:numId w:val="25"/>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pPr>
        <w:pStyle w:val="8"/>
        <w:numPr>
          <w:ilvl w:val="0"/>
          <w:numId w:val="25"/>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pPr>
        <w:pStyle w:val="8"/>
        <w:numPr>
          <w:ilvl w:val="0"/>
          <w:numId w:val="25"/>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pPr>
        <w:pStyle w:val="8"/>
        <w:numPr>
          <w:ilvl w:val="0"/>
          <w:numId w:val="25"/>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pPr>
        <w:pStyle w:val="31"/>
        <w:numPr>
          <w:ilvl w:val="0"/>
          <w:numId w:val="17"/>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pPr>
        <w:pStyle w:val="8"/>
        <w:numPr>
          <w:ilvl w:val="0"/>
          <w:numId w:val="26"/>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pPr>
        <w:pStyle w:val="31"/>
        <w:numPr>
          <w:ilvl w:val="0"/>
          <w:numId w:val="26"/>
        </w:numPr>
        <w:ind w:left="0" w:firstLine="0" w:firstLineChars="0"/>
        <w:rPr>
          <w:szCs w:val="21"/>
        </w:rPr>
      </w:pPr>
      <w:r>
        <w:rPr>
          <w:szCs w:val="21"/>
        </w:rPr>
        <w:t>乙方违约责任：</w:t>
      </w:r>
    </w:p>
    <w:p>
      <w:pPr>
        <w:pStyle w:val="8"/>
        <w:numPr>
          <w:ilvl w:val="0"/>
          <w:numId w:val="27"/>
        </w:numPr>
        <w:spacing w:after="0" w:line="240" w:lineRule="auto"/>
        <w:ind w:left="525" w:leftChars="0" w:hanging="525" w:hangingChars="250"/>
        <w:contextualSpacing/>
        <w:jc w:val="left"/>
        <w:rPr>
          <w:szCs w:val="21"/>
        </w:rPr>
      </w:pPr>
      <w:bookmarkStart w:id="42" w:name="OLE_LINK18"/>
      <w:bookmarkStart w:id="43"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pPr>
        <w:pStyle w:val="8"/>
        <w:numPr>
          <w:ilvl w:val="0"/>
          <w:numId w:val="27"/>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pPr>
        <w:pStyle w:val="8"/>
        <w:numPr>
          <w:ilvl w:val="0"/>
          <w:numId w:val="27"/>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pPr>
        <w:pStyle w:val="8"/>
        <w:numPr>
          <w:ilvl w:val="0"/>
          <w:numId w:val="27"/>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pPr>
        <w:pStyle w:val="8"/>
        <w:numPr>
          <w:ilvl w:val="0"/>
          <w:numId w:val="27"/>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pPr>
        <w:pStyle w:val="8"/>
        <w:numPr>
          <w:ilvl w:val="0"/>
          <w:numId w:val="27"/>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42"/>
    <w:bookmarkEnd w:id="43"/>
    <w:p>
      <w:pPr>
        <w:pStyle w:val="8"/>
        <w:numPr>
          <w:ilvl w:val="0"/>
          <w:numId w:val="27"/>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pPr>
        <w:pStyle w:val="8"/>
        <w:numPr>
          <w:ilvl w:val="0"/>
          <w:numId w:val="27"/>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pPr>
        <w:pStyle w:val="8"/>
        <w:numPr>
          <w:ilvl w:val="0"/>
          <w:numId w:val="27"/>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pStyle w:val="8"/>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pPr>
        <w:pStyle w:val="31"/>
        <w:numPr>
          <w:ilvl w:val="0"/>
          <w:numId w:val="17"/>
        </w:numPr>
        <w:ind w:left="0" w:firstLine="0" w:firstLineChars="0"/>
        <w:contextualSpacing/>
        <w:jc w:val="left"/>
        <w:rPr>
          <w:b/>
          <w:szCs w:val="21"/>
        </w:rPr>
      </w:pPr>
      <w:r>
        <w:rPr>
          <w:b/>
          <w:szCs w:val="21"/>
        </w:rPr>
        <w:t>不可抗力</w:t>
      </w:r>
    </w:p>
    <w:p>
      <w:pPr>
        <w:pStyle w:val="31"/>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pPr>
        <w:pStyle w:val="31"/>
        <w:numPr>
          <w:ilvl w:val="0"/>
          <w:numId w:val="17"/>
        </w:numPr>
        <w:ind w:left="0" w:firstLine="0" w:firstLineChars="0"/>
        <w:contextualSpacing/>
        <w:jc w:val="left"/>
        <w:rPr>
          <w:b/>
          <w:szCs w:val="21"/>
        </w:rPr>
      </w:pPr>
      <w:r>
        <w:rPr>
          <w:b/>
          <w:szCs w:val="21"/>
        </w:rPr>
        <w:t>合同终止及解除</w:t>
      </w:r>
    </w:p>
    <w:p>
      <w:pPr>
        <w:pStyle w:val="31"/>
        <w:numPr>
          <w:ilvl w:val="0"/>
          <w:numId w:val="28"/>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pPr>
        <w:pStyle w:val="31"/>
        <w:numPr>
          <w:ilvl w:val="0"/>
          <w:numId w:val="28"/>
        </w:numPr>
        <w:ind w:left="0" w:firstLine="0" w:firstLineChars="0"/>
        <w:rPr>
          <w:szCs w:val="21"/>
        </w:rPr>
      </w:pPr>
      <w:r>
        <w:rPr>
          <w:szCs w:val="21"/>
        </w:rPr>
        <w:t>在甲、乙任何一方有严重违约行为时，另一方有权单方解除合同。</w:t>
      </w:r>
    </w:p>
    <w:p>
      <w:pPr>
        <w:pStyle w:val="31"/>
        <w:numPr>
          <w:ilvl w:val="0"/>
          <w:numId w:val="17"/>
        </w:numPr>
        <w:ind w:left="0" w:firstLine="0" w:firstLineChars="0"/>
        <w:contextualSpacing/>
        <w:jc w:val="left"/>
        <w:rPr>
          <w:b/>
          <w:szCs w:val="21"/>
        </w:rPr>
      </w:pPr>
      <w:r>
        <w:rPr>
          <w:b/>
          <w:szCs w:val="21"/>
        </w:rPr>
        <w:t>争议解决办法</w:t>
      </w:r>
    </w:p>
    <w:p>
      <w:pPr>
        <w:pStyle w:val="31"/>
        <w:numPr>
          <w:ilvl w:val="0"/>
          <w:numId w:val="29"/>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pPr>
        <w:pStyle w:val="31"/>
        <w:numPr>
          <w:ilvl w:val="0"/>
          <w:numId w:val="29"/>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pPr>
        <w:pStyle w:val="31"/>
        <w:numPr>
          <w:ilvl w:val="0"/>
          <w:numId w:val="17"/>
        </w:numPr>
        <w:ind w:left="0" w:firstLine="0" w:firstLineChars="0"/>
        <w:contextualSpacing/>
        <w:jc w:val="left"/>
        <w:rPr>
          <w:b/>
          <w:szCs w:val="21"/>
        </w:rPr>
      </w:pPr>
      <w:r>
        <w:rPr>
          <w:b/>
          <w:szCs w:val="21"/>
        </w:rPr>
        <w:t>送达（送达地址是司法机关、执法机关和仲裁机关将法律文书送达给当事人的收件地址）</w:t>
      </w:r>
    </w:p>
    <w:p>
      <w:pPr>
        <w:pStyle w:val="49"/>
        <w:numPr>
          <w:ilvl w:val="0"/>
          <w:numId w:val="30"/>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49"/>
        <w:numPr>
          <w:ilvl w:val="0"/>
          <w:numId w:val="30"/>
        </w:numPr>
        <w:ind w:left="0" w:firstLine="0"/>
        <w:rPr>
          <w:rFonts w:hAnsi="Times New Roman" w:eastAsia="宋体" w:cs="Times New Roman"/>
          <w:color w:val="auto"/>
        </w:rPr>
      </w:pPr>
      <w:r>
        <w:rPr>
          <w:rFonts w:hAnsi="Times New Roman" w:eastAsia="宋体" w:cs="Times New Roman"/>
          <w:color w:val="auto"/>
        </w:rPr>
        <w:t>乙方送达地址：***</w:t>
      </w:r>
    </w:p>
    <w:p>
      <w:pPr>
        <w:pStyle w:val="49"/>
        <w:numPr>
          <w:ilvl w:val="0"/>
          <w:numId w:val="30"/>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31"/>
        <w:numPr>
          <w:ilvl w:val="0"/>
          <w:numId w:val="17"/>
        </w:numPr>
        <w:ind w:left="0" w:firstLine="0" w:firstLineChars="0"/>
        <w:contextualSpacing/>
        <w:jc w:val="left"/>
        <w:rPr>
          <w:b/>
          <w:szCs w:val="21"/>
        </w:rPr>
      </w:pPr>
      <w:r>
        <w:rPr>
          <w:b/>
          <w:szCs w:val="21"/>
        </w:rPr>
        <w:t>其他</w:t>
      </w:r>
    </w:p>
    <w:p>
      <w:pPr>
        <w:pStyle w:val="31"/>
        <w:numPr>
          <w:ilvl w:val="0"/>
          <w:numId w:val="31"/>
        </w:numPr>
        <w:ind w:left="0" w:firstLine="0" w:firstLineChars="0"/>
        <w:rPr>
          <w:szCs w:val="21"/>
        </w:rPr>
      </w:pPr>
      <w:r>
        <w:rPr>
          <w:szCs w:val="21"/>
        </w:rPr>
        <w:t>如有未尽事宜，由双方依法订立补充合同。补充合同及本合同附件均为本合同的组成部分，与本合同具有同等法律效力。</w:t>
      </w:r>
    </w:p>
    <w:p>
      <w:pPr>
        <w:pStyle w:val="31"/>
        <w:numPr>
          <w:ilvl w:val="0"/>
          <w:numId w:val="31"/>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pPr>
        <w:pStyle w:val="31"/>
        <w:numPr>
          <w:ilvl w:val="0"/>
          <w:numId w:val="17"/>
        </w:numPr>
        <w:ind w:left="0" w:firstLine="0" w:firstLineChars="0"/>
        <w:contextualSpacing/>
        <w:jc w:val="left"/>
        <w:rPr>
          <w:b/>
          <w:szCs w:val="21"/>
        </w:rPr>
      </w:pPr>
      <w:r>
        <w:rPr>
          <w:b/>
          <w:szCs w:val="21"/>
        </w:rPr>
        <w:t>合同附件</w:t>
      </w:r>
    </w:p>
    <w:p>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pPr>
        <w:jc w:val="left"/>
        <w:outlineLvl w:val="0"/>
        <w:rPr>
          <w:szCs w:val="21"/>
        </w:rPr>
      </w:pPr>
      <w:r>
        <w:rPr>
          <w:rFonts w:hint="eastAsia"/>
          <w:szCs w:val="21"/>
        </w:rPr>
        <w:t>附件1《</w:t>
      </w:r>
      <w:bookmarkStart w:id="44" w:name="OLE_LINK32"/>
      <w:r>
        <w:rPr>
          <w:rFonts w:hint="eastAsia"/>
          <w:szCs w:val="21"/>
        </w:rPr>
        <w:t>结算单价清单</w:t>
      </w:r>
      <w:bookmarkEnd w:id="44"/>
      <w:r>
        <w:rPr>
          <w:rFonts w:hint="eastAsia"/>
          <w:szCs w:val="21"/>
        </w:rPr>
        <w:t>》</w:t>
      </w:r>
    </w:p>
    <w:p>
      <w:pPr>
        <w:jc w:val="left"/>
        <w:outlineLvl w:val="0"/>
        <w:rPr>
          <w:szCs w:val="21"/>
        </w:rPr>
      </w:pPr>
      <w:r>
        <w:rPr>
          <w:rFonts w:hint="eastAsia"/>
          <w:szCs w:val="21"/>
        </w:rPr>
        <w:t>附件2《考核标准》</w:t>
      </w:r>
    </w:p>
    <w:p>
      <w:pPr>
        <w:jc w:val="left"/>
        <w:outlineLvl w:val="0"/>
        <w:rPr>
          <w:szCs w:val="21"/>
        </w:rPr>
      </w:pPr>
      <w:r>
        <w:rPr>
          <w:szCs w:val="21"/>
        </w:rPr>
        <w:t>附件3《服务</w:t>
      </w:r>
      <w:r>
        <w:rPr>
          <w:rFonts w:hint="eastAsia"/>
          <w:szCs w:val="21"/>
        </w:rPr>
        <w:t>方案</w:t>
      </w:r>
      <w:r>
        <w:rPr>
          <w:szCs w:val="21"/>
        </w:rPr>
        <w:t>》</w:t>
      </w:r>
    </w:p>
    <w:p>
      <w:pPr>
        <w:jc w:val="center"/>
        <w:rPr>
          <w:szCs w:val="21"/>
        </w:rPr>
      </w:pPr>
      <w:r>
        <w:rPr>
          <w:szCs w:val="21"/>
        </w:rPr>
        <w:t>——</w:t>
      </w:r>
      <w:r>
        <w:rPr>
          <w:sz w:val="18"/>
          <w:szCs w:val="18"/>
        </w:rPr>
        <w:t>以下无正文</w:t>
      </w:r>
      <w:r>
        <w:rPr>
          <w:szCs w:val="21"/>
        </w:rPr>
        <w:t>——</w:t>
      </w:r>
    </w:p>
    <w:tbl>
      <w:tblPr>
        <w:tblStyle w:val="15"/>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519" w:hRule="atLeast"/>
          <w:jc w:val="center"/>
        </w:trPr>
        <w:tc>
          <w:tcPr>
            <w:tcW w:w="10214" w:type="dxa"/>
            <w:gridSpan w:val="2"/>
          </w:tcPr>
          <w:p>
            <w:pPr>
              <w:rPr>
                <w:szCs w:val="21"/>
              </w:rPr>
            </w:pPr>
            <w:r>
              <w:rPr>
                <w:szCs w:val="21"/>
              </w:rPr>
              <w:t>签订时间：</w:t>
            </w:r>
            <w:r>
              <w:t>202*</w:t>
            </w:r>
            <w:r>
              <w:rPr>
                <w:szCs w:val="21"/>
              </w:rPr>
              <w:t>年***月***日</w:t>
            </w:r>
          </w:p>
        </w:tc>
      </w:tr>
      <w:tr>
        <w:tblPrEx>
          <w:tblCellMar>
            <w:top w:w="0" w:type="dxa"/>
            <w:left w:w="0" w:type="dxa"/>
            <w:bottom w:w="0" w:type="dxa"/>
            <w:right w:w="0" w:type="dxa"/>
          </w:tblCellMar>
        </w:tblPrEx>
        <w:trPr>
          <w:jc w:val="center"/>
        </w:trPr>
        <w:tc>
          <w:tcPr>
            <w:tcW w:w="4967" w:type="dxa"/>
          </w:tcPr>
          <w:p>
            <w:pPr>
              <w:rPr>
                <w:szCs w:val="21"/>
              </w:rPr>
            </w:pPr>
            <w:r>
              <w:rPr>
                <w:szCs w:val="21"/>
              </w:rPr>
              <w:t>甲方：四川省人民医院（盖章）</w:t>
            </w:r>
          </w:p>
          <w:p>
            <w:pPr>
              <w:rPr>
                <w:szCs w:val="21"/>
              </w:rPr>
            </w:pPr>
            <w:r>
              <w:rPr>
                <w:szCs w:val="21"/>
              </w:rPr>
              <w:t>法定代表人（授权代表签字）：</w:t>
            </w:r>
          </w:p>
          <w:p>
            <w:pPr>
              <w:rPr>
                <w:szCs w:val="21"/>
              </w:rPr>
            </w:pPr>
            <w:r>
              <w:rPr>
                <w:szCs w:val="21"/>
              </w:rPr>
              <w:t>地    址：四川省成都市一环路西二段32号</w:t>
            </w:r>
          </w:p>
          <w:p>
            <w:pPr>
              <w:rPr>
                <w:szCs w:val="21"/>
              </w:rPr>
            </w:pPr>
            <w:r>
              <w:rPr>
                <w:szCs w:val="21"/>
              </w:rPr>
              <w:t>开户银行：建设银行成都青羊支行</w:t>
            </w:r>
          </w:p>
          <w:p>
            <w:pPr>
              <w:rPr>
                <w:szCs w:val="21"/>
              </w:rPr>
            </w:pPr>
            <w:r>
              <w:rPr>
                <w:szCs w:val="21"/>
              </w:rPr>
              <w:t>账号：5100 1446 4360 5037 4282</w:t>
            </w:r>
          </w:p>
        </w:tc>
        <w:tc>
          <w:tcPr>
            <w:tcW w:w="5247" w:type="dxa"/>
          </w:tcPr>
          <w:p>
            <w:pPr>
              <w:rPr>
                <w:szCs w:val="21"/>
              </w:rPr>
            </w:pPr>
            <w:r>
              <w:rPr>
                <w:szCs w:val="21"/>
              </w:rPr>
              <w:t>乙方：</w:t>
            </w:r>
            <w:permStart w:id="2" w:edGrp="everyone"/>
            <w:r>
              <w:rPr>
                <w:szCs w:val="21"/>
              </w:rPr>
              <w:t>***</w:t>
            </w:r>
            <w:permEnd w:id="2"/>
            <w:r>
              <w:rPr>
                <w:szCs w:val="21"/>
              </w:rPr>
              <w:t>（盖章）</w:t>
            </w:r>
          </w:p>
          <w:p>
            <w:pPr>
              <w:rPr>
                <w:szCs w:val="21"/>
              </w:rPr>
            </w:pPr>
            <w:r>
              <w:rPr>
                <w:szCs w:val="21"/>
              </w:rPr>
              <w:t>法定代表人（授权代表签字）：</w:t>
            </w:r>
          </w:p>
          <w:p>
            <w:pPr>
              <w:rPr>
                <w:szCs w:val="21"/>
              </w:rPr>
            </w:pPr>
            <w:r>
              <w:rPr>
                <w:szCs w:val="21"/>
              </w:rPr>
              <w:t>地址：</w:t>
            </w:r>
            <w:permStart w:id="3" w:edGrp="everyone"/>
            <w:r>
              <w:rPr>
                <w:szCs w:val="21"/>
              </w:rPr>
              <w:t>***</w:t>
            </w:r>
            <w:permEnd w:id="3"/>
          </w:p>
          <w:p>
            <w:pPr>
              <w:rPr>
                <w:szCs w:val="21"/>
              </w:rPr>
            </w:pPr>
            <w:r>
              <w:rPr>
                <w:szCs w:val="21"/>
              </w:rPr>
              <w:t>开户银行：</w:t>
            </w:r>
            <w:permStart w:id="4" w:edGrp="everyone"/>
            <w:r>
              <w:rPr>
                <w:szCs w:val="21"/>
              </w:rPr>
              <w:t>***</w:t>
            </w:r>
          </w:p>
          <w:permEnd w:id="4"/>
          <w:p>
            <w:pPr>
              <w:widowControl/>
              <w:jc w:val="left"/>
            </w:pPr>
            <w:r>
              <w:rPr>
                <w:szCs w:val="21"/>
              </w:rPr>
              <w:t>账号：</w:t>
            </w:r>
            <w:permStart w:id="5" w:edGrp="everyone"/>
            <w:r>
              <w:rPr>
                <w:szCs w:val="21"/>
              </w:rPr>
              <w:t>***</w:t>
            </w:r>
            <w:permEnd w:id="5"/>
          </w:p>
        </w:tc>
      </w:tr>
    </w:tbl>
    <w:p>
      <w:pPr>
        <w:widowControl/>
        <w:jc w:val="left"/>
        <w:rPr>
          <w:szCs w:val="21"/>
        </w:rPr>
        <w:sectPr>
          <w:type w:val="continuous"/>
          <w:pgSz w:w="11906" w:h="16838"/>
          <w:pgMar w:top="851" w:right="1134" w:bottom="851" w:left="1134" w:header="0" w:footer="567" w:gutter="0"/>
          <w:pgNumType w:fmt="decimal"/>
          <w:cols w:space="425" w:num="1"/>
          <w:docGrid w:linePitch="312" w:charSpace="0"/>
        </w:sectPr>
      </w:pPr>
    </w:p>
    <w:p>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pPr>
        <w:widowControl/>
        <w:jc w:val="left"/>
        <w:rPr>
          <w:szCs w:val="21"/>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b/>
                <w:bCs/>
                <w:szCs w:val="21"/>
              </w:rPr>
            </w:pPr>
            <w:r>
              <w:rPr>
                <w:rFonts w:hint="eastAsia"/>
                <w:b/>
                <w:bCs/>
                <w:szCs w:val="21"/>
              </w:rPr>
              <w:t>序号</w:t>
            </w:r>
          </w:p>
        </w:tc>
        <w:tc>
          <w:tcPr>
            <w:tcW w:w="3686" w:type="dxa"/>
            <w:vAlign w:val="center"/>
          </w:tcPr>
          <w:p>
            <w:pPr>
              <w:widowControl/>
              <w:jc w:val="center"/>
              <w:rPr>
                <w:b/>
                <w:bCs/>
                <w:szCs w:val="21"/>
              </w:rPr>
            </w:pPr>
            <w:r>
              <w:rPr>
                <w:rFonts w:hint="eastAsia"/>
                <w:b/>
                <w:bCs/>
                <w:szCs w:val="21"/>
              </w:rPr>
              <w:t>结算项目名称</w:t>
            </w:r>
          </w:p>
        </w:tc>
        <w:tc>
          <w:tcPr>
            <w:tcW w:w="3402" w:type="dxa"/>
            <w:vAlign w:val="center"/>
          </w:tcPr>
          <w:p>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pPr>
              <w:widowControl/>
              <w:jc w:val="center"/>
              <w:rPr>
                <w:b/>
                <w:bCs/>
                <w:szCs w:val="21"/>
              </w:rPr>
            </w:pPr>
            <w:r>
              <w:rPr>
                <w:rFonts w:hint="eastAsia"/>
                <w:b/>
                <w:bCs/>
                <w:szCs w:val="21"/>
              </w:rPr>
              <w:t>结算单价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1</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2</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szCs w:val="21"/>
              </w:rPr>
              <w:t>…</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bl>
    <w:p>
      <w:pPr>
        <w:widowControl/>
        <w:jc w:val="left"/>
        <w:rPr>
          <w:szCs w:val="21"/>
        </w:rPr>
        <w:sectPr>
          <w:footerReference r:id="rId10" w:type="default"/>
          <w:pgSz w:w="11906" w:h="16838"/>
          <w:pgMar w:top="851" w:right="1134" w:bottom="851" w:left="1134" w:header="0" w:footer="567" w:gutter="0"/>
          <w:pgNumType w:fmt="decimal"/>
          <w:cols w:space="425" w:num="1"/>
          <w:docGrid w:linePitch="312" w:charSpace="0"/>
        </w:sectPr>
      </w:pPr>
    </w:p>
    <w:p>
      <w:pPr>
        <w:widowControl/>
        <w:jc w:val="left"/>
        <w:rPr>
          <w:rFonts w:ascii="宋体" w:hAnsi="宋体"/>
          <w:b/>
          <w:bCs/>
          <w:szCs w:val="21"/>
        </w:rPr>
      </w:pPr>
      <w:r>
        <w:rPr>
          <w:rFonts w:hint="eastAsia" w:ascii="宋体" w:hAnsi="宋体"/>
          <w:b/>
          <w:bCs/>
          <w:szCs w:val="21"/>
        </w:rPr>
        <w:t>附件2：考核标准</w:t>
      </w:r>
    </w:p>
    <w:p/>
    <w:p>
      <w:pPr>
        <w:sectPr>
          <w:pgSz w:w="11906" w:h="16838"/>
          <w:pgMar w:top="851" w:right="1134" w:bottom="851" w:left="1134" w:header="0" w:footer="567" w:gutter="0"/>
          <w:pgNumType w:fmt="decimal"/>
          <w:cols w:space="425" w:num="1"/>
          <w:docGrid w:linePitch="312" w:charSpace="0"/>
        </w:sectPr>
      </w:pPr>
      <w:r>
        <w:rPr>
          <w:rFonts w:hint="eastAsia"/>
        </w:rPr>
        <w:t>*</w:t>
      </w:r>
      <w:r>
        <w:t>**</w:t>
      </w:r>
    </w:p>
    <w:p>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p>
      <w:r>
        <w:rPr>
          <w:rFonts w:hint="eastAsia"/>
        </w:rPr>
        <w:t>*</w:t>
      </w:r>
      <w:r>
        <w:t>**</w:t>
      </w:r>
    </w:p>
    <w:p>
      <w:pPr>
        <w:pStyle w:val="6"/>
        <w:spacing w:line="276" w:lineRule="auto"/>
        <w:ind w:firstLine="420" w:firstLineChars="200"/>
        <w:jc w:val="left"/>
        <w:rPr>
          <w:rFonts w:hint="default" w:ascii="Times New Roman" w:hAnsi="Times New Roman" w:eastAsia="宋体" w:cs="Times New Roman"/>
          <w:color w:val="auto"/>
        </w:rPr>
      </w:pPr>
    </w:p>
    <w:sectPr>
      <w:footerReference r:id="rId12" w:type="first"/>
      <w:footerReference r:id="rId11" w:type="default"/>
      <w:pgSz w:w="11900" w:h="16838"/>
      <w:pgMar w:top="1440" w:right="1080" w:bottom="1440" w:left="1080"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Times New Roman Regular">
    <w:altName w:val="Times New Roman"/>
    <w:panose1 w:val="020B0604020202020204"/>
    <w:charset w:val="00"/>
    <w:family w:val="auto"/>
    <w:pitch w:val="default"/>
    <w:sig w:usb0="00000000" w:usb1="00000000" w:usb2="00000001" w:usb3="00000000" w:csb0="400001BF" w:csb1="DFF70000"/>
  </w:font>
  <w:font w:name="PMingLiU">
    <w:altName w:val="PMingLiU-ExtB"/>
    <w:panose1 w:val="02020500000000000000"/>
    <w:charset w:val="88"/>
    <w:family w:val="roman"/>
    <w:pitch w:val="default"/>
    <w:sig w:usb0="00000000" w:usb1="00000000" w:usb2="00000016" w:usb3="00000000" w:csb0="00100001" w:csb1="00000000"/>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9"/>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eastAsia="宋体"/>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9"/>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eastAsia="宋体"/>
                        <w:lang w:val="en-US" w:eastAsia="zh-CN"/>
                      </w:rPr>
                      <w:t>29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1</w:t>
    </w:r>
    <w:r>
      <w:rPr>
        <w:rStyle w:val="18"/>
      </w:rPr>
      <w:fldChar w:fldCharType="end"/>
    </w:r>
  </w:p>
  <w:p>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9"/>
                          </w:pPr>
                          <w:r>
                            <w:t xml:space="preserve">第 </w:t>
                          </w:r>
                          <w:r>
                            <w:fldChar w:fldCharType="begin"/>
                          </w:r>
                          <w:r>
                            <w:instrText xml:space="preserve"> PAGE  \* MERGEFORMAT </w:instrText>
                          </w:r>
                          <w:r>
                            <w:fldChar w:fldCharType="separate"/>
                          </w:r>
                          <w:r>
                            <w:t>1</w:t>
                          </w:r>
                          <w:r>
                            <w:fldChar w:fldCharType="end"/>
                          </w:r>
                          <w:r>
                            <w:t xml:space="preserve"> 页 </w:t>
                          </w:r>
                          <w:r>
                            <w:rPr>
                              <w:rFonts w:hint="eastAsia" w:eastAsia="宋体"/>
                              <w:lang w:val="en-US" w:eastAsia="zh-CN"/>
                            </w:rPr>
                            <w:t>29</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9"/>
                    </w:pPr>
                    <w:r>
                      <w:t xml:space="preserve">第 </w:t>
                    </w:r>
                    <w:r>
                      <w:fldChar w:fldCharType="begin"/>
                    </w:r>
                    <w:r>
                      <w:instrText xml:space="preserve"> PAGE  \* MERGEFORMAT </w:instrText>
                    </w:r>
                    <w:r>
                      <w:fldChar w:fldCharType="separate"/>
                    </w:r>
                    <w:r>
                      <w:t>1</w:t>
                    </w:r>
                    <w:r>
                      <w:fldChar w:fldCharType="end"/>
                    </w:r>
                    <w:r>
                      <w:t xml:space="preserve"> 页 </w:t>
                    </w:r>
                    <w:r>
                      <w:rPr>
                        <w:rFonts w:hint="eastAsia" w:eastAsia="宋体"/>
                        <w:lang w:val="en-US" w:eastAsia="zh-CN"/>
                      </w:rPr>
                      <w:t>29</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32</w:t>
                    </w:r>
                    <w:r>
                      <w:fldChar w:fldCharType="end"/>
                    </w:r>
                    <w:r>
                      <w:t xml:space="preserve"> 页</w:t>
                    </w:r>
                  </w:p>
                </w:txbxContent>
              </v:textbox>
            </v:shape>
          </w:pict>
        </mc:Fallback>
      </mc:AlternateContent>
    </w:r>
    <w:r>
      <w:rPr>
        <w:rFonts w:ascii="Times New Roman" w:hAnsi="Times New Roman" w:eastAsia="宋体" w:cs="Times New Roman"/>
        <w:sz w:val="21"/>
        <w:szCs w:val="21"/>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hint="default"/>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9"/>
                          </w:pPr>
                          <w:r>
                            <w:t xml:space="preserve">第 </w:t>
                          </w:r>
                          <w:r>
                            <w:fldChar w:fldCharType="begin"/>
                          </w:r>
                          <w:r>
                            <w:instrText xml:space="preserve"> PAGE  \* MERGEFORMAT </w:instrText>
                          </w:r>
                          <w:r>
                            <w:fldChar w:fldCharType="separate"/>
                          </w:r>
                          <w:r>
                            <w:t>30</w:t>
                          </w:r>
                          <w:r>
                            <w:fldChar w:fldCharType="end"/>
                          </w:r>
                          <w:r>
                            <w:t xml:space="preserve"> 页 </w:t>
                          </w:r>
                          <w:r>
                            <w:rPr>
                              <w:rFonts w:hint="eastAsia" w:eastAsia="宋体"/>
                              <w:lang w:val="en-US" w:eastAsia="zh-CN"/>
                            </w:rPr>
                            <w:t>29</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pPr>
                      <w:pStyle w:val="9"/>
                    </w:pPr>
                    <w:r>
                      <w:t xml:space="preserve">第 </w:t>
                    </w:r>
                    <w:r>
                      <w:fldChar w:fldCharType="begin"/>
                    </w:r>
                    <w:r>
                      <w:instrText xml:space="preserve"> PAGE  \* MERGEFORMAT </w:instrText>
                    </w:r>
                    <w:r>
                      <w:fldChar w:fldCharType="separate"/>
                    </w:r>
                    <w:r>
                      <w:t>30</w:t>
                    </w:r>
                    <w:r>
                      <w:fldChar w:fldCharType="end"/>
                    </w:r>
                    <w:r>
                      <w:t xml:space="preserve"> 页 </w:t>
                    </w:r>
                    <w:r>
                      <w:rPr>
                        <w:rFonts w:hint="eastAsia" w:eastAsia="宋体"/>
                        <w:lang w:val="en-US" w:eastAsia="zh-CN"/>
                      </w:rPr>
                      <w:t>29</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r>
      <w:rPr>
        <w:kern w:val="0"/>
      </w:rPr>
      <w:t>HTMB-</w:t>
    </w:r>
    <w:r>
      <w:rPr>
        <w:rFonts w:hint="eastAsia"/>
        <w:kern w:val="0"/>
      </w:rPr>
      <w:t>FW</w:t>
    </w:r>
    <w:r>
      <w:rPr>
        <w:kern w:val="0"/>
      </w:rPr>
      <w:t>-YN01-202</w:t>
    </w:r>
    <w:r>
      <w:rPr>
        <w:rFonts w:hint="eastAsia"/>
        <w:kern w:val="0"/>
      </w:rPr>
      <w:t>504</w:t>
    </w:r>
    <w:r>
      <w:rPr>
        <w:kern w:val="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7"/>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I0YmRhMTNkZjkzNTc3MDUxZjQ4ZTViN2ExZmI1ZWE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03897"/>
    <w:rsid w:val="00111B83"/>
    <w:rsid w:val="00120031"/>
    <w:rsid w:val="001315D9"/>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2087B"/>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21B2"/>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1E35"/>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1A55"/>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20B4D"/>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56352C"/>
    <w:rsid w:val="01A84217"/>
    <w:rsid w:val="01D86637"/>
    <w:rsid w:val="01F114A6"/>
    <w:rsid w:val="02F254D6"/>
    <w:rsid w:val="02F76F90"/>
    <w:rsid w:val="030D0562"/>
    <w:rsid w:val="030D2310"/>
    <w:rsid w:val="03E017D2"/>
    <w:rsid w:val="046057CC"/>
    <w:rsid w:val="04657F2A"/>
    <w:rsid w:val="04B74C29"/>
    <w:rsid w:val="04FC43EA"/>
    <w:rsid w:val="051E0AAD"/>
    <w:rsid w:val="067A5F0E"/>
    <w:rsid w:val="06826B71"/>
    <w:rsid w:val="06EA6F1B"/>
    <w:rsid w:val="0765096C"/>
    <w:rsid w:val="07C03DF5"/>
    <w:rsid w:val="07EA70C4"/>
    <w:rsid w:val="07F95559"/>
    <w:rsid w:val="080737D2"/>
    <w:rsid w:val="087D5842"/>
    <w:rsid w:val="09DE4A06"/>
    <w:rsid w:val="09E244F6"/>
    <w:rsid w:val="0A0059EC"/>
    <w:rsid w:val="0A80786B"/>
    <w:rsid w:val="0B9C39D7"/>
    <w:rsid w:val="0BED0D1B"/>
    <w:rsid w:val="0C2A550A"/>
    <w:rsid w:val="0C2D757F"/>
    <w:rsid w:val="0C7E7DDA"/>
    <w:rsid w:val="0CB63A18"/>
    <w:rsid w:val="0CCA7780"/>
    <w:rsid w:val="0D10137A"/>
    <w:rsid w:val="0DA33F9D"/>
    <w:rsid w:val="0DFF5E39"/>
    <w:rsid w:val="0E5434E9"/>
    <w:rsid w:val="0E67321C"/>
    <w:rsid w:val="0E7E40C2"/>
    <w:rsid w:val="0EA0228A"/>
    <w:rsid w:val="0EAC50D3"/>
    <w:rsid w:val="0F6C03BE"/>
    <w:rsid w:val="0FB872F9"/>
    <w:rsid w:val="10376C1E"/>
    <w:rsid w:val="113A274F"/>
    <w:rsid w:val="11976BFB"/>
    <w:rsid w:val="11B76268"/>
    <w:rsid w:val="11DA3D05"/>
    <w:rsid w:val="120F276F"/>
    <w:rsid w:val="12280736"/>
    <w:rsid w:val="124C7D2B"/>
    <w:rsid w:val="128F4AEF"/>
    <w:rsid w:val="12DC3AAD"/>
    <w:rsid w:val="12F901BB"/>
    <w:rsid w:val="13081A3E"/>
    <w:rsid w:val="136E5EEF"/>
    <w:rsid w:val="13FF5CA5"/>
    <w:rsid w:val="14011A1D"/>
    <w:rsid w:val="14101C60"/>
    <w:rsid w:val="142E658A"/>
    <w:rsid w:val="15957368"/>
    <w:rsid w:val="15BB5BFB"/>
    <w:rsid w:val="163D4862"/>
    <w:rsid w:val="169F0158"/>
    <w:rsid w:val="175A7B69"/>
    <w:rsid w:val="18351C95"/>
    <w:rsid w:val="189E3CDE"/>
    <w:rsid w:val="18A60DE5"/>
    <w:rsid w:val="192D693B"/>
    <w:rsid w:val="19393A07"/>
    <w:rsid w:val="19C4212C"/>
    <w:rsid w:val="19E35721"/>
    <w:rsid w:val="1B0F6F0E"/>
    <w:rsid w:val="1BC2741A"/>
    <w:rsid w:val="1BCD6688"/>
    <w:rsid w:val="1CF55E97"/>
    <w:rsid w:val="1D807E56"/>
    <w:rsid w:val="1D8965DF"/>
    <w:rsid w:val="1DA11B7B"/>
    <w:rsid w:val="1DC54856"/>
    <w:rsid w:val="1DDC0E05"/>
    <w:rsid w:val="1E6004DA"/>
    <w:rsid w:val="1E722F91"/>
    <w:rsid w:val="1E840723"/>
    <w:rsid w:val="1E97058F"/>
    <w:rsid w:val="1EA95F74"/>
    <w:rsid w:val="1EC51899"/>
    <w:rsid w:val="1EE73F05"/>
    <w:rsid w:val="1F9414DB"/>
    <w:rsid w:val="20054643"/>
    <w:rsid w:val="20087C8F"/>
    <w:rsid w:val="2018364D"/>
    <w:rsid w:val="20631369"/>
    <w:rsid w:val="208512E0"/>
    <w:rsid w:val="209E05F3"/>
    <w:rsid w:val="20BD6CCC"/>
    <w:rsid w:val="215F5FD5"/>
    <w:rsid w:val="21BA145D"/>
    <w:rsid w:val="21BC51D5"/>
    <w:rsid w:val="227F4154"/>
    <w:rsid w:val="228C4BA7"/>
    <w:rsid w:val="239006C7"/>
    <w:rsid w:val="25714529"/>
    <w:rsid w:val="2573204F"/>
    <w:rsid w:val="25892B29"/>
    <w:rsid w:val="26461511"/>
    <w:rsid w:val="26AF355A"/>
    <w:rsid w:val="26CD33AF"/>
    <w:rsid w:val="26EC030B"/>
    <w:rsid w:val="27505D78"/>
    <w:rsid w:val="27716A62"/>
    <w:rsid w:val="283D06F2"/>
    <w:rsid w:val="28F11C08"/>
    <w:rsid w:val="296A5517"/>
    <w:rsid w:val="297C274F"/>
    <w:rsid w:val="29D62BAC"/>
    <w:rsid w:val="2ABB7734"/>
    <w:rsid w:val="2AED63FF"/>
    <w:rsid w:val="2BB331A5"/>
    <w:rsid w:val="2C37319A"/>
    <w:rsid w:val="2C950AFD"/>
    <w:rsid w:val="2CA70830"/>
    <w:rsid w:val="2D314CC9"/>
    <w:rsid w:val="2EFA558F"/>
    <w:rsid w:val="2F1F1070"/>
    <w:rsid w:val="2F723377"/>
    <w:rsid w:val="2FB67708"/>
    <w:rsid w:val="2FBC45F2"/>
    <w:rsid w:val="303348B4"/>
    <w:rsid w:val="305E56A9"/>
    <w:rsid w:val="30764C87"/>
    <w:rsid w:val="31D04385"/>
    <w:rsid w:val="31D16A7B"/>
    <w:rsid w:val="31E87F88"/>
    <w:rsid w:val="31F42769"/>
    <w:rsid w:val="32000BDF"/>
    <w:rsid w:val="326276D3"/>
    <w:rsid w:val="33DC5263"/>
    <w:rsid w:val="33E17A42"/>
    <w:rsid w:val="33FB393B"/>
    <w:rsid w:val="34360E17"/>
    <w:rsid w:val="34472B82"/>
    <w:rsid w:val="3501601E"/>
    <w:rsid w:val="3581655E"/>
    <w:rsid w:val="36162CAE"/>
    <w:rsid w:val="36486BE0"/>
    <w:rsid w:val="36A24B9E"/>
    <w:rsid w:val="36B52DA8"/>
    <w:rsid w:val="372C6501"/>
    <w:rsid w:val="3763616F"/>
    <w:rsid w:val="379A1E45"/>
    <w:rsid w:val="37E961A0"/>
    <w:rsid w:val="38A81C3F"/>
    <w:rsid w:val="38F81DDC"/>
    <w:rsid w:val="397F500E"/>
    <w:rsid w:val="39AE76A2"/>
    <w:rsid w:val="39E71D0F"/>
    <w:rsid w:val="39FC21BB"/>
    <w:rsid w:val="3A3A2CE3"/>
    <w:rsid w:val="3A6D3892"/>
    <w:rsid w:val="3B311935"/>
    <w:rsid w:val="3B40257B"/>
    <w:rsid w:val="3D2757A1"/>
    <w:rsid w:val="3D726C14"/>
    <w:rsid w:val="3DA60DBB"/>
    <w:rsid w:val="3DF06109"/>
    <w:rsid w:val="3E3115F6"/>
    <w:rsid w:val="3F220916"/>
    <w:rsid w:val="3F373C95"/>
    <w:rsid w:val="3F823162"/>
    <w:rsid w:val="3F884943"/>
    <w:rsid w:val="3FBD0E9A"/>
    <w:rsid w:val="40104C12"/>
    <w:rsid w:val="402661E4"/>
    <w:rsid w:val="40982B83"/>
    <w:rsid w:val="418238EE"/>
    <w:rsid w:val="41AF3FB7"/>
    <w:rsid w:val="42446DF5"/>
    <w:rsid w:val="42CB6BCE"/>
    <w:rsid w:val="43C05B54"/>
    <w:rsid w:val="43C401ED"/>
    <w:rsid w:val="440C3942"/>
    <w:rsid w:val="441177D6"/>
    <w:rsid w:val="4418324B"/>
    <w:rsid w:val="44470FC4"/>
    <w:rsid w:val="44F85149"/>
    <w:rsid w:val="454113CA"/>
    <w:rsid w:val="45525385"/>
    <w:rsid w:val="45603F46"/>
    <w:rsid w:val="45684BA8"/>
    <w:rsid w:val="457F1EF2"/>
    <w:rsid w:val="460348D1"/>
    <w:rsid w:val="47094169"/>
    <w:rsid w:val="473531B0"/>
    <w:rsid w:val="47491CA4"/>
    <w:rsid w:val="47B916EB"/>
    <w:rsid w:val="48376AB4"/>
    <w:rsid w:val="494D2A33"/>
    <w:rsid w:val="49A63EF1"/>
    <w:rsid w:val="4A253F1B"/>
    <w:rsid w:val="4A2F3EE7"/>
    <w:rsid w:val="4A45370A"/>
    <w:rsid w:val="4B2E23F0"/>
    <w:rsid w:val="4B4734B2"/>
    <w:rsid w:val="4B6C5588"/>
    <w:rsid w:val="4BB26B7D"/>
    <w:rsid w:val="4C0641D8"/>
    <w:rsid w:val="4C6F0F12"/>
    <w:rsid w:val="4CDE39A2"/>
    <w:rsid w:val="4CF51D9E"/>
    <w:rsid w:val="4CF60CEC"/>
    <w:rsid w:val="4D6D36A4"/>
    <w:rsid w:val="4DA8648A"/>
    <w:rsid w:val="4DEC79E7"/>
    <w:rsid w:val="4E520E70"/>
    <w:rsid w:val="4EC73630"/>
    <w:rsid w:val="4F091DE1"/>
    <w:rsid w:val="4F0E056F"/>
    <w:rsid w:val="4F38383D"/>
    <w:rsid w:val="4FD36D7D"/>
    <w:rsid w:val="500E7836"/>
    <w:rsid w:val="50615016"/>
    <w:rsid w:val="50DC644B"/>
    <w:rsid w:val="50EF617E"/>
    <w:rsid w:val="50FE4613"/>
    <w:rsid w:val="51EB4B97"/>
    <w:rsid w:val="523C1897"/>
    <w:rsid w:val="525E180D"/>
    <w:rsid w:val="52CF6267"/>
    <w:rsid w:val="52EA4E4F"/>
    <w:rsid w:val="53520B81"/>
    <w:rsid w:val="53582700"/>
    <w:rsid w:val="53E317D5"/>
    <w:rsid w:val="543021C7"/>
    <w:rsid w:val="5458228C"/>
    <w:rsid w:val="54AD25D8"/>
    <w:rsid w:val="54BE3CB2"/>
    <w:rsid w:val="556C5FEF"/>
    <w:rsid w:val="55C71477"/>
    <w:rsid w:val="561D378D"/>
    <w:rsid w:val="563F1955"/>
    <w:rsid w:val="568A2F61"/>
    <w:rsid w:val="570D1A54"/>
    <w:rsid w:val="571444AB"/>
    <w:rsid w:val="57201787"/>
    <w:rsid w:val="574063D6"/>
    <w:rsid w:val="574865E8"/>
    <w:rsid w:val="57CC2F54"/>
    <w:rsid w:val="57EF1159"/>
    <w:rsid w:val="58C779E0"/>
    <w:rsid w:val="590C0161"/>
    <w:rsid w:val="597C07CB"/>
    <w:rsid w:val="59837DAB"/>
    <w:rsid w:val="59E20F76"/>
    <w:rsid w:val="59F40CA9"/>
    <w:rsid w:val="5A0E6D1C"/>
    <w:rsid w:val="5A6220B6"/>
    <w:rsid w:val="5A974780"/>
    <w:rsid w:val="5A9F0C15"/>
    <w:rsid w:val="5B2E3D47"/>
    <w:rsid w:val="5C007491"/>
    <w:rsid w:val="5C4E28F2"/>
    <w:rsid w:val="5D804F27"/>
    <w:rsid w:val="5E0B036F"/>
    <w:rsid w:val="5F1514A5"/>
    <w:rsid w:val="5F751F44"/>
    <w:rsid w:val="5F904FD0"/>
    <w:rsid w:val="60651FB9"/>
    <w:rsid w:val="60822D96"/>
    <w:rsid w:val="60882223"/>
    <w:rsid w:val="61131A15"/>
    <w:rsid w:val="617166CC"/>
    <w:rsid w:val="61932B55"/>
    <w:rsid w:val="620829BD"/>
    <w:rsid w:val="626B762E"/>
    <w:rsid w:val="626E2769"/>
    <w:rsid w:val="629B2820"/>
    <w:rsid w:val="629B7F14"/>
    <w:rsid w:val="62AC3ECF"/>
    <w:rsid w:val="62D16373"/>
    <w:rsid w:val="62E2178D"/>
    <w:rsid w:val="630B2492"/>
    <w:rsid w:val="633345F0"/>
    <w:rsid w:val="63AD43A2"/>
    <w:rsid w:val="641C5084"/>
    <w:rsid w:val="64634A61"/>
    <w:rsid w:val="65362175"/>
    <w:rsid w:val="65640A91"/>
    <w:rsid w:val="65D4420C"/>
    <w:rsid w:val="664C4128"/>
    <w:rsid w:val="66970432"/>
    <w:rsid w:val="66E005EB"/>
    <w:rsid w:val="66E16B34"/>
    <w:rsid w:val="670A1B0C"/>
    <w:rsid w:val="67452B44"/>
    <w:rsid w:val="67A535E2"/>
    <w:rsid w:val="682269E1"/>
    <w:rsid w:val="682B1D3A"/>
    <w:rsid w:val="684844AC"/>
    <w:rsid w:val="687B64A8"/>
    <w:rsid w:val="688768E9"/>
    <w:rsid w:val="68CD2DF1"/>
    <w:rsid w:val="694F7E51"/>
    <w:rsid w:val="69D32689"/>
    <w:rsid w:val="6A7C4ACE"/>
    <w:rsid w:val="6BB40298"/>
    <w:rsid w:val="6C111246"/>
    <w:rsid w:val="6CD72490"/>
    <w:rsid w:val="6CF070AE"/>
    <w:rsid w:val="6D1C60F5"/>
    <w:rsid w:val="6D564496"/>
    <w:rsid w:val="6D9A0C88"/>
    <w:rsid w:val="6E7A1325"/>
    <w:rsid w:val="6F3040D9"/>
    <w:rsid w:val="6FE968FA"/>
    <w:rsid w:val="70CB40BA"/>
    <w:rsid w:val="70DE3C1C"/>
    <w:rsid w:val="72563E57"/>
    <w:rsid w:val="72FF629D"/>
    <w:rsid w:val="732A5565"/>
    <w:rsid w:val="733A06B3"/>
    <w:rsid w:val="735F4F8D"/>
    <w:rsid w:val="736C7698"/>
    <w:rsid w:val="740E62DB"/>
    <w:rsid w:val="747477EB"/>
    <w:rsid w:val="74B80DF9"/>
    <w:rsid w:val="74E27C24"/>
    <w:rsid w:val="74FD680C"/>
    <w:rsid w:val="757F5473"/>
    <w:rsid w:val="7581743D"/>
    <w:rsid w:val="75894543"/>
    <w:rsid w:val="75CD4430"/>
    <w:rsid w:val="75DA1174"/>
    <w:rsid w:val="7657019E"/>
    <w:rsid w:val="768F26FA"/>
    <w:rsid w:val="769D1B10"/>
    <w:rsid w:val="77756B2D"/>
    <w:rsid w:val="783212BA"/>
    <w:rsid w:val="79336CA0"/>
    <w:rsid w:val="794C5FB4"/>
    <w:rsid w:val="795E2CD5"/>
    <w:rsid w:val="79751067"/>
    <w:rsid w:val="79897F56"/>
    <w:rsid w:val="799F7E92"/>
    <w:rsid w:val="79DF0BD6"/>
    <w:rsid w:val="7A0B5527"/>
    <w:rsid w:val="7B130B37"/>
    <w:rsid w:val="7BD36518"/>
    <w:rsid w:val="7C127041"/>
    <w:rsid w:val="7C3F3BAE"/>
    <w:rsid w:val="7D425704"/>
    <w:rsid w:val="7D562F5D"/>
    <w:rsid w:val="7D6C3B3E"/>
    <w:rsid w:val="7D9A4ABA"/>
    <w:rsid w:val="7DDC7906"/>
    <w:rsid w:val="7DF05160"/>
    <w:rsid w:val="7E7A4D36"/>
    <w:rsid w:val="7FD30895"/>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autoRedefine/>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autoRedefine/>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hAnsi="Times New Roman" w:eastAsia="宋体" w:cs="Times New Roman"/>
      <w:szCs w:val="20"/>
    </w:rPr>
  </w:style>
  <w:style w:type="paragraph" w:styleId="5">
    <w:name w:val="annotation text"/>
    <w:basedOn w:val="1"/>
    <w:link w:val="32"/>
    <w:autoRedefine/>
    <w:qFormat/>
    <w:uiPriority w:val="99"/>
  </w:style>
  <w:style w:type="paragraph" w:styleId="6">
    <w:name w:val="Body Text"/>
    <w:basedOn w:val="1"/>
    <w:link w:val="34"/>
    <w:autoRedefine/>
    <w:qFormat/>
    <w:uiPriority w:val="0"/>
    <w:rPr>
      <w:rFonts w:eastAsia="Times New Roman"/>
    </w:rPr>
  </w:style>
  <w:style w:type="paragraph" w:styleId="7">
    <w:name w:val="Body Text Indent"/>
    <w:autoRedefine/>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8"/>
    <w:autoRedefine/>
    <w:semiHidden/>
    <w:unhideWhenUsed/>
    <w:qFormat/>
    <w:uiPriority w:val="99"/>
    <w:pPr>
      <w:spacing w:after="120" w:line="480" w:lineRule="auto"/>
      <w:ind w:left="420" w:leftChars="200"/>
    </w:pPr>
  </w:style>
  <w:style w:type="paragraph" w:styleId="9">
    <w:name w:val="footer"/>
    <w:basedOn w:val="1"/>
    <w:autoRedefine/>
    <w:qFormat/>
    <w:uiPriority w:val="0"/>
    <w:pPr>
      <w:tabs>
        <w:tab w:val="center" w:pos="4153"/>
        <w:tab w:val="right" w:pos="8306"/>
      </w:tabs>
    </w:pPr>
    <w:rPr>
      <w:rFonts w:ascii="Calibri" w:hAnsi="Calibri" w:eastAsia="Arial Unicode MS"/>
      <w:sz w:val="18"/>
      <w:szCs w:val="18"/>
    </w:rPr>
  </w:style>
  <w:style w:type="paragraph" w:styleId="10">
    <w:name w:val="header"/>
    <w:basedOn w:val="1"/>
    <w:autoRedefine/>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autoRedefine/>
    <w:qFormat/>
    <w:uiPriority w:val="0"/>
    <w:rPr>
      <w:rFonts w:hint="default" w:asciiTheme="minorHAnsi" w:hAnsiTheme="minorHAnsi" w:eastAsiaTheme="minorEastAsia" w:cstheme="minorBidi"/>
      <w:color w:val="auto"/>
      <w:szCs w:val="22"/>
    </w:rPr>
  </w:style>
  <w:style w:type="paragraph" w:styleId="12">
    <w:name w:val="toc 2"/>
    <w:basedOn w:val="1"/>
    <w:next w:val="1"/>
    <w:autoRedefine/>
    <w:semiHidden/>
    <w:unhideWhenUsed/>
    <w:qFormat/>
    <w:uiPriority w:val="39"/>
    <w:pPr>
      <w:ind w:left="420" w:leftChars="200"/>
    </w:pPr>
  </w:style>
  <w:style w:type="paragraph" w:styleId="13">
    <w:name w:val="Normal (Web)"/>
    <w:basedOn w:val="1"/>
    <w:autoRedefine/>
    <w:qFormat/>
    <w:uiPriority w:val="0"/>
    <w:pPr>
      <w:spacing w:beforeAutospacing="1" w:afterAutospacing="1"/>
      <w:jc w:val="left"/>
    </w:pPr>
    <w:rPr>
      <w:rFonts w:cs="Times New Roman"/>
      <w:kern w:val="0"/>
      <w:sz w:val="24"/>
    </w:rPr>
  </w:style>
  <w:style w:type="paragraph" w:styleId="14">
    <w:name w:val="Body Text First Indent"/>
    <w:basedOn w:val="6"/>
    <w:autoRedefine/>
    <w:semiHidden/>
    <w:unhideWhenUsed/>
    <w:qFormat/>
    <w:uiPriority w:val="99"/>
    <w:pPr>
      <w:spacing w:line="440" w:lineRule="exact"/>
      <w:ind w:firstLine="420" w:firstLineChars="200"/>
    </w:pPr>
    <w:rPr>
      <w:szCs w:val="20"/>
    </w:rPr>
  </w:style>
  <w:style w:type="table" w:styleId="16">
    <w:name w:val="Table Grid"/>
    <w:basedOn w:val="1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autoRedefine/>
    <w:semiHidden/>
    <w:qFormat/>
    <w:uiPriority w:val="0"/>
  </w:style>
  <w:style w:type="character" w:styleId="19">
    <w:name w:val="FollowedHyperlink"/>
    <w:basedOn w:val="17"/>
    <w:autoRedefine/>
    <w:semiHidden/>
    <w:unhideWhenUsed/>
    <w:qFormat/>
    <w:uiPriority w:val="99"/>
    <w:rPr>
      <w:color w:val="FF00FF" w:themeColor="followedHyperlink"/>
      <w:u w:val="single"/>
      <w14:textFill>
        <w14:solidFill>
          <w14:schemeClr w14:val="folHlink"/>
        </w14:solidFill>
      </w14:textFill>
    </w:rPr>
  </w:style>
  <w:style w:type="character" w:styleId="20">
    <w:name w:val="Hyperlink"/>
    <w:autoRedefine/>
    <w:qFormat/>
    <w:uiPriority w:val="0"/>
    <w:rPr>
      <w:u w:val="single"/>
    </w:rPr>
  </w:style>
  <w:style w:type="paragraph" w:customStyle="1" w:styleId="21">
    <w:name w:val="标题 5（有编号）（绿盟科技）"/>
    <w:basedOn w:val="1"/>
    <w:next w:val="22"/>
    <w:autoRedefine/>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autoRedefine/>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autoRedefine/>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autoRedefine/>
    <w:qFormat/>
    <w:uiPriority w:val="0"/>
    <w:rPr>
      <w:color w:val="0563C1"/>
      <w:u w:val="single" w:color="0563C1"/>
    </w:rPr>
  </w:style>
  <w:style w:type="character" w:customStyle="1" w:styleId="26">
    <w:name w:val="Hyperlink.0"/>
    <w:basedOn w:val="25"/>
    <w:autoRedefine/>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autoRedefine/>
    <w:qFormat/>
    <w:uiPriority w:val="0"/>
    <w:rPr>
      <w:rFonts w:ascii="宋体" w:hAnsi="宋体" w:eastAsia="宋体" w:cs="宋体"/>
      <w:color w:val="000000"/>
      <w:u w:val="single" w:color="000000"/>
      <w:lang w:val="en-US"/>
    </w:rPr>
  </w:style>
  <w:style w:type="paragraph" w:customStyle="1" w:styleId="28">
    <w:name w:val="xl51"/>
    <w:autoRedefine/>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autoRedefine/>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autoRedefine/>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autoRedefine/>
    <w:qFormat/>
    <w:uiPriority w:val="34"/>
    <w:pPr>
      <w:ind w:firstLine="420" w:firstLineChars="200"/>
    </w:pPr>
  </w:style>
  <w:style w:type="character" w:customStyle="1" w:styleId="32">
    <w:name w:val="Comment Text Char"/>
    <w:basedOn w:val="17"/>
    <w:link w:val="5"/>
    <w:autoRedefine/>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7"/>
    <w:autoRedefine/>
    <w:qFormat/>
    <w:uiPriority w:val="0"/>
    <w:rPr>
      <w:rFonts w:hint="eastAsia" w:ascii="宋体" w:hAnsi="宋体" w:eastAsia="宋体" w:cs="宋体"/>
      <w:b/>
      <w:color w:val="000000"/>
      <w:sz w:val="24"/>
      <w:szCs w:val="24"/>
      <w:u w:val="none"/>
    </w:rPr>
  </w:style>
  <w:style w:type="character" w:customStyle="1" w:styleId="34">
    <w:name w:val="Body Text Char"/>
    <w:basedOn w:val="17"/>
    <w:link w:val="6"/>
    <w:autoRedefine/>
    <w:qFormat/>
    <w:uiPriority w:val="0"/>
    <w:rPr>
      <w:rFonts w:ascii="Arial Unicode MS" w:hAnsi="Arial Unicode MS" w:eastAsia="Times New Roman" w:cs="Arial Unicode MS"/>
      <w:color w:val="000000"/>
      <w:kern w:val="2"/>
      <w:sz w:val="21"/>
      <w:szCs w:val="21"/>
      <w:u w:color="000000"/>
    </w:rPr>
  </w:style>
  <w:style w:type="paragraph" w:customStyle="1" w:styleId="35">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7"/>
    <w:autoRedefine/>
    <w:semiHidden/>
    <w:unhideWhenUsed/>
    <w:qFormat/>
    <w:uiPriority w:val="99"/>
    <w:rPr>
      <w:color w:val="605E5C"/>
      <w:shd w:val="clear" w:color="auto" w:fill="E1DFDD"/>
    </w:rPr>
  </w:style>
  <w:style w:type="paragraph" w:customStyle="1" w:styleId="3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7"/>
    <w:link w:val="8"/>
    <w:autoRedefine/>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autoRedefine/>
    <w:qFormat/>
    <w:uiPriority w:val="0"/>
    <w:pPr>
      <w:jc w:val="center"/>
    </w:pPr>
    <w:rPr>
      <w:rFonts w:eastAsia="黑体"/>
      <w:b/>
      <w:sz w:val="52"/>
      <w:szCs w:val="24"/>
    </w:rPr>
  </w:style>
  <w:style w:type="paragraph" w:customStyle="1" w:styleId="40">
    <w:name w:val="p15"/>
    <w:basedOn w:val="1"/>
    <w:autoRedefine/>
    <w:qFormat/>
    <w:uiPriority w:val="0"/>
    <w:rPr>
      <w:rFonts w:eastAsia="宋体" w:cs="宋体"/>
      <w:sz w:val="24"/>
    </w:rPr>
  </w:style>
  <w:style w:type="paragraph" w:customStyle="1" w:styleId="41">
    <w:name w:val="13、表格内居中正文"/>
    <w:basedOn w:val="1"/>
    <w:autoRedefine/>
    <w:qFormat/>
    <w:uiPriority w:val="0"/>
    <w:pPr>
      <w:wordWrap w:val="0"/>
      <w:topLinePunct/>
      <w:spacing w:line="360" w:lineRule="exact"/>
      <w:jc w:val="center"/>
    </w:pPr>
    <w:rPr>
      <w:rFonts w:ascii="宋体" w:hAnsi="宋体" w:eastAsia="宋体"/>
    </w:rPr>
  </w:style>
  <w:style w:type="character" w:customStyle="1" w:styleId="42">
    <w:name w:val="Heading 1 Char"/>
    <w:link w:val="2"/>
    <w:autoRedefine/>
    <w:qFormat/>
    <w:uiPriority w:val="0"/>
    <w:rPr>
      <w:rFonts w:ascii="Arial" w:hAnsi="Arial" w:eastAsia="黑体" w:cs="Arial"/>
      <w:b/>
      <w:bCs/>
      <w:sz w:val="36"/>
      <w:szCs w:val="24"/>
    </w:rPr>
  </w:style>
  <w:style w:type="character" w:customStyle="1" w:styleId="43">
    <w:name w:val="Heading 2 Char"/>
    <w:link w:val="3"/>
    <w:autoRedefine/>
    <w:qFormat/>
    <w:uiPriority w:val="9"/>
    <w:rPr>
      <w:rFonts w:ascii="Times New Roman" w:hAnsi="Times New Roman" w:eastAsia="宋体"/>
      <w:b/>
      <w:bCs/>
      <w:sz w:val="24"/>
      <w:szCs w:val="32"/>
    </w:rPr>
  </w:style>
  <w:style w:type="paragraph" w:customStyle="1" w:styleId="44">
    <w:name w:val="Revision2"/>
    <w:autoRedefine/>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autoRedefine/>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autoRedefine/>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普通(网站) Char"/>
    <w:basedOn w:val="1"/>
    <w:autoRedefine/>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8">
    <w:name w:val="15"/>
    <w:basedOn w:val="17"/>
    <w:autoRedefine/>
    <w:qFormat/>
    <w:uiPriority w:val="0"/>
    <w:rPr>
      <w:rFonts w:hint="default" w:ascii="Times New Roman" w:hAnsi="Times New Roman" w:cs="Times New Roman"/>
      <w:b/>
    </w:rPr>
  </w:style>
  <w:style w:type="paragraph" w:customStyle="1" w:styleId="49">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table" w:customStyle="1" w:styleId="50">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31</Pages>
  <Words>1087</Words>
  <Characters>1164</Characters>
  <Lines>59</Lines>
  <Paragraphs>16</Paragraphs>
  <TotalTime>11</TotalTime>
  <ScaleCrop>false</ScaleCrop>
  <LinksUpToDate>false</LinksUpToDate>
  <CharactersWithSpaces>1255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徐徐</cp:lastModifiedBy>
  <dcterms:modified xsi:type="dcterms:W3CDTF">2026-05-20T09:09:16Z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F8DCAF3393224995A9A8763068BABA4A_13</vt:lpwstr>
  </property>
  <property fmtid="{D5CDD505-2E9C-101B-9397-08002B2CF9AE}" pid="4" name="KSOTemplateDocerSaveRecord">
    <vt:lpwstr>eyJoZGlkIjoiNDc0MTk5M2JkMmE1NDI4NDczMTFjZTZjODJmMzdhNjkiLCJ1c2VySWQiOiIyMTIzMTcyNzYifQ==</vt:lpwstr>
  </property>
</Properties>
</file>